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622E6B">
        <w:rPr>
          <w:rFonts w:asciiTheme="minorHAnsi" w:hAnsiTheme="minorHAnsi"/>
          <w:sz w:val="20"/>
          <w:szCs w:val="20"/>
          <w:u w:val="single"/>
        </w:rPr>
        <w:t xml:space="preserve">van </w:t>
      </w:r>
      <w:r w:rsidR="00725790">
        <w:rPr>
          <w:rFonts w:asciiTheme="minorHAnsi" w:hAnsiTheme="minorHAnsi"/>
          <w:sz w:val="20"/>
          <w:szCs w:val="20"/>
          <w:u w:val="single"/>
        </w:rPr>
        <w:t>18 juni</w:t>
      </w:r>
      <w:r w:rsidR="00613AE7">
        <w:rPr>
          <w:rFonts w:asciiTheme="minorHAnsi" w:hAnsiTheme="minorHAnsi"/>
          <w:sz w:val="20"/>
          <w:szCs w:val="20"/>
          <w:u w:val="single"/>
        </w:rPr>
        <w:t xml:space="preserve"> 2020</w:t>
      </w:r>
      <w:r w:rsidR="00701C69">
        <w:rPr>
          <w:rFonts w:asciiTheme="minorHAnsi" w:hAnsiTheme="minorHAnsi"/>
          <w:sz w:val="20"/>
          <w:szCs w:val="20"/>
          <w:u w:val="single"/>
        </w:rPr>
        <w:t xml:space="preserve"> tot en met </w:t>
      </w:r>
      <w:r w:rsidR="00725790">
        <w:rPr>
          <w:rFonts w:asciiTheme="minorHAnsi" w:hAnsiTheme="minorHAnsi"/>
          <w:sz w:val="20"/>
          <w:szCs w:val="20"/>
          <w:u w:val="single"/>
        </w:rPr>
        <w:t>28 augustus</w:t>
      </w:r>
      <w:r w:rsidR="00613AE7">
        <w:rPr>
          <w:rFonts w:asciiTheme="minorHAnsi" w:hAnsiTheme="minorHAnsi"/>
          <w:sz w:val="20"/>
          <w:szCs w:val="20"/>
          <w:u w:val="single"/>
        </w:rPr>
        <w:t xml:space="preserve"> </w:t>
      </w:r>
      <w:r w:rsidR="005B442F">
        <w:rPr>
          <w:rFonts w:asciiTheme="minorHAnsi" w:hAnsiTheme="minorHAnsi"/>
          <w:sz w:val="20"/>
          <w:szCs w:val="20"/>
          <w:u w:val="single"/>
        </w:rPr>
        <w:t>2020</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A64AF1" w:rsidTr="00A6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4AF1" w:rsidP="00A64AF1" w:rsidRDefault="00A64AF1">
            <w:pPr>
              <w:rPr>
                <w:rFonts w:ascii="Calibri" w:hAnsi="Calibri" w:cs="Calibri"/>
                <w:color w:val="000000"/>
                <w:sz w:val="22"/>
                <w:szCs w:val="22"/>
              </w:rPr>
            </w:pPr>
            <w:r>
              <w:rPr>
                <w:rFonts w:ascii="Calibri" w:hAnsi="Calibri" w:cs="Calibri"/>
                <w:color w:val="000000"/>
                <w:sz w:val="22"/>
                <w:szCs w:val="22"/>
              </w:rPr>
              <w:t>16-jun-20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64AF1" w:rsidP="00A64AF1" w:rsidRDefault="00A64AF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64AF1" w:rsidP="00A64AF1" w:rsidRDefault="00A64AF1">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A65C65" w:rsidR="00A64AF1" w:rsidP="00A64AF1" w:rsidRDefault="00A65C65">
            <w:pPr>
              <w:rPr>
                <w:rFonts w:ascii="Calibri" w:hAnsi="Calibri" w:cs="Calibri"/>
                <w:color w:val="000000"/>
                <w:sz w:val="22"/>
                <w:szCs w:val="22"/>
              </w:rPr>
            </w:pPr>
            <w:r w:rsidRPr="00A65C65">
              <w:rPr>
                <w:rFonts w:ascii="Calibri" w:hAnsi="Calibri" w:cs="Calibri"/>
                <w:color w:val="000000"/>
                <w:sz w:val="22"/>
                <w:szCs w:val="22"/>
              </w:rPr>
              <w:t>Geneesmiddelen – veilige en betaalbare geneesmiddelen (nieuwe EU-strategie)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4AF1" w:rsidP="00A64AF1" w:rsidRDefault="003E6775">
            <w:pPr>
              <w:rPr>
                <w:rFonts w:ascii="Calibri" w:hAnsi="Calibri" w:cs="Calibri"/>
                <w:color w:val="0000FF"/>
                <w:sz w:val="22"/>
                <w:szCs w:val="22"/>
                <w:u w:val="single"/>
              </w:rPr>
            </w:pPr>
            <w:hyperlink w:history="1" r:id="rId8">
              <w:r w:rsidR="00A64AF1">
                <w:rPr>
                  <w:rStyle w:val="Hyperlink"/>
                  <w:rFonts w:ascii="Calibri" w:hAnsi="Calibri" w:cs="Calibri"/>
                  <w:sz w:val="22"/>
                  <w:szCs w:val="22"/>
                </w:rPr>
                <w:t>OR</w:t>
              </w:r>
            </w:hyperlink>
          </w:p>
          <w:p w:rsidR="00A64AF1" w:rsidP="00A64AF1" w:rsidRDefault="00A64AF1">
            <w:pPr>
              <w:rPr>
                <w:rFonts w:ascii="Calibri" w:hAnsi="Calibri" w:cs="Calibri"/>
                <w:color w:val="0000FF"/>
                <w:sz w:val="22"/>
                <w:szCs w:val="22"/>
                <w:u w:val="single"/>
              </w:rPr>
            </w:pPr>
            <w:r>
              <w:rPr>
                <w:rFonts w:ascii="Calibri" w:hAnsi="Calibri" w:cs="Calibri"/>
                <w:color w:val="000000"/>
                <w:sz w:val="22"/>
                <w:szCs w:val="22"/>
              </w:rPr>
              <w:t>(deadline 15-sep-20)</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00A64AF1" w:rsidP="00A64AF1" w:rsidRDefault="00A64AF1">
            <w:pPr>
              <w:rPr>
                <w:rFonts w:ascii="Calibri" w:hAnsi="Calibri" w:cs="Calibri"/>
                <w:color w:val="000000"/>
                <w:sz w:val="22"/>
                <w:szCs w:val="22"/>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A64AF1" w:rsidP="00A64AF1" w:rsidRDefault="00A65C65">
            <w:pPr>
              <w:rPr>
                <w:rFonts w:ascii="Calibri" w:hAnsi="Calibri" w:cs="Calibri"/>
                <w:color w:val="000000"/>
                <w:sz w:val="22"/>
                <w:szCs w:val="22"/>
              </w:rPr>
            </w:pPr>
            <w:r w:rsidRPr="00A65C65">
              <w:rPr>
                <w:rFonts w:ascii="Calibri" w:hAnsi="Calibri" w:cs="Calibri"/>
                <w:color w:val="000000"/>
                <w:sz w:val="22"/>
                <w:szCs w:val="22"/>
              </w:rPr>
              <w:t>De EU lanceert een nieuwe strategie die iedereen toegang moet geven tot veilige en betaalbare geneesmiddelen en innovatie in de farmaceutische industrie in de EU stimuleert.</w:t>
            </w:r>
            <w:r>
              <w:rPr>
                <w:rFonts w:ascii="Calibri" w:hAnsi="Calibri" w:cs="Calibri"/>
                <w:color w:val="000000"/>
                <w:sz w:val="22"/>
                <w:szCs w:val="22"/>
              </w:rPr>
              <w:t xml:space="preserve"> Deze raadpleging is bedoelt om input te leveren voor deze nieuwe strategie.</w:t>
            </w:r>
          </w:p>
          <w:p w:rsidR="00A65C65" w:rsidP="00A64AF1" w:rsidRDefault="00A65C65">
            <w:pPr>
              <w:rPr>
                <w:rFonts w:ascii="Calibri" w:hAnsi="Calibri" w:cs="Calibri"/>
                <w:color w:val="000000"/>
                <w:sz w:val="22"/>
                <w:szCs w:val="22"/>
              </w:rPr>
            </w:pPr>
          </w:p>
          <w:p w:rsidR="00A64AF1" w:rsidP="00A64AF1" w:rsidRDefault="00A64AF1">
            <w:pPr>
              <w:rPr>
                <w:rFonts w:ascii="Calibri" w:hAnsi="Calibri" w:cs="Calibri"/>
                <w:color w:val="000000"/>
                <w:sz w:val="22"/>
                <w:szCs w:val="22"/>
              </w:rPr>
            </w:pPr>
            <w:r>
              <w:rPr>
                <w:rFonts w:ascii="Calibri" w:hAnsi="Calibri" w:cs="Calibri"/>
                <w:color w:val="000000"/>
                <w:sz w:val="22"/>
                <w:szCs w:val="22"/>
              </w:rPr>
              <w:t xml:space="preserve">Het ministerie is voornemens om op de raadpleging te reageren. </w:t>
            </w:r>
          </w:p>
          <w:p w:rsidR="00A64AF1" w:rsidP="00A64AF1" w:rsidRDefault="00A64AF1">
            <w:pPr>
              <w:rPr>
                <w:rFonts w:ascii="Calibri" w:hAnsi="Calibri" w:cs="Calibri"/>
                <w:color w:val="000000"/>
                <w:sz w:val="22"/>
                <w:szCs w:val="22"/>
              </w:rPr>
            </w:pPr>
          </w:p>
          <w:p w:rsidRPr="00A64AF1" w:rsidR="00A64AF1" w:rsidP="00A64AF1" w:rsidRDefault="00A64AF1">
            <w:pPr>
              <w:rPr>
                <w:rFonts w:ascii="Calibri" w:hAnsi="Calibri" w:cs="Calibri"/>
                <w:color w:val="000000"/>
                <w:sz w:val="22"/>
                <w:szCs w:val="22"/>
              </w:rPr>
            </w:pPr>
            <w:r>
              <w:rPr>
                <w:rFonts w:ascii="Calibri" w:hAnsi="Calibri" w:cs="Calibri"/>
                <w:b/>
                <w:color w:val="000000"/>
                <w:sz w:val="22"/>
                <w:szCs w:val="22"/>
              </w:rPr>
              <w:t>Behandelvoorstel</w:t>
            </w:r>
            <w:r>
              <w:rPr>
                <w:rFonts w:ascii="Calibri" w:hAnsi="Calibri" w:cs="Calibri"/>
                <w:color w:val="000000"/>
                <w:sz w:val="22"/>
                <w:szCs w:val="22"/>
              </w:rPr>
              <w:t xml:space="preserve">: afschrift van de reactie van de minister afwachten. </w:t>
            </w:r>
          </w:p>
        </w:tc>
      </w:tr>
      <w:tr w:rsidRPr="004B19E5" w:rsidR="00A64AF1" w:rsidTr="00A6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4AF1" w:rsidP="00A64AF1" w:rsidRDefault="00A64AF1">
            <w:pPr>
              <w:rPr>
                <w:rFonts w:ascii="Calibri" w:hAnsi="Calibri" w:cs="Calibri"/>
                <w:color w:val="000000"/>
                <w:sz w:val="22"/>
                <w:szCs w:val="22"/>
              </w:rPr>
            </w:pPr>
            <w:r>
              <w:rPr>
                <w:rFonts w:ascii="Calibri" w:hAnsi="Calibri" w:cs="Calibri"/>
                <w:color w:val="000000"/>
                <w:sz w:val="22"/>
                <w:szCs w:val="22"/>
              </w:rPr>
              <w:t>17-jun-20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64AF1" w:rsidP="00A64AF1" w:rsidRDefault="00A64AF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64AF1" w:rsidP="00A64AF1" w:rsidRDefault="00A64AF1">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00A64AF1" w:rsidP="00A64AF1" w:rsidRDefault="00A64AF1">
            <w:pPr>
              <w:rPr>
                <w:rFonts w:ascii="Calibri" w:hAnsi="Calibri" w:cs="Calibri"/>
                <w:color w:val="000000"/>
                <w:sz w:val="22"/>
                <w:szCs w:val="22"/>
              </w:rPr>
            </w:pPr>
            <w:r>
              <w:rPr>
                <w:rFonts w:ascii="Calibri" w:hAnsi="Calibri" w:cs="Calibri"/>
                <w:color w:val="000000"/>
                <w:sz w:val="22"/>
                <w:szCs w:val="22"/>
              </w:rPr>
              <w:t>MEDEDELING VAN DE COMMISSIE AAN HET EUROPEES PARLEMENT, DE EUROPESE RAAD, DE RAAD EN DE EUROPESE INVESTERINGSBANK EU-strategie voor COVID-19-vaccins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4AF1" w:rsidP="00A64AF1" w:rsidRDefault="003E6775">
            <w:pPr>
              <w:rPr>
                <w:rFonts w:ascii="Calibri" w:hAnsi="Calibri" w:cs="Calibri"/>
                <w:color w:val="0000FF"/>
                <w:sz w:val="22"/>
                <w:szCs w:val="22"/>
                <w:u w:val="single"/>
              </w:rPr>
            </w:pPr>
            <w:hyperlink w:history="1" r:id="rId9">
              <w:r w:rsidR="00A64AF1">
                <w:rPr>
                  <w:rStyle w:val="Hyperlink"/>
                  <w:rFonts w:ascii="Calibri" w:hAnsi="Calibri" w:cs="Calibri"/>
                  <w:sz w:val="22"/>
                  <w:szCs w:val="22"/>
                </w:rPr>
                <w:t>COM (2020) 245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00A64AF1" w:rsidP="00A64AF1" w:rsidRDefault="00A64AF1">
            <w:pPr>
              <w:rPr>
                <w:rFonts w:ascii="Calibri" w:hAnsi="Calibri" w:cs="Calibri"/>
                <w:color w:val="000000"/>
                <w:sz w:val="22"/>
                <w:szCs w:val="22"/>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693C65" w:rsidR="00693C65" w:rsidP="00693C65" w:rsidRDefault="00693C65">
            <w:pPr>
              <w:rPr>
                <w:rFonts w:ascii="Calibri" w:hAnsi="Calibri" w:cs="Calibri"/>
                <w:color w:val="000000"/>
                <w:sz w:val="22"/>
                <w:szCs w:val="22"/>
              </w:rPr>
            </w:pPr>
            <w:r>
              <w:rPr>
                <w:rFonts w:ascii="Calibri" w:hAnsi="Calibri" w:cs="Calibri"/>
                <w:color w:val="000000"/>
                <w:sz w:val="22"/>
                <w:szCs w:val="22"/>
              </w:rPr>
              <w:t>De</w:t>
            </w:r>
            <w:r w:rsidRPr="00693C65">
              <w:rPr>
                <w:rFonts w:ascii="Calibri" w:hAnsi="Calibri" w:cs="Calibri"/>
                <w:color w:val="000000"/>
                <w:sz w:val="22"/>
                <w:szCs w:val="22"/>
              </w:rPr>
              <w:t xml:space="preserve"> Commissie</w:t>
            </w:r>
            <w:r>
              <w:rPr>
                <w:rFonts w:ascii="Calibri" w:hAnsi="Calibri" w:cs="Calibri"/>
                <w:color w:val="000000"/>
                <w:sz w:val="22"/>
                <w:szCs w:val="22"/>
              </w:rPr>
              <w:t xml:space="preserve"> stelt</w:t>
            </w:r>
            <w:r w:rsidRPr="00693C65">
              <w:rPr>
                <w:rFonts w:ascii="Calibri" w:hAnsi="Calibri" w:cs="Calibri"/>
                <w:color w:val="000000"/>
                <w:sz w:val="22"/>
                <w:szCs w:val="22"/>
              </w:rPr>
              <w:t xml:space="preserve"> een EU-strategie voor om de ontwikkeling, productie en toepassing van vaccins tegen COVID-19 te versnellen. De strategie heeft de volgende doelstellingen: </w:t>
            </w:r>
          </w:p>
          <w:p w:rsidR="00693C65" w:rsidP="00693C65" w:rsidRDefault="00693C65">
            <w:pPr>
              <w:pStyle w:val="Lijstalinea"/>
              <w:numPr>
                <w:ilvl w:val="0"/>
                <w:numId w:val="5"/>
              </w:numPr>
              <w:rPr>
                <w:rFonts w:ascii="Calibri" w:hAnsi="Calibri" w:cs="Calibri"/>
                <w:color w:val="000000"/>
                <w:sz w:val="22"/>
                <w:szCs w:val="22"/>
              </w:rPr>
            </w:pPr>
            <w:r w:rsidRPr="00693C65">
              <w:rPr>
                <w:rFonts w:ascii="Calibri" w:hAnsi="Calibri" w:cs="Calibri"/>
                <w:color w:val="000000"/>
                <w:sz w:val="22"/>
                <w:szCs w:val="22"/>
              </w:rPr>
              <w:t xml:space="preserve">de </w:t>
            </w:r>
            <w:r w:rsidRPr="00693C65">
              <w:rPr>
                <w:rFonts w:ascii="Calibri" w:hAnsi="Calibri" w:cs="Calibri"/>
                <w:b/>
                <w:bCs/>
                <w:color w:val="000000"/>
                <w:sz w:val="22"/>
                <w:szCs w:val="22"/>
              </w:rPr>
              <w:t xml:space="preserve">kwaliteit, veiligheid en werkzaamheid </w:t>
            </w:r>
            <w:r w:rsidRPr="00693C65">
              <w:rPr>
                <w:rFonts w:ascii="Calibri" w:hAnsi="Calibri" w:cs="Calibri"/>
                <w:color w:val="000000"/>
                <w:sz w:val="22"/>
                <w:szCs w:val="22"/>
              </w:rPr>
              <w:t xml:space="preserve">van de vaccins waarborgen; </w:t>
            </w:r>
          </w:p>
          <w:p w:rsidR="00693C65" w:rsidP="00693C65" w:rsidRDefault="00693C65">
            <w:pPr>
              <w:pStyle w:val="Lijstalinea"/>
              <w:numPr>
                <w:ilvl w:val="0"/>
                <w:numId w:val="5"/>
              </w:numPr>
              <w:rPr>
                <w:rFonts w:ascii="Calibri" w:hAnsi="Calibri" w:cs="Calibri"/>
                <w:color w:val="000000"/>
                <w:sz w:val="22"/>
                <w:szCs w:val="22"/>
              </w:rPr>
            </w:pPr>
            <w:r w:rsidRPr="00693C65">
              <w:rPr>
                <w:rFonts w:ascii="Calibri" w:hAnsi="Calibri" w:cs="Calibri"/>
                <w:color w:val="000000"/>
                <w:sz w:val="22"/>
                <w:szCs w:val="22"/>
              </w:rPr>
              <w:t xml:space="preserve">zorgen voor </w:t>
            </w:r>
            <w:r w:rsidRPr="00693C65">
              <w:rPr>
                <w:rFonts w:ascii="Calibri" w:hAnsi="Calibri" w:cs="Calibri"/>
                <w:b/>
                <w:bCs/>
                <w:color w:val="000000"/>
                <w:sz w:val="22"/>
                <w:szCs w:val="22"/>
              </w:rPr>
              <w:t xml:space="preserve">tijdige toegang </w:t>
            </w:r>
            <w:r w:rsidRPr="00693C65">
              <w:rPr>
                <w:rFonts w:ascii="Calibri" w:hAnsi="Calibri" w:cs="Calibri"/>
                <w:color w:val="000000"/>
                <w:sz w:val="22"/>
                <w:szCs w:val="22"/>
              </w:rPr>
              <w:t xml:space="preserve">tot vaccins voor de lidstaten en hun bevolking, en tegelijkertijd de wereldwijde solidariteitsinspanningen leiden; </w:t>
            </w:r>
          </w:p>
          <w:p w:rsidRPr="00693C65" w:rsidR="00693C65" w:rsidP="00693C65" w:rsidRDefault="00693C65">
            <w:pPr>
              <w:pStyle w:val="Lijstalinea"/>
              <w:numPr>
                <w:ilvl w:val="0"/>
                <w:numId w:val="5"/>
              </w:numPr>
              <w:rPr>
                <w:rFonts w:ascii="Calibri" w:hAnsi="Calibri" w:cs="Calibri"/>
                <w:color w:val="000000"/>
                <w:sz w:val="22"/>
                <w:szCs w:val="22"/>
              </w:rPr>
            </w:pPr>
            <w:r w:rsidRPr="00693C65">
              <w:rPr>
                <w:rFonts w:ascii="Calibri" w:hAnsi="Calibri" w:cs="Calibri"/>
                <w:color w:val="000000"/>
                <w:sz w:val="22"/>
                <w:szCs w:val="22"/>
              </w:rPr>
              <w:lastRenderedPageBreak/>
              <w:t xml:space="preserve">zo spoedig mogelijk voor iedereen in de EU </w:t>
            </w:r>
            <w:r w:rsidRPr="00693C65">
              <w:rPr>
                <w:rFonts w:ascii="Calibri" w:hAnsi="Calibri" w:cs="Calibri"/>
                <w:b/>
                <w:bCs/>
                <w:color w:val="000000"/>
                <w:sz w:val="22"/>
                <w:szCs w:val="22"/>
              </w:rPr>
              <w:t xml:space="preserve">billijke toegang </w:t>
            </w:r>
            <w:r w:rsidRPr="00693C65">
              <w:rPr>
                <w:rFonts w:ascii="Calibri" w:hAnsi="Calibri" w:cs="Calibri"/>
                <w:color w:val="000000"/>
                <w:sz w:val="22"/>
                <w:szCs w:val="22"/>
              </w:rPr>
              <w:t xml:space="preserve">tot een betaalbaar vaccin waarborgen. </w:t>
            </w:r>
          </w:p>
          <w:p w:rsidRPr="005B745F" w:rsidR="005B745F" w:rsidP="005B745F" w:rsidRDefault="005B745F">
            <w:pPr>
              <w:rPr>
                <w:rFonts w:ascii="Calibri" w:hAnsi="Calibri" w:cs="Calibri"/>
                <w:color w:val="000000"/>
                <w:sz w:val="22"/>
                <w:szCs w:val="22"/>
              </w:rPr>
            </w:pPr>
            <w:r w:rsidRPr="005B745F">
              <w:rPr>
                <w:rFonts w:ascii="Calibri" w:hAnsi="Calibri" w:cs="Calibri"/>
                <w:color w:val="000000"/>
                <w:sz w:val="22"/>
                <w:szCs w:val="22"/>
              </w:rPr>
              <w:t>De EU-strategie berust op twee pijlers:</w:t>
            </w:r>
          </w:p>
          <w:p w:rsidR="005B745F" w:rsidP="005B745F" w:rsidRDefault="005B745F">
            <w:pPr>
              <w:pStyle w:val="Lijstalinea"/>
              <w:numPr>
                <w:ilvl w:val="0"/>
                <w:numId w:val="6"/>
              </w:numPr>
              <w:rPr>
                <w:rFonts w:ascii="Calibri" w:hAnsi="Calibri" w:cs="Calibri"/>
                <w:color w:val="000000"/>
                <w:sz w:val="22"/>
                <w:szCs w:val="22"/>
              </w:rPr>
            </w:pPr>
            <w:r w:rsidRPr="005B745F">
              <w:rPr>
                <w:rFonts w:ascii="Calibri" w:hAnsi="Calibri" w:cs="Calibri"/>
                <w:color w:val="000000"/>
                <w:sz w:val="22"/>
                <w:szCs w:val="22"/>
              </w:rPr>
              <w:t>de productie van voldoende vaccins in de EU en dus voldoende voorraden voor de lidstaten verzekeren door middel van aankoopovereenkomsten (Advance Purchase Agreements, APA’s) met vaccinproducenten v</w:t>
            </w:r>
            <w:r>
              <w:rPr>
                <w:rFonts w:ascii="Calibri" w:hAnsi="Calibri" w:cs="Calibri"/>
                <w:color w:val="000000"/>
                <w:sz w:val="22"/>
                <w:szCs w:val="22"/>
              </w:rPr>
              <w:t xml:space="preserve">ia het instrument voor noodhulp. </w:t>
            </w:r>
            <w:r w:rsidRPr="005B745F">
              <w:rPr>
                <w:rFonts w:ascii="Calibri" w:hAnsi="Calibri" w:cs="Calibri"/>
                <w:color w:val="000000"/>
                <w:sz w:val="22"/>
                <w:szCs w:val="22"/>
              </w:rPr>
              <w:t>Naast dergelijke overeenkomsten kunnen aanvullende financiering en andere vormen van steun ter beschikking worden gesteld;</w:t>
            </w:r>
          </w:p>
          <w:p w:rsidR="00A64AF1" w:rsidP="005B745F" w:rsidRDefault="005B745F">
            <w:pPr>
              <w:pStyle w:val="Lijstalinea"/>
              <w:numPr>
                <w:ilvl w:val="0"/>
                <w:numId w:val="6"/>
              </w:numPr>
              <w:rPr>
                <w:rFonts w:ascii="Calibri" w:hAnsi="Calibri" w:cs="Calibri"/>
                <w:color w:val="000000"/>
                <w:sz w:val="22"/>
                <w:szCs w:val="22"/>
              </w:rPr>
            </w:pPr>
            <w:r w:rsidRPr="005B745F">
              <w:rPr>
                <w:rFonts w:ascii="Calibri" w:hAnsi="Calibri" w:cs="Calibri"/>
                <w:color w:val="000000"/>
                <w:sz w:val="22"/>
                <w:szCs w:val="22"/>
              </w:rPr>
              <w:t>het regelgevingskader van de EU aanpassen aan de huidige urgentie en gebruikmaken van de bestaande flexibiliteit van de regelgeving om de ontwikkeling, goedkeuring en beschikbaarheid van vaccins te versnellen en tegelijkertijd de normen voor de kwaliteit, de veiligheid en de werkzaamheid van vaccins te handhaven.</w:t>
            </w:r>
          </w:p>
          <w:p w:rsidRPr="003544DA" w:rsidR="003544DA" w:rsidP="003544DA" w:rsidRDefault="003544DA">
            <w:pPr>
              <w:rPr>
                <w:rFonts w:ascii="Calibri" w:hAnsi="Calibri" w:cs="Calibri"/>
                <w:color w:val="000000"/>
                <w:sz w:val="22"/>
                <w:szCs w:val="22"/>
              </w:rPr>
            </w:pPr>
            <w:r>
              <w:rPr>
                <w:rFonts w:ascii="Calibri" w:hAnsi="Calibri" w:cs="Calibri"/>
                <w:color w:val="000000"/>
                <w:sz w:val="22"/>
                <w:szCs w:val="22"/>
              </w:rPr>
              <w:t>Er wordt een stuurgroep opgericht om met de Commissie mee te denken over de APA’s.</w:t>
            </w:r>
          </w:p>
          <w:p w:rsidR="00A65C65" w:rsidP="00A64AF1" w:rsidRDefault="00A65C65">
            <w:pPr>
              <w:rPr>
                <w:rFonts w:ascii="Calibri" w:hAnsi="Calibri" w:cs="Calibri"/>
                <w:color w:val="000000"/>
                <w:sz w:val="22"/>
                <w:szCs w:val="22"/>
              </w:rPr>
            </w:pPr>
          </w:p>
          <w:p w:rsidRPr="00A64AF1" w:rsidR="00A64AF1" w:rsidP="00213223" w:rsidRDefault="00A64AF1">
            <w:pPr>
              <w:rPr>
                <w:rFonts w:ascii="Calibri" w:hAnsi="Calibri" w:cs="Calibri"/>
                <w:color w:val="000000"/>
                <w:sz w:val="22"/>
                <w:szCs w:val="22"/>
              </w:rPr>
            </w:pPr>
            <w:r>
              <w:rPr>
                <w:rFonts w:ascii="Calibri" w:hAnsi="Calibri" w:cs="Calibri"/>
                <w:b/>
                <w:color w:val="000000"/>
                <w:sz w:val="22"/>
                <w:szCs w:val="22"/>
              </w:rPr>
              <w:t>Behandelvoorstel</w:t>
            </w:r>
            <w:r>
              <w:rPr>
                <w:rFonts w:ascii="Calibri" w:hAnsi="Calibri" w:cs="Calibri"/>
                <w:color w:val="000000"/>
                <w:sz w:val="22"/>
                <w:szCs w:val="22"/>
              </w:rPr>
              <w:t xml:space="preserve">: </w:t>
            </w:r>
            <w:r w:rsidR="00213223">
              <w:rPr>
                <w:rFonts w:ascii="Calibri" w:hAnsi="Calibri" w:cs="Calibri"/>
                <w:color w:val="000000"/>
                <w:sz w:val="22"/>
                <w:szCs w:val="22"/>
              </w:rPr>
              <w:t>appreciatie van het kabinet vragen middels een BNC fiche. Mededeling betrekken bij het AO EU-Gezondheidsraad van 26 november aanstaande.</w:t>
            </w:r>
          </w:p>
        </w:tc>
      </w:tr>
      <w:tr w:rsidRPr="004B19E5" w:rsidR="00A64AF1" w:rsidTr="00A6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4AF1" w:rsidP="00A64AF1" w:rsidRDefault="00A64AF1">
            <w:pPr>
              <w:rPr>
                <w:rFonts w:ascii="Calibri" w:hAnsi="Calibri" w:cs="Calibri"/>
                <w:color w:val="000000"/>
                <w:sz w:val="22"/>
                <w:szCs w:val="22"/>
              </w:rPr>
            </w:pPr>
            <w:r>
              <w:rPr>
                <w:rFonts w:ascii="Calibri" w:hAnsi="Calibri" w:cs="Calibri"/>
                <w:color w:val="000000"/>
                <w:sz w:val="22"/>
                <w:szCs w:val="22"/>
              </w:rPr>
              <w:lastRenderedPageBreak/>
              <w:t>15-jul-20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64AF1" w:rsidP="00A64AF1" w:rsidRDefault="00A64AF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64AF1" w:rsidP="00A64AF1" w:rsidRDefault="00A64AF1">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00A64AF1" w:rsidP="00A64AF1" w:rsidRDefault="00A64AF1">
            <w:pPr>
              <w:rPr>
                <w:rFonts w:ascii="Calibri" w:hAnsi="Calibri" w:cs="Calibri"/>
                <w:color w:val="000000"/>
                <w:sz w:val="22"/>
                <w:szCs w:val="22"/>
              </w:rPr>
            </w:pPr>
            <w:r>
              <w:rPr>
                <w:rFonts w:ascii="Calibri" w:hAnsi="Calibri" w:cs="Calibri"/>
                <w:color w:val="000000"/>
                <w:sz w:val="22"/>
                <w:szCs w:val="22"/>
              </w:rPr>
              <w:t>MEDEDELING VAN DE COMMISSIE AAN HET EUROPEES PARLEMENT, DE RAAD, HET ECONOMISCH EN SOCIAAL COMITÉ EN HET COMITÉ VAN DE REGIO’S Kortetermijnparaatheid van de EU op gezondheidsgebied voor COVID-19-uitbraken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4AF1" w:rsidP="00A64AF1" w:rsidRDefault="003E6775">
            <w:pPr>
              <w:rPr>
                <w:rFonts w:ascii="Calibri" w:hAnsi="Calibri" w:cs="Calibri"/>
                <w:color w:val="0000FF"/>
                <w:sz w:val="22"/>
                <w:szCs w:val="22"/>
                <w:u w:val="single"/>
              </w:rPr>
            </w:pPr>
            <w:hyperlink w:history="1" r:id="rId10">
              <w:r w:rsidR="00A64AF1">
                <w:rPr>
                  <w:rStyle w:val="Hyperlink"/>
                  <w:rFonts w:ascii="Calibri" w:hAnsi="Calibri" w:cs="Calibri"/>
                  <w:sz w:val="22"/>
                  <w:szCs w:val="22"/>
                </w:rPr>
                <w:t>COM (2020) 318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00A64AF1" w:rsidP="00A64AF1" w:rsidRDefault="00A64AF1">
            <w:pPr>
              <w:rPr>
                <w:rFonts w:ascii="Calibri" w:hAnsi="Calibri" w:cs="Calibri"/>
                <w:color w:val="000000"/>
                <w:sz w:val="22"/>
                <w:szCs w:val="22"/>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6B054E" w:rsidP="00A64AF1" w:rsidRDefault="006B054E">
            <w:pPr>
              <w:rPr>
                <w:rFonts w:ascii="Calibri" w:hAnsi="Calibri" w:cs="Calibri"/>
                <w:color w:val="000000"/>
                <w:sz w:val="22"/>
                <w:szCs w:val="22"/>
              </w:rPr>
            </w:pPr>
            <w:r>
              <w:rPr>
                <w:rFonts w:ascii="Calibri" w:hAnsi="Calibri" w:cs="Calibri"/>
                <w:color w:val="000000"/>
                <w:sz w:val="22"/>
                <w:szCs w:val="22"/>
              </w:rPr>
              <w:t>De</w:t>
            </w:r>
            <w:r w:rsidRPr="006B054E">
              <w:rPr>
                <w:rFonts w:ascii="Calibri" w:hAnsi="Calibri" w:cs="Calibri"/>
                <w:color w:val="000000"/>
                <w:sz w:val="22"/>
                <w:szCs w:val="22"/>
              </w:rPr>
              <w:t xml:space="preserve"> Mededeling is erop gericht de korte-termijnparaatheid van de EU op gezondheidsgebied te waarborgen ingeval van verdere uitbraken van COVID-19 in Europa.</w:t>
            </w:r>
            <w:r>
              <w:rPr>
                <w:rFonts w:ascii="Calibri" w:hAnsi="Calibri" w:cs="Calibri"/>
                <w:color w:val="000000"/>
                <w:sz w:val="22"/>
                <w:szCs w:val="22"/>
              </w:rPr>
              <w:t xml:space="preserve"> In de strategie wordt onder ingegaan op:</w:t>
            </w:r>
          </w:p>
          <w:p w:rsidR="004475F6" w:rsidP="006B054E" w:rsidRDefault="006B054E">
            <w:pPr>
              <w:pStyle w:val="Lijstalinea"/>
              <w:numPr>
                <w:ilvl w:val="0"/>
                <w:numId w:val="7"/>
              </w:numPr>
              <w:rPr>
                <w:rFonts w:ascii="Calibri" w:hAnsi="Calibri" w:cs="Calibri"/>
                <w:color w:val="000000"/>
                <w:sz w:val="22"/>
                <w:szCs w:val="22"/>
              </w:rPr>
            </w:pPr>
            <w:r>
              <w:rPr>
                <w:rFonts w:ascii="Calibri" w:hAnsi="Calibri" w:cs="Calibri"/>
                <w:color w:val="000000"/>
                <w:sz w:val="22"/>
                <w:szCs w:val="22"/>
              </w:rPr>
              <w:t xml:space="preserve">opsporing: </w:t>
            </w:r>
            <w:r w:rsidRPr="006B054E">
              <w:rPr>
                <w:rFonts w:ascii="Calibri" w:hAnsi="Calibri" w:cs="Calibri"/>
                <w:color w:val="000000"/>
                <w:sz w:val="22"/>
                <w:szCs w:val="22"/>
              </w:rPr>
              <w:t>testen en</w:t>
            </w:r>
            <w:r>
              <w:rPr>
                <w:rFonts w:ascii="Calibri" w:hAnsi="Calibri" w:cs="Calibri"/>
                <w:color w:val="000000"/>
                <w:sz w:val="22"/>
                <w:szCs w:val="22"/>
              </w:rPr>
              <w:t xml:space="preserve"> contactonderzoek</w:t>
            </w:r>
          </w:p>
          <w:p w:rsidR="006B054E" w:rsidP="006B054E" w:rsidRDefault="006B054E">
            <w:pPr>
              <w:pStyle w:val="Lijstalinea"/>
              <w:numPr>
                <w:ilvl w:val="0"/>
                <w:numId w:val="7"/>
              </w:numPr>
              <w:rPr>
                <w:rFonts w:ascii="Calibri" w:hAnsi="Calibri" w:cs="Calibri"/>
                <w:color w:val="000000"/>
                <w:sz w:val="22"/>
                <w:szCs w:val="22"/>
              </w:rPr>
            </w:pPr>
            <w:r>
              <w:rPr>
                <w:rFonts w:ascii="Calibri" w:hAnsi="Calibri" w:cs="Calibri"/>
                <w:color w:val="000000"/>
                <w:sz w:val="22"/>
                <w:szCs w:val="22"/>
              </w:rPr>
              <w:t>medische tegenmaatregelen: beschikbaarheid van beschermingsmiddelen, geneesmiddelen en medische hulpmiddelen</w:t>
            </w:r>
          </w:p>
          <w:p w:rsidR="006B054E" w:rsidP="006B054E" w:rsidRDefault="006B054E">
            <w:pPr>
              <w:pStyle w:val="Lijstalinea"/>
              <w:numPr>
                <w:ilvl w:val="0"/>
                <w:numId w:val="7"/>
              </w:numPr>
              <w:rPr>
                <w:rFonts w:ascii="Calibri" w:hAnsi="Calibri" w:cs="Calibri"/>
                <w:color w:val="000000"/>
                <w:sz w:val="22"/>
                <w:szCs w:val="22"/>
              </w:rPr>
            </w:pPr>
            <w:r>
              <w:rPr>
                <w:rFonts w:ascii="Calibri" w:hAnsi="Calibri" w:cs="Calibri"/>
                <w:color w:val="000000"/>
                <w:sz w:val="22"/>
                <w:szCs w:val="22"/>
              </w:rPr>
              <w:t>buffercapaciteit op het gebied van de gezondheidszorg</w:t>
            </w:r>
          </w:p>
          <w:p w:rsidR="006B054E" w:rsidP="006B054E" w:rsidRDefault="006B054E">
            <w:pPr>
              <w:pStyle w:val="Lijstalinea"/>
              <w:numPr>
                <w:ilvl w:val="0"/>
                <w:numId w:val="7"/>
              </w:numPr>
              <w:rPr>
                <w:rFonts w:ascii="Calibri" w:hAnsi="Calibri" w:cs="Calibri"/>
                <w:color w:val="000000"/>
                <w:sz w:val="22"/>
                <w:szCs w:val="22"/>
              </w:rPr>
            </w:pPr>
            <w:r>
              <w:rPr>
                <w:rFonts w:ascii="Calibri" w:hAnsi="Calibri" w:cs="Calibri"/>
                <w:color w:val="000000"/>
                <w:sz w:val="22"/>
                <w:szCs w:val="22"/>
              </w:rPr>
              <w:t>niet-farmaceutische tegenmaatregelen</w:t>
            </w:r>
          </w:p>
          <w:p w:rsidR="006B054E" w:rsidP="006B054E" w:rsidRDefault="006B054E">
            <w:pPr>
              <w:pStyle w:val="Lijstalinea"/>
              <w:numPr>
                <w:ilvl w:val="0"/>
                <w:numId w:val="7"/>
              </w:numPr>
              <w:rPr>
                <w:rFonts w:ascii="Calibri" w:hAnsi="Calibri" w:cs="Calibri"/>
                <w:color w:val="000000"/>
                <w:sz w:val="22"/>
                <w:szCs w:val="22"/>
              </w:rPr>
            </w:pPr>
            <w:r>
              <w:rPr>
                <w:rFonts w:ascii="Calibri" w:hAnsi="Calibri" w:cs="Calibri"/>
                <w:color w:val="000000"/>
                <w:sz w:val="22"/>
                <w:szCs w:val="22"/>
              </w:rPr>
              <w:t>steun voor kwetsbare groepen</w:t>
            </w:r>
          </w:p>
          <w:p w:rsidRPr="006B054E" w:rsidR="006B054E" w:rsidP="006B054E" w:rsidRDefault="006B054E">
            <w:pPr>
              <w:pStyle w:val="Lijstalinea"/>
              <w:numPr>
                <w:ilvl w:val="0"/>
                <w:numId w:val="7"/>
              </w:numPr>
              <w:rPr>
                <w:rFonts w:ascii="Calibri" w:hAnsi="Calibri" w:cs="Calibri"/>
                <w:color w:val="000000"/>
                <w:sz w:val="22"/>
                <w:szCs w:val="22"/>
              </w:rPr>
            </w:pPr>
            <w:r>
              <w:rPr>
                <w:rFonts w:ascii="Calibri" w:hAnsi="Calibri" w:cs="Calibri"/>
                <w:color w:val="000000"/>
                <w:sz w:val="22"/>
                <w:szCs w:val="22"/>
              </w:rPr>
              <w:t xml:space="preserve">vermindering van belasting door de </w:t>
            </w:r>
            <w:r w:rsidR="00906C74">
              <w:rPr>
                <w:rFonts w:ascii="Calibri" w:hAnsi="Calibri" w:cs="Calibri"/>
                <w:color w:val="000000"/>
                <w:sz w:val="22"/>
                <w:szCs w:val="22"/>
              </w:rPr>
              <w:t>seizoen griep</w:t>
            </w:r>
          </w:p>
          <w:p w:rsidR="004475F6" w:rsidP="00A64AF1" w:rsidRDefault="004475F6">
            <w:pPr>
              <w:rPr>
                <w:rFonts w:ascii="Calibri" w:hAnsi="Calibri" w:cs="Calibri"/>
                <w:b/>
                <w:color w:val="000000"/>
                <w:sz w:val="22"/>
                <w:szCs w:val="22"/>
              </w:rPr>
            </w:pPr>
          </w:p>
          <w:p w:rsidRPr="00A64AF1" w:rsidR="00A64AF1" w:rsidP="00A31A13" w:rsidRDefault="00A64AF1">
            <w:pPr>
              <w:rPr>
                <w:rFonts w:ascii="Calibri" w:hAnsi="Calibri" w:cs="Calibri"/>
                <w:color w:val="000000"/>
                <w:sz w:val="22"/>
                <w:szCs w:val="22"/>
              </w:rPr>
            </w:pPr>
            <w:r>
              <w:rPr>
                <w:rFonts w:ascii="Calibri" w:hAnsi="Calibri" w:cs="Calibri"/>
                <w:b/>
                <w:color w:val="000000"/>
                <w:sz w:val="22"/>
                <w:szCs w:val="22"/>
              </w:rPr>
              <w:t>Behandelvoorstel</w:t>
            </w:r>
            <w:r>
              <w:rPr>
                <w:rFonts w:ascii="Calibri" w:hAnsi="Calibri" w:cs="Calibri"/>
                <w:color w:val="000000"/>
                <w:sz w:val="22"/>
                <w:szCs w:val="22"/>
              </w:rPr>
              <w:t xml:space="preserve">: </w:t>
            </w:r>
            <w:r w:rsidR="00A31A13">
              <w:rPr>
                <w:rFonts w:ascii="Calibri" w:hAnsi="Calibri" w:cs="Calibri"/>
                <w:color w:val="000000"/>
                <w:sz w:val="22"/>
                <w:szCs w:val="22"/>
              </w:rPr>
              <w:t>m</w:t>
            </w:r>
            <w:r w:rsidR="00693C65">
              <w:rPr>
                <w:rFonts w:ascii="Calibri" w:hAnsi="Calibri" w:cs="Calibri"/>
                <w:color w:val="000000"/>
                <w:sz w:val="22"/>
                <w:szCs w:val="22"/>
              </w:rPr>
              <w:t>ededeling betrekken bij het AO EU-Gezondheidsraad van 26 november aanstaande.</w:t>
            </w:r>
          </w:p>
        </w:tc>
      </w:tr>
      <w:tr w:rsidRPr="004B19E5" w:rsidR="00014339" w:rsidTr="0001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14339" w:rsidP="00014339" w:rsidRDefault="00014339">
            <w:pPr>
              <w:rPr>
                <w:rFonts w:ascii="Calibri" w:hAnsi="Calibri" w:cs="Calibri"/>
                <w:color w:val="000000"/>
                <w:sz w:val="22"/>
                <w:szCs w:val="22"/>
              </w:rPr>
            </w:pPr>
            <w:r>
              <w:rPr>
                <w:rFonts w:ascii="Calibri" w:hAnsi="Calibri" w:cs="Calibri"/>
                <w:color w:val="000000"/>
                <w:sz w:val="22"/>
                <w:szCs w:val="22"/>
              </w:rPr>
              <w:t>7-jul-20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14339" w:rsidP="00014339" w:rsidRDefault="00014339">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14339" w:rsidP="00014339" w:rsidRDefault="00014339">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014339" w:rsidP="00014339" w:rsidRDefault="00014339">
            <w:pPr>
              <w:rPr>
                <w:rFonts w:ascii="Calibri" w:hAnsi="Calibri" w:cs="Calibri"/>
                <w:color w:val="000000"/>
                <w:sz w:val="22"/>
                <w:szCs w:val="22"/>
              </w:rPr>
            </w:pPr>
            <w:r>
              <w:rPr>
                <w:rFonts w:ascii="Calibri" w:hAnsi="Calibri" w:cs="Calibri"/>
                <w:color w:val="000000"/>
                <w:sz w:val="22"/>
                <w:szCs w:val="22"/>
              </w:rPr>
              <w:t>Verslag van de Commissie aan het Europees Parlement, de Raad, het Europees Economisch en Sociaal Comité en het Comité van de Regio's over de uitvoering van het werkplan van de Europese Unie voor sport (2017-2020)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14339" w:rsidP="00014339" w:rsidRDefault="003E6775">
            <w:pPr>
              <w:rPr>
                <w:rFonts w:ascii="Calibri" w:hAnsi="Calibri" w:cs="Calibri"/>
                <w:color w:val="0000FF"/>
                <w:sz w:val="22"/>
                <w:szCs w:val="22"/>
                <w:u w:val="single"/>
              </w:rPr>
            </w:pPr>
            <w:hyperlink w:history="1" r:id="rId11">
              <w:r w:rsidR="00014339">
                <w:rPr>
                  <w:rStyle w:val="Hyperlink"/>
                  <w:rFonts w:ascii="Calibri" w:hAnsi="Calibri" w:cs="Calibri"/>
                  <w:sz w:val="22"/>
                  <w:szCs w:val="22"/>
                </w:rPr>
                <w:t>COM (2020) 293</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00014339" w:rsidP="00014339" w:rsidRDefault="00014339">
            <w:pPr>
              <w:rPr>
                <w:rFonts w:ascii="Calibri" w:hAnsi="Calibri" w:cs="Calibri"/>
                <w:color w:val="000000"/>
                <w:sz w:val="22"/>
                <w:szCs w:val="22"/>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014339" w:rsidP="00014339" w:rsidRDefault="00880E81">
            <w:pPr>
              <w:rPr>
                <w:rFonts w:ascii="Calibri" w:hAnsi="Calibri" w:cs="Calibri"/>
                <w:color w:val="000000"/>
                <w:sz w:val="22"/>
                <w:szCs w:val="22"/>
              </w:rPr>
            </w:pPr>
            <w:r>
              <w:rPr>
                <w:rFonts w:ascii="Calibri" w:hAnsi="Calibri" w:cs="Calibri"/>
                <w:color w:val="000000"/>
                <w:sz w:val="22"/>
                <w:szCs w:val="22"/>
              </w:rPr>
              <w:t xml:space="preserve">Dit betreft een verslag over de uitvoering en de relevantie van het werkplan van de EU voor sport 2017-2020. Het verslag vormt de basis voor het opstellen van een eventueel vierde werkplan. </w:t>
            </w:r>
            <w:r w:rsidRPr="006C0007">
              <w:rPr>
                <w:rFonts w:ascii="Calibri" w:hAnsi="Calibri" w:cs="Calibri"/>
                <w:color w:val="000000"/>
                <w:sz w:val="22"/>
                <w:szCs w:val="22"/>
              </w:rPr>
              <w:t>Uit de analyse van de ontvangen informatie blijkt dat de uitvoering van het derde werkplan aan de algemene verwachtingen en doelstellingen heeft voldaan.</w:t>
            </w:r>
          </w:p>
          <w:p w:rsidRPr="00880E81" w:rsidR="00880E81" w:rsidP="00880E81" w:rsidRDefault="00880E81">
            <w:pPr>
              <w:rPr>
                <w:rFonts w:ascii="Calibri" w:hAnsi="Calibri" w:cs="Calibri"/>
                <w:color w:val="000000"/>
                <w:sz w:val="22"/>
                <w:szCs w:val="22"/>
              </w:rPr>
            </w:pPr>
          </w:p>
          <w:p w:rsidRPr="00014339" w:rsidR="00014339" w:rsidP="00014339" w:rsidRDefault="00014339">
            <w:pPr>
              <w:rPr>
                <w:rFonts w:ascii="Calibri" w:hAnsi="Calibri" w:cs="Calibri"/>
                <w:color w:val="000000"/>
                <w:sz w:val="22"/>
                <w:szCs w:val="22"/>
              </w:rPr>
            </w:pPr>
            <w:r>
              <w:rPr>
                <w:rFonts w:ascii="Calibri" w:hAnsi="Calibri" w:cs="Calibri"/>
                <w:b/>
                <w:color w:val="000000"/>
                <w:sz w:val="22"/>
                <w:szCs w:val="22"/>
              </w:rPr>
              <w:t>Behandelvoorstel</w:t>
            </w:r>
            <w:r>
              <w:rPr>
                <w:rFonts w:ascii="Calibri" w:hAnsi="Calibri" w:cs="Calibri"/>
                <w:color w:val="000000"/>
                <w:sz w:val="22"/>
                <w:szCs w:val="22"/>
              </w:rPr>
              <w:t xml:space="preserve">: </w:t>
            </w:r>
            <w:r w:rsidR="00880E81">
              <w:rPr>
                <w:rFonts w:ascii="Calibri" w:hAnsi="Calibri" w:cs="Calibri"/>
                <w:color w:val="000000"/>
                <w:sz w:val="22"/>
                <w:szCs w:val="22"/>
              </w:rPr>
              <w:t>voor kennisgeving aannemen</w:t>
            </w:r>
          </w:p>
        </w:tc>
      </w:tr>
      <w:tr w:rsidRPr="004B19E5" w:rsidR="00014339" w:rsidTr="0001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14339" w:rsidP="00014339" w:rsidRDefault="00014339">
            <w:pPr>
              <w:rPr>
                <w:rFonts w:ascii="Calibri" w:hAnsi="Calibri" w:cs="Calibri"/>
                <w:color w:val="000000"/>
                <w:sz w:val="22"/>
                <w:szCs w:val="22"/>
              </w:rPr>
            </w:pPr>
            <w:r>
              <w:rPr>
                <w:rFonts w:ascii="Calibri" w:hAnsi="Calibri" w:cs="Calibri"/>
                <w:color w:val="000000"/>
                <w:sz w:val="22"/>
                <w:szCs w:val="22"/>
              </w:rPr>
              <w:t>17-aug-20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14339" w:rsidP="00014339" w:rsidRDefault="00014339">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14339" w:rsidP="00014339" w:rsidRDefault="00014339">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014339" w:rsidP="00014339" w:rsidRDefault="00014339">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EN DE RAAD over de uit hoofde van artikel 19, lid 1, van Verordening 2017/852 vereiste evaluaties inzake het gebruik </w:t>
            </w:r>
            <w:r>
              <w:rPr>
                <w:rFonts w:ascii="Calibri" w:hAnsi="Calibri" w:cs="Calibri"/>
                <w:color w:val="000000"/>
                <w:sz w:val="22"/>
                <w:szCs w:val="22"/>
              </w:rPr>
              <w:lastRenderedPageBreak/>
              <w:t>van kwik in tandheelkundig amalgaam en producten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14339" w:rsidP="00014339" w:rsidRDefault="003E6775">
            <w:pPr>
              <w:rPr>
                <w:rFonts w:ascii="Calibri" w:hAnsi="Calibri" w:cs="Calibri"/>
                <w:color w:val="0000FF"/>
                <w:sz w:val="22"/>
                <w:szCs w:val="22"/>
                <w:u w:val="single"/>
              </w:rPr>
            </w:pPr>
            <w:hyperlink w:history="1" r:id="rId12">
              <w:r w:rsidR="00014339">
                <w:rPr>
                  <w:rStyle w:val="Hyperlink"/>
                  <w:rFonts w:ascii="Calibri" w:hAnsi="Calibri" w:cs="Calibri"/>
                  <w:sz w:val="22"/>
                  <w:szCs w:val="22"/>
                </w:rPr>
                <w:t>COM (2020) 378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00014339" w:rsidP="00014339" w:rsidRDefault="00014339">
            <w:pPr>
              <w:rPr>
                <w:rFonts w:ascii="Calibri" w:hAnsi="Calibri" w:cs="Calibri"/>
                <w:color w:val="000000"/>
                <w:sz w:val="22"/>
                <w:szCs w:val="22"/>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687501" w:rsidP="00687501" w:rsidRDefault="00687501">
            <w:pPr>
              <w:rPr>
                <w:rFonts w:ascii="Calibri" w:hAnsi="Calibri" w:cs="Calibri"/>
                <w:color w:val="000000"/>
                <w:sz w:val="22"/>
                <w:szCs w:val="22"/>
              </w:rPr>
            </w:pPr>
            <w:r w:rsidRPr="00687501">
              <w:rPr>
                <w:rFonts w:ascii="Calibri" w:hAnsi="Calibri" w:cs="Calibri"/>
                <w:color w:val="000000"/>
                <w:sz w:val="22"/>
                <w:szCs w:val="22"/>
              </w:rPr>
              <w:t>Dit</w:t>
            </w:r>
            <w:r>
              <w:rPr>
                <w:rFonts w:ascii="Calibri" w:hAnsi="Calibri" w:cs="Calibri"/>
                <w:color w:val="000000"/>
                <w:sz w:val="22"/>
                <w:szCs w:val="22"/>
              </w:rPr>
              <w:t xml:space="preserve"> betreft een regulier</w:t>
            </w:r>
            <w:r w:rsidRPr="00687501">
              <w:rPr>
                <w:rFonts w:ascii="Calibri" w:hAnsi="Calibri" w:cs="Calibri"/>
                <w:color w:val="000000"/>
                <w:sz w:val="22"/>
                <w:szCs w:val="22"/>
              </w:rPr>
              <w:t xml:space="preserve"> verslag </w:t>
            </w:r>
            <w:r>
              <w:rPr>
                <w:rFonts w:ascii="Calibri" w:hAnsi="Calibri" w:cs="Calibri"/>
                <w:color w:val="000000"/>
                <w:sz w:val="22"/>
                <w:szCs w:val="22"/>
              </w:rPr>
              <w:t>op basis van de verorde</w:t>
            </w:r>
            <w:r w:rsidRPr="00687501">
              <w:rPr>
                <w:rFonts w:ascii="Calibri" w:hAnsi="Calibri" w:cs="Calibri"/>
                <w:color w:val="000000"/>
                <w:sz w:val="22"/>
                <w:szCs w:val="22"/>
              </w:rPr>
              <w:t xml:space="preserve">ning, waarin de Commissie een beoordeling en verslag moet overleggen </w:t>
            </w:r>
            <w:r w:rsidR="00025728">
              <w:rPr>
                <w:rFonts w:ascii="Calibri" w:hAnsi="Calibri" w:cs="Calibri"/>
                <w:color w:val="000000"/>
                <w:sz w:val="22"/>
                <w:szCs w:val="22"/>
              </w:rPr>
              <w:t xml:space="preserve">over (a) de noodzaak om emissies van kwik en kwikverbindingen van crematoria te reguleren, (b) de haalbaarheid van de </w:t>
            </w:r>
            <w:r w:rsidR="00025728">
              <w:rPr>
                <w:rFonts w:ascii="Calibri" w:hAnsi="Calibri" w:cs="Calibri"/>
                <w:color w:val="000000"/>
                <w:sz w:val="22"/>
                <w:szCs w:val="22"/>
              </w:rPr>
              <w:lastRenderedPageBreak/>
              <w:t xml:space="preserve">uitbanning van het gebruik van tandheelkundig amalgaam op lange termijn (2030), en (c) de milieuvoordelen en de haalbaarheid van verdere afstemming met de relevante EU wetgeving die het in de handel brengen van kwikhoudende producten reguleert. </w:t>
            </w:r>
          </w:p>
          <w:p w:rsidR="00025728" w:rsidP="00687501" w:rsidRDefault="00025728">
            <w:pPr>
              <w:rPr>
                <w:rFonts w:ascii="Calibri" w:hAnsi="Calibri" w:cs="Calibri"/>
                <w:color w:val="000000"/>
                <w:sz w:val="22"/>
                <w:szCs w:val="22"/>
              </w:rPr>
            </w:pPr>
          </w:p>
          <w:p w:rsidR="00687501" w:rsidP="00687501" w:rsidRDefault="00687501">
            <w:pPr>
              <w:rPr>
                <w:rFonts w:ascii="Calibri" w:hAnsi="Calibri" w:cs="Calibri"/>
                <w:iCs/>
                <w:color w:val="000000"/>
                <w:sz w:val="22"/>
                <w:szCs w:val="22"/>
              </w:rPr>
            </w:pPr>
            <w:r>
              <w:rPr>
                <w:rFonts w:ascii="Calibri" w:hAnsi="Calibri" w:cs="Calibri"/>
                <w:iCs/>
                <w:color w:val="000000"/>
                <w:sz w:val="22"/>
                <w:szCs w:val="22"/>
              </w:rPr>
              <w:t>Er is een duidelijke daling te zien in het gebruik van tandheelkundig amalgaam, de belangrijkste toepassing van kwik in de EU</w:t>
            </w:r>
            <w:r w:rsidR="00025728">
              <w:rPr>
                <w:rFonts w:ascii="Calibri" w:hAnsi="Calibri" w:cs="Calibri"/>
                <w:iCs/>
                <w:color w:val="000000"/>
                <w:sz w:val="22"/>
                <w:szCs w:val="22"/>
              </w:rPr>
              <w:t xml:space="preserve"> die</w:t>
            </w:r>
            <w:r>
              <w:rPr>
                <w:rFonts w:ascii="Calibri" w:hAnsi="Calibri" w:cs="Calibri"/>
                <w:iCs/>
                <w:color w:val="000000"/>
                <w:sz w:val="22"/>
                <w:szCs w:val="22"/>
              </w:rPr>
              <w:t xml:space="preserve"> nog wordt gebruikt. In Nederland wordt tandheelkundig amalgaam praktisch niet meer gebruikt. </w:t>
            </w:r>
          </w:p>
          <w:p w:rsidR="00025728" w:rsidP="00687501" w:rsidRDefault="00025728">
            <w:pPr>
              <w:rPr>
                <w:rFonts w:ascii="Calibri" w:hAnsi="Calibri" w:cs="Calibri"/>
                <w:iCs/>
                <w:color w:val="000000"/>
                <w:sz w:val="22"/>
                <w:szCs w:val="22"/>
              </w:rPr>
            </w:pPr>
          </w:p>
          <w:p w:rsidRPr="00687501" w:rsidR="00687501" w:rsidP="00687501" w:rsidRDefault="00687501">
            <w:pPr>
              <w:rPr>
                <w:rFonts w:ascii="Calibri" w:hAnsi="Calibri" w:cs="Calibri"/>
                <w:color w:val="000000"/>
                <w:sz w:val="22"/>
                <w:szCs w:val="22"/>
              </w:rPr>
            </w:pPr>
            <w:r>
              <w:rPr>
                <w:rFonts w:ascii="Calibri" w:hAnsi="Calibri" w:cs="Calibri"/>
                <w:iCs/>
                <w:color w:val="000000"/>
                <w:sz w:val="22"/>
                <w:szCs w:val="22"/>
              </w:rPr>
              <w:t>In 2022 wordt een wetsvoorstel ingediend om tandheelkundig amalgaam volledig uit te bannen.</w:t>
            </w:r>
          </w:p>
          <w:p w:rsidR="00014339" w:rsidP="00014339" w:rsidRDefault="00014339">
            <w:pPr>
              <w:rPr>
                <w:rFonts w:ascii="Calibri" w:hAnsi="Calibri" w:cs="Calibri"/>
                <w:b/>
                <w:color w:val="000000"/>
                <w:sz w:val="22"/>
                <w:szCs w:val="22"/>
              </w:rPr>
            </w:pPr>
          </w:p>
          <w:p w:rsidRPr="00E52959" w:rsidR="00E52959" w:rsidP="00014339" w:rsidRDefault="00E52959">
            <w:pPr>
              <w:rPr>
                <w:rFonts w:ascii="Calibri" w:hAnsi="Calibri" w:cs="Calibri"/>
                <w:color w:val="000000"/>
                <w:sz w:val="22"/>
                <w:szCs w:val="22"/>
              </w:rPr>
            </w:pPr>
            <w:r>
              <w:rPr>
                <w:rFonts w:ascii="Calibri" w:hAnsi="Calibri" w:cs="Calibri"/>
                <w:b/>
                <w:color w:val="000000"/>
                <w:sz w:val="22"/>
                <w:szCs w:val="22"/>
              </w:rPr>
              <w:t>Behandelvoorstel</w:t>
            </w:r>
            <w:r>
              <w:rPr>
                <w:rFonts w:ascii="Calibri" w:hAnsi="Calibri" w:cs="Calibri"/>
                <w:color w:val="000000"/>
                <w:sz w:val="22"/>
                <w:szCs w:val="22"/>
              </w:rPr>
              <w:t>:</w:t>
            </w:r>
            <w:r w:rsidR="00687501">
              <w:rPr>
                <w:rFonts w:ascii="Calibri" w:hAnsi="Calibri" w:cs="Calibri"/>
                <w:color w:val="000000"/>
                <w:sz w:val="22"/>
                <w:szCs w:val="22"/>
              </w:rPr>
              <w:t xml:space="preserve"> voor kennisgeving aannemen</w:t>
            </w:r>
          </w:p>
        </w:tc>
      </w:tr>
    </w:tbl>
    <w:p w:rsidRPr="00613AE7" w:rsidR="00771CAB" w:rsidP="00771CAB" w:rsidRDefault="00A175A4">
      <w:pPr>
        <w:spacing w:after="200" w:line="276" w:lineRule="auto"/>
        <w:rPr>
          <w:rFonts w:asciiTheme="minorHAnsi" w:hAnsiTheme="minorHAnsi"/>
          <w:b/>
          <w:sz w:val="22"/>
          <w:szCs w:val="22"/>
        </w:rPr>
      </w:pPr>
      <w:r w:rsidRPr="00613AE7">
        <w:rPr>
          <w:rFonts w:asciiTheme="minorHAnsi" w:hAnsiTheme="minorHAnsi"/>
          <w:b/>
          <w:sz w:val="22"/>
          <w:szCs w:val="22"/>
        </w:rPr>
        <w:lastRenderedPageBreak/>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w:t>
            </w:r>
            <w:r w:rsidRPr="00221383">
              <w:rPr>
                <w:rFonts w:asciiTheme="minorHAnsi" w:hAnsiTheme="minorHAnsi"/>
              </w:rPr>
              <w:lastRenderedPageBreak/>
              <w:t xml:space="preserve">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3">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Niet-bindende handelingen (soft-law)</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w:t>
            </w:r>
            <w:r w:rsidRPr="00221383">
              <w:rPr>
                <w:rFonts w:asciiTheme="minorHAnsi" w:hAnsiTheme="minorHAnsi"/>
                <w:sz w:val="20"/>
                <w:szCs w:val="20"/>
              </w:rPr>
              <w:lastRenderedPageBreak/>
              <w:t xml:space="preserve">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3E6775"/>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653"/>
    <w:multiLevelType w:val="hybridMultilevel"/>
    <w:tmpl w:val="20966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D609F1"/>
    <w:multiLevelType w:val="hybridMultilevel"/>
    <w:tmpl w:val="33CEB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0A4083E"/>
    <w:multiLevelType w:val="hybridMultilevel"/>
    <w:tmpl w:val="D8F82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14339"/>
    <w:rsid w:val="00025728"/>
    <w:rsid w:val="0003444D"/>
    <w:rsid w:val="00046E37"/>
    <w:rsid w:val="0009530C"/>
    <w:rsid w:val="000A7A00"/>
    <w:rsid w:val="000F3472"/>
    <w:rsid w:val="00104C5F"/>
    <w:rsid w:val="00112574"/>
    <w:rsid w:val="00134419"/>
    <w:rsid w:val="001616B4"/>
    <w:rsid w:val="00165F4D"/>
    <w:rsid w:val="00167083"/>
    <w:rsid w:val="001F3897"/>
    <w:rsid w:val="00213223"/>
    <w:rsid w:val="00215290"/>
    <w:rsid w:val="003103A0"/>
    <w:rsid w:val="003544DA"/>
    <w:rsid w:val="003C261A"/>
    <w:rsid w:val="003E6775"/>
    <w:rsid w:val="003F4E96"/>
    <w:rsid w:val="003F7103"/>
    <w:rsid w:val="00402DBB"/>
    <w:rsid w:val="00410CDC"/>
    <w:rsid w:val="004437E3"/>
    <w:rsid w:val="004475F6"/>
    <w:rsid w:val="00464B1F"/>
    <w:rsid w:val="00470170"/>
    <w:rsid w:val="004A4758"/>
    <w:rsid w:val="004B19E5"/>
    <w:rsid w:val="004D3DC1"/>
    <w:rsid w:val="004E264E"/>
    <w:rsid w:val="004F0743"/>
    <w:rsid w:val="00503E2A"/>
    <w:rsid w:val="00566027"/>
    <w:rsid w:val="005B442F"/>
    <w:rsid w:val="005B745F"/>
    <w:rsid w:val="006026E4"/>
    <w:rsid w:val="0060750E"/>
    <w:rsid w:val="00613AE7"/>
    <w:rsid w:val="00615735"/>
    <w:rsid w:val="00622E6B"/>
    <w:rsid w:val="00677161"/>
    <w:rsid w:val="00687501"/>
    <w:rsid w:val="00693C65"/>
    <w:rsid w:val="006B054E"/>
    <w:rsid w:val="006B7EF2"/>
    <w:rsid w:val="006C0007"/>
    <w:rsid w:val="006C06A8"/>
    <w:rsid w:val="006C266C"/>
    <w:rsid w:val="006E309D"/>
    <w:rsid w:val="006F539E"/>
    <w:rsid w:val="00701C69"/>
    <w:rsid w:val="00725790"/>
    <w:rsid w:val="00733D73"/>
    <w:rsid w:val="00771CAB"/>
    <w:rsid w:val="007A7FD7"/>
    <w:rsid w:val="007C0A25"/>
    <w:rsid w:val="007D6816"/>
    <w:rsid w:val="0083521C"/>
    <w:rsid w:val="008354C5"/>
    <w:rsid w:val="00880E81"/>
    <w:rsid w:val="00886C22"/>
    <w:rsid w:val="008D70DE"/>
    <w:rsid w:val="008F53C1"/>
    <w:rsid w:val="008F6864"/>
    <w:rsid w:val="00906C74"/>
    <w:rsid w:val="00931EF9"/>
    <w:rsid w:val="009A04FD"/>
    <w:rsid w:val="009D058D"/>
    <w:rsid w:val="009D059D"/>
    <w:rsid w:val="00A175A4"/>
    <w:rsid w:val="00A31A13"/>
    <w:rsid w:val="00A64AF1"/>
    <w:rsid w:val="00A65C65"/>
    <w:rsid w:val="00A754C0"/>
    <w:rsid w:val="00AA7D91"/>
    <w:rsid w:val="00B066F7"/>
    <w:rsid w:val="00B94770"/>
    <w:rsid w:val="00BC0F84"/>
    <w:rsid w:val="00C16E1B"/>
    <w:rsid w:val="00C24752"/>
    <w:rsid w:val="00C43050"/>
    <w:rsid w:val="00C60AAD"/>
    <w:rsid w:val="00CD0739"/>
    <w:rsid w:val="00CD79D4"/>
    <w:rsid w:val="00D02DA9"/>
    <w:rsid w:val="00D02F3D"/>
    <w:rsid w:val="00D26D69"/>
    <w:rsid w:val="00D66EB7"/>
    <w:rsid w:val="00D74BC8"/>
    <w:rsid w:val="00DA6C99"/>
    <w:rsid w:val="00DC27A2"/>
    <w:rsid w:val="00DD7C27"/>
    <w:rsid w:val="00E2214F"/>
    <w:rsid w:val="00E47EFF"/>
    <w:rsid w:val="00E52959"/>
    <w:rsid w:val="00E6059F"/>
    <w:rsid w:val="00E8464B"/>
    <w:rsid w:val="00E92996"/>
    <w:rsid w:val="00E958AD"/>
    <w:rsid w:val="00ED3242"/>
    <w:rsid w:val="00F07AF5"/>
    <w:rsid w:val="00F138EA"/>
    <w:rsid w:val="00F61656"/>
    <w:rsid w:val="00F872A7"/>
    <w:rsid w:val="00FA7A6D"/>
    <w:rsid w:val="00FE7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 w:type="paragraph" w:customStyle="1" w:styleId="Default">
    <w:name w:val="Default"/>
    <w:rsid w:val="00880E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691029955">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law/better-regulation/have-your-say/initiatives/12421-Pharmaceutical-Strategy-Timely-patient-access-to-affordable-medicines"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ecure.ipex.eu/IPEXL-WEB/dossier/document/COM20200378.do"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secure.ipex.eu/IPEXL-WEB/dossier/document/COM20200293.do"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secure.ipex.eu/IPEXL-WEB/dossier/document/COM20200318.do" TargetMode="External" Id="rId10" /><Relationship Type="http://schemas.openxmlformats.org/officeDocument/2006/relationships/settings" Target="settings.xml" Id="rId4" /><Relationship Type="http://schemas.openxmlformats.org/officeDocument/2006/relationships/hyperlink" Target="https://secure.ipex.eu/IPEXL-WEB/dossier/document/COM20200245.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3103</ap:Words>
  <ap:Characters>17068</ap:Characters>
  <ap:DocSecurity>4</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2020-09-08T14:10:00.0000000Z</dcterms:created>
  <dcterms:modified xsi:type="dcterms:W3CDTF">2020-09-08T14:10:00.0000000Z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0x0101002AD4785EC0D77C45BD8584016AC1DD57</vt:lpwstr>
  </property>
</Properties>
</file>