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 xml:space="preserve">van </w:t>
      </w:r>
      <w:r w:rsidR="00464B1F">
        <w:rPr>
          <w:rFonts w:asciiTheme="minorHAnsi" w:hAnsiTheme="minorHAnsi"/>
          <w:sz w:val="20"/>
          <w:szCs w:val="20"/>
          <w:u w:val="single"/>
        </w:rPr>
        <w:t>9 juni</w:t>
      </w:r>
      <w:r w:rsidR="00613AE7">
        <w:rPr>
          <w:rFonts w:asciiTheme="minorHAnsi" w:hAnsiTheme="minorHAnsi"/>
          <w:sz w:val="20"/>
          <w:szCs w:val="20"/>
          <w:u w:val="single"/>
        </w:rPr>
        <w:t xml:space="preserve"> 2020</w:t>
      </w:r>
      <w:r w:rsidR="00701C69">
        <w:rPr>
          <w:rFonts w:asciiTheme="minorHAnsi" w:hAnsiTheme="minorHAnsi"/>
          <w:sz w:val="20"/>
          <w:szCs w:val="20"/>
          <w:u w:val="single"/>
        </w:rPr>
        <w:t xml:space="preserve"> tot en met </w:t>
      </w:r>
      <w:r w:rsidR="00464B1F">
        <w:rPr>
          <w:rFonts w:asciiTheme="minorHAnsi" w:hAnsiTheme="minorHAnsi"/>
          <w:sz w:val="20"/>
          <w:szCs w:val="20"/>
          <w:u w:val="single"/>
        </w:rPr>
        <w:t>17</w:t>
      </w:r>
      <w:r w:rsidR="00622E6B">
        <w:rPr>
          <w:rFonts w:asciiTheme="minorHAnsi" w:hAnsiTheme="minorHAnsi"/>
          <w:sz w:val="20"/>
          <w:szCs w:val="20"/>
          <w:u w:val="single"/>
        </w:rPr>
        <w:t xml:space="preserve"> juni</w:t>
      </w:r>
      <w:r w:rsidR="00613AE7">
        <w:rPr>
          <w:rFonts w:asciiTheme="minorHAnsi" w:hAnsiTheme="minorHAnsi"/>
          <w:sz w:val="20"/>
          <w:szCs w:val="20"/>
          <w:u w:val="single"/>
        </w:rPr>
        <w:t xml:space="preserve"> </w:t>
      </w:r>
      <w:r w:rsidR="005B442F">
        <w:rPr>
          <w:rFonts w:asciiTheme="minorHAnsi" w:hAnsiTheme="minorHAnsi"/>
          <w:sz w:val="20"/>
          <w:szCs w:val="20"/>
          <w:u w:val="single"/>
        </w:rPr>
        <w:t>2020</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DD7C27"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D7C27" w:rsidP="00A175A4" w:rsidRDefault="00615735">
            <w:pPr>
              <w:rPr>
                <w:rFonts w:ascii="Calibri" w:hAnsi="Calibri" w:cs="Calibri"/>
                <w:color w:val="000000"/>
                <w:sz w:val="22"/>
                <w:szCs w:val="22"/>
              </w:rPr>
            </w:pPr>
            <w:r>
              <w:rPr>
                <w:rFonts w:ascii="Calibri" w:hAnsi="Calibri" w:cs="Calibri"/>
                <w:color w:val="000000"/>
                <w:sz w:val="22"/>
                <w:szCs w:val="22"/>
              </w:rPr>
              <w:t>17-jun-20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D7C27" w:rsidP="00771CAB" w:rsidRDefault="00622E6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D7C27" w:rsidP="00771CAB" w:rsidRDefault="00622E6B">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464B1F" w:rsidR="00DD7C27" w:rsidP="00A175A4" w:rsidRDefault="00464B1F">
            <w:pPr>
              <w:rPr>
                <w:rFonts w:ascii="Verdana" w:hAnsi="Verdana" w:cs="Calibri"/>
                <w:color w:val="000000"/>
                <w:sz w:val="18"/>
                <w:szCs w:val="18"/>
              </w:rPr>
            </w:pPr>
            <w:r w:rsidRPr="00464B1F">
              <w:rPr>
                <w:rFonts w:ascii="Verdana" w:hAnsi="Verdana" w:cs="Segoe UI"/>
                <w:sz w:val="18"/>
                <w:szCs w:val="18"/>
                <w:shd w:val="clear" w:color="auto" w:fill="FFFFFF"/>
              </w:rPr>
              <w:t>Voorstel voor een VERORDENING VAN HET EUROPEES PARLEMENT EN DE RAAD betreffende de uitvoering van klinische proeven met geneesmiddelen voor menselijk gebruik die geheel of gedeeltelijk uit genetisch gemodificeerde organismen bestaan en die bestemd zijn voor de behandeling of de voorkoming van de coronavirusziekte, alsmede de levering van die geneesmiddelen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464B1F" w:rsidR="00DD7C27" w:rsidP="00A175A4" w:rsidRDefault="00687ED0">
            <w:pPr>
              <w:rPr>
                <w:rFonts w:ascii="Calibri" w:hAnsi="Calibri" w:cs="Calibri"/>
                <w:sz w:val="22"/>
                <w:szCs w:val="22"/>
              </w:rPr>
            </w:pPr>
            <w:hyperlink w:history="1" r:id="rId7">
              <w:r w:rsidRPr="00464B1F" w:rsidR="00464B1F">
                <w:rPr>
                  <w:rStyle w:val="Hyperlink"/>
                  <w:rFonts w:ascii="Calibri" w:hAnsi="Calibri" w:cs="Calibri"/>
                  <w:sz w:val="22"/>
                  <w:szCs w:val="22"/>
                </w:rPr>
                <w:t>COM(2020)261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DD7C27" w:rsidP="00B3079F" w:rsidRDefault="00DD7C2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D3DC1" w:rsidP="004D3DC1" w:rsidRDefault="004D3DC1">
            <w:pPr>
              <w:pBdr>
                <w:top w:val="nil"/>
                <w:left w:val="nil"/>
                <w:bottom w:val="nil"/>
                <w:right w:val="nil"/>
                <w:between w:val="nil"/>
                <w:bar w:val="nil"/>
              </w:pBdr>
              <w:rPr>
                <w:rFonts w:ascii="Verdana" w:hAnsi="Verdana"/>
                <w:sz w:val="18"/>
                <w:szCs w:val="18"/>
              </w:rPr>
            </w:pPr>
            <w:r w:rsidRPr="00167083">
              <w:rPr>
                <w:rFonts w:ascii="Verdana" w:hAnsi="Verdana"/>
                <w:sz w:val="18"/>
                <w:szCs w:val="18"/>
              </w:rPr>
              <w:t>Sommige vaccins die in</w:t>
            </w:r>
            <w:r>
              <w:rPr>
                <w:rFonts w:ascii="Verdana" w:hAnsi="Verdana"/>
                <w:sz w:val="18"/>
                <w:szCs w:val="18"/>
              </w:rPr>
              <w:t xml:space="preserve"> het kader van COVID-19</w:t>
            </w:r>
            <w:r w:rsidRPr="00167083">
              <w:rPr>
                <w:rFonts w:ascii="Verdana" w:hAnsi="Verdana"/>
                <w:sz w:val="18"/>
                <w:szCs w:val="18"/>
              </w:rPr>
              <w:t xml:space="preserve"> ontwikkeling zijn, zijn gebaseerd op genetisch gemodificeerde virussen en kunnen d</w:t>
            </w:r>
            <w:r>
              <w:rPr>
                <w:rFonts w:ascii="Verdana" w:hAnsi="Verdana"/>
                <w:sz w:val="18"/>
                <w:szCs w:val="18"/>
              </w:rPr>
              <w:t>aarom onder de definitie van GGO</w:t>
            </w:r>
            <w:r w:rsidRPr="00167083">
              <w:rPr>
                <w:rFonts w:ascii="Verdana" w:hAnsi="Verdana"/>
                <w:sz w:val="18"/>
                <w:szCs w:val="18"/>
              </w:rPr>
              <w:t xml:space="preserve"> vallen. He</w:t>
            </w:r>
            <w:r>
              <w:rPr>
                <w:rFonts w:ascii="Verdana" w:hAnsi="Verdana"/>
                <w:sz w:val="18"/>
                <w:szCs w:val="18"/>
              </w:rPr>
              <w:t>t regelgevingskader inzake GGO’s</w:t>
            </w:r>
            <w:r w:rsidRPr="00167083">
              <w:rPr>
                <w:rFonts w:ascii="Verdana" w:hAnsi="Verdana"/>
                <w:sz w:val="18"/>
                <w:szCs w:val="18"/>
              </w:rPr>
              <w:t xml:space="preserve"> moet</w:t>
            </w:r>
            <w:r>
              <w:rPr>
                <w:rFonts w:ascii="Verdana" w:hAnsi="Verdana"/>
                <w:sz w:val="18"/>
                <w:szCs w:val="18"/>
              </w:rPr>
              <w:t xml:space="preserve"> daarom volgens de Europese Commissie</w:t>
            </w:r>
            <w:r w:rsidRPr="00167083">
              <w:rPr>
                <w:rFonts w:ascii="Verdana" w:hAnsi="Verdana"/>
                <w:sz w:val="18"/>
                <w:szCs w:val="18"/>
              </w:rPr>
              <w:t xml:space="preserve"> zodanig worden </w:t>
            </w:r>
            <w:r w:rsidR="00C43050">
              <w:rPr>
                <w:rFonts w:ascii="Verdana" w:hAnsi="Verdana"/>
                <w:sz w:val="18"/>
                <w:szCs w:val="18"/>
              </w:rPr>
              <w:t>verduidelijkt</w:t>
            </w:r>
            <w:r w:rsidRPr="00167083">
              <w:rPr>
                <w:rFonts w:ascii="Verdana" w:hAnsi="Verdana"/>
                <w:sz w:val="18"/>
                <w:szCs w:val="18"/>
              </w:rPr>
              <w:t xml:space="preserve"> dat de klinische proeven met deze vaccins zo snel mogelijk van start kunnen gaan en dat tegelijkertijd de rechten, de veiligheid, de waardigheid en het welzijn van de personen die aan een klinische proef deelnemen, alsmede de betrouwbaarheid en robuustheid van de gegenereerde gegevens en de passende bescherming van het milieu en van de menselijke gezondheid via het milieu kunnen worden gewaarborgd.</w:t>
            </w:r>
          </w:p>
          <w:p w:rsidR="0060750E" w:rsidP="004D3DC1" w:rsidRDefault="0060750E">
            <w:pPr>
              <w:pBdr>
                <w:top w:val="nil"/>
                <w:left w:val="nil"/>
                <w:bottom w:val="nil"/>
                <w:right w:val="nil"/>
                <w:between w:val="nil"/>
                <w:bar w:val="nil"/>
              </w:pBdr>
              <w:rPr>
                <w:rFonts w:ascii="Verdana" w:hAnsi="Verdana"/>
                <w:sz w:val="18"/>
                <w:szCs w:val="18"/>
              </w:rPr>
            </w:pPr>
          </w:p>
          <w:p w:rsidR="0060750E" w:rsidP="00470170" w:rsidRDefault="00D02DA9">
            <w:pPr>
              <w:pBdr>
                <w:top w:val="nil"/>
                <w:left w:val="nil"/>
                <w:bottom w:val="nil"/>
                <w:right w:val="nil"/>
                <w:between w:val="nil"/>
                <w:bar w:val="nil"/>
              </w:pBdr>
              <w:rPr>
                <w:rFonts w:ascii="Verdana" w:hAnsi="Verdana"/>
                <w:sz w:val="18"/>
                <w:szCs w:val="18"/>
              </w:rPr>
            </w:pPr>
            <w:r>
              <w:rPr>
                <w:rFonts w:ascii="Verdana" w:hAnsi="Verdana"/>
                <w:sz w:val="18"/>
                <w:szCs w:val="18"/>
              </w:rPr>
              <w:t xml:space="preserve">De EU </w:t>
            </w:r>
            <w:r w:rsidR="0060750E">
              <w:rPr>
                <w:rFonts w:ascii="Verdana" w:hAnsi="Verdana"/>
                <w:sz w:val="18"/>
                <w:szCs w:val="18"/>
              </w:rPr>
              <w:t>wetgeving inzake GGO</w:t>
            </w:r>
            <w:r w:rsidRPr="00167083" w:rsidR="0060750E">
              <w:rPr>
                <w:rFonts w:ascii="Verdana" w:hAnsi="Verdana"/>
                <w:sz w:val="18"/>
                <w:szCs w:val="18"/>
              </w:rPr>
              <w:t xml:space="preserve">’s heeft tot doel </w:t>
            </w:r>
            <w:r>
              <w:rPr>
                <w:rFonts w:ascii="Verdana" w:hAnsi="Verdana"/>
                <w:sz w:val="18"/>
                <w:szCs w:val="18"/>
              </w:rPr>
              <w:t>om de menselijke gezondheid en</w:t>
            </w:r>
            <w:r w:rsidRPr="00167083" w:rsidR="0060750E">
              <w:rPr>
                <w:rFonts w:ascii="Verdana" w:hAnsi="Verdana"/>
                <w:sz w:val="18"/>
                <w:szCs w:val="18"/>
              </w:rPr>
              <w:t xml:space="preserve"> het milieu te beschermen. De specifieke kenmerken voor het uitvoeren van klinische proeven in een noodsituatie op het gebied van de volksgezondheid, zoals die als gevolg van de COVID-19-pandemie, zijn echter niet voorzien in</w:t>
            </w:r>
            <w:r w:rsidR="0060750E">
              <w:rPr>
                <w:rFonts w:ascii="Verdana" w:hAnsi="Verdana"/>
                <w:sz w:val="18"/>
                <w:szCs w:val="18"/>
              </w:rPr>
              <w:t xml:space="preserve"> de bestaande regelgeving (</w:t>
            </w:r>
            <w:r w:rsidRPr="00167083" w:rsidR="0060750E">
              <w:rPr>
                <w:rFonts w:ascii="Verdana" w:hAnsi="Verdana"/>
                <w:sz w:val="18"/>
                <w:szCs w:val="18"/>
              </w:rPr>
              <w:t>Richtlijn 200</w:t>
            </w:r>
            <w:r w:rsidR="0060750E">
              <w:rPr>
                <w:rFonts w:ascii="Verdana" w:hAnsi="Verdana"/>
                <w:sz w:val="18"/>
                <w:szCs w:val="18"/>
              </w:rPr>
              <w:t>1/18/EG, Richtlijn 2009/41/EG en Verordening(EG) nr. 726/2004. Er is bij lidstaten op dit moment onduidelijk of</w:t>
            </w:r>
            <w:r w:rsidR="004D3DC1">
              <w:rPr>
                <w:rFonts w:ascii="Verdana" w:hAnsi="Verdana"/>
                <w:sz w:val="18"/>
                <w:szCs w:val="18"/>
              </w:rPr>
              <w:t xml:space="preserve"> </w:t>
            </w:r>
            <w:r w:rsidR="0060750E">
              <w:rPr>
                <w:rFonts w:ascii="Verdana" w:hAnsi="Verdana"/>
                <w:sz w:val="18"/>
                <w:szCs w:val="18"/>
              </w:rPr>
              <w:t>artikel 5 van Richtlijn 2001/18/EG en artikel 83</w:t>
            </w:r>
            <w:r w:rsidR="008D70DE">
              <w:rPr>
                <w:rFonts w:ascii="Verdana" w:hAnsi="Verdana"/>
                <w:sz w:val="18"/>
                <w:szCs w:val="18"/>
              </w:rPr>
              <w:t xml:space="preserve"> </w:t>
            </w:r>
            <w:r w:rsidR="0060750E">
              <w:rPr>
                <w:rFonts w:ascii="Verdana" w:hAnsi="Verdana"/>
                <w:sz w:val="18"/>
                <w:szCs w:val="18"/>
              </w:rPr>
              <w:t>van</w:t>
            </w:r>
            <w:r w:rsidR="008D70DE">
              <w:rPr>
                <w:rFonts w:ascii="Verdana" w:hAnsi="Verdana"/>
                <w:sz w:val="18"/>
                <w:szCs w:val="18"/>
              </w:rPr>
              <w:t xml:space="preserve"> Verordening</w:t>
            </w:r>
            <w:r w:rsidR="004D3DC1">
              <w:rPr>
                <w:rFonts w:ascii="Verdana" w:hAnsi="Verdana"/>
                <w:sz w:val="18"/>
                <w:szCs w:val="18"/>
              </w:rPr>
              <w:t xml:space="preserve"> (EG) nr. </w:t>
            </w:r>
            <w:r w:rsidR="004D3DC1">
              <w:rPr>
                <w:rFonts w:ascii="Verdana" w:hAnsi="Verdana"/>
                <w:sz w:val="18"/>
                <w:szCs w:val="18"/>
              </w:rPr>
              <w:lastRenderedPageBreak/>
              <w:t>726/2004 (artikel 83)</w:t>
            </w:r>
            <w:r w:rsidRPr="008D70DE" w:rsidR="008D70DE">
              <w:rPr>
                <w:rFonts w:ascii="Verdana" w:hAnsi="Verdana"/>
                <w:sz w:val="18"/>
                <w:szCs w:val="18"/>
              </w:rPr>
              <w:t xml:space="preserve"> </w:t>
            </w:r>
            <w:r w:rsidR="0060750E">
              <w:rPr>
                <w:rFonts w:ascii="Verdana" w:hAnsi="Verdana"/>
                <w:sz w:val="18"/>
                <w:szCs w:val="18"/>
              </w:rPr>
              <w:t>voldoende ruimte bieden.</w:t>
            </w:r>
            <w:r w:rsidR="00E2214F">
              <w:rPr>
                <w:rFonts w:ascii="Verdana" w:hAnsi="Verdana"/>
                <w:sz w:val="18"/>
                <w:szCs w:val="18"/>
              </w:rPr>
              <w:t xml:space="preserve"> </w:t>
            </w:r>
            <w:r w:rsidR="0060750E">
              <w:rPr>
                <w:rFonts w:ascii="Verdana" w:hAnsi="Verdana"/>
                <w:sz w:val="18"/>
                <w:szCs w:val="18"/>
              </w:rPr>
              <w:t xml:space="preserve">Om duidelijkheid en zekerheid te verschaffen </w:t>
            </w:r>
            <w:r w:rsidRPr="00E2214F" w:rsidR="00E2214F">
              <w:rPr>
                <w:rFonts w:ascii="Verdana" w:hAnsi="Verdana"/>
                <w:sz w:val="18"/>
                <w:szCs w:val="18"/>
              </w:rPr>
              <w:t>moet worden verduidelijkt dat wanneer de lidstaten besluiten nemen overeenkomstig artikel 5, leden 1 en 2, van Richtlijn 2001/83/EG of artikel 83, lid 1, van Verordening (EG) nr. 726/2004 betreffende geneesmiddelen di</w:t>
            </w:r>
            <w:r w:rsidR="00E2214F">
              <w:rPr>
                <w:rFonts w:ascii="Verdana" w:hAnsi="Verdana"/>
                <w:sz w:val="18"/>
                <w:szCs w:val="18"/>
              </w:rPr>
              <w:t>e geheel of gedeeltelijk uit GGO</w:t>
            </w:r>
            <w:r w:rsidRPr="00E2214F" w:rsidR="00E2214F">
              <w:rPr>
                <w:rFonts w:ascii="Verdana" w:hAnsi="Verdana"/>
                <w:sz w:val="18"/>
                <w:szCs w:val="18"/>
              </w:rPr>
              <w:t>’s bestaan en die bestemd zijn voor de behandeling of de voorkoming van COVID-19, een milieurisicobeoordeling en/of een toestemming overeenkomstig Richtlijn 2001/18/EG of Richtlijn 2009/41/EG geen voorwaarde is</w:t>
            </w:r>
            <w:r w:rsidR="00E2214F">
              <w:rPr>
                <w:rFonts w:ascii="Verdana" w:hAnsi="Verdana"/>
                <w:sz w:val="18"/>
                <w:szCs w:val="18"/>
              </w:rPr>
              <w:t>.</w:t>
            </w:r>
          </w:p>
          <w:p w:rsidR="004D3DC1" w:rsidP="00470170" w:rsidRDefault="004D3DC1">
            <w:pPr>
              <w:pBdr>
                <w:top w:val="nil"/>
                <w:left w:val="nil"/>
                <w:bottom w:val="nil"/>
                <w:right w:val="nil"/>
                <w:between w:val="nil"/>
                <w:bar w:val="nil"/>
              </w:pBdr>
              <w:rPr>
                <w:rFonts w:ascii="Verdana" w:hAnsi="Verdana"/>
                <w:sz w:val="18"/>
                <w:szCs w:val="18"/>
              </w:rPr>
            </w:pPr>
          </w:p>
          <w:p w:rsidR="00622E6B" w:rsidP="00470170" w:rsidRDefault="00E92996">
            <w:pPr>
              <w:pBdr>
                <w:top w:val="nil"/>
                <w:left w:val="nil"/>
                <w:bottom w:val="nil"/>
                <w:right w:val="nil"/>
                <w:between w:val="nil"/>
                <w:bar w:val="nil"/>
              </w:pBdr>
              <w:rPr>
                <w:rFonts w:ascii="Verdana" w:hAnsi="Verdana"/>
                <w:sz w:val="18"/>
                <w:szCs w:val="18"/>
              </w:rPr>
            </w:pPr>
            <w:r>
              <w:rPr>
                <w:rFonts w:ascii="Verdana" w:hAnsi="Verdana"/>
                <w:sz w:val="18"/>
                <w:szCs w:val="18"/>
              </w:rPr>
              <w:t xml:space="preserve">N.B. </w:t>
            </w:r>
            <w:r w:rsidR="00615735">
              <w:rPr>
                <w:rFonts w:ascii="Verdana" w:hAnsi="Verdana"/>
                <w:sz w:val="18"/>
                <w:szCs w:val="18"/>
              </w:rPr>
              <w:t>Het betreft een voorstel dat door de Europees Commissie is bestempeld als urgent in het kader van de COVID-19 crisis waardoor de buitengewone wettelijke procedure wordt gevolgd</w:t>
            </w:r>
            <w:r w:rsidR="00622E6B">
              <w:rPr>
                <w:rFonts w:ascii="Verdana" w:hAnsi="Verdana"/>
                <w:sz w:val="18"/>
                <w:szCs w:val="18"/>
              </w:rPr>
              <w:t>.</w:t>
            </w:r>
            <w:r w:rsidR="00615735">
              <w:rPr>
                <w:rFonts w:ascii="Verdana" w:hAnsi="Verdana"/>
                <w:sz w:val="18"/>
                <w:szCs w:val="18"/>
              </w:rPr>
              <w:t xml:space="preserve"> Dit betekent dat niet de gebruikelijke 8-weken termijn wordt gehanteerd voor een behandelvoorbehoud of subsidiariteitstoets.</w:t>
            </w:r>
          </w:p>
          <w:p w:rsidR="00622E6B" w:rsidP="00470170" w:rsidRDefault="00622E6B">
            <w:pPr>
              <w:pBdr>
                <w:top w:val="nil"/>
                <w:left w:val="nil"/>
                <w:bottom w:val="nil"/>
                <w:right w:val="nil"/>
                <w:between w:val="nil"/>
                <w:bar w:val="nil"/>
              </w:pBdr>
              <w:rPr>
                <w:rFonts w:ascii="Verdana" w:hAnsi="Verdana"/>
                <w:sz w:val="18"/>
                <w:szCs w:val="18"/>
              </w:rPr>
            </w:pPr>
          </w:p>
          <w:p w:rsidRPr="00622E6B" w:rsidR="00622E6B" w:rsidP="00470170" w:rsidRDefault="00622E6B">
            <w:pPr>
              <w:pBdr>
                <w:top w:val="nil"/>
                <w:left w:val="nil"/>
                <w:bottom w:val="nil"/>
                <w:right w:val="nil"/>
                <w:between w:val="nil"/>
                <w:bar w:val="nil"/>
              </w:pBdr>
              <w:rPr>
                <w:rFonts w:ascii="Verdana" w:hAnsi="Verdana"/>
                <w:sz w:val="18"/>
                <w:szCs w:val="18"/>
              </w:rPr>
            </w:pPr>
            <w:r>
              <w:rPr>
                <w:rFonts w:ascii="Verdana" w:hAnsi="Verdana"/>
                <w:b/>
                <w:sz w:val="18"/>
                <w:szCs w:val="18"/>
              </w:rPr>
              <w:t xml:space="preserve">Behandelvoorstel: </w:t>
            </w:r>
            <w:r w:rsidR="00615735">
              <w:rPr>
                <w:rFonts w:ascii="Verdana" w:hAnsi="Verdana"/>
                <w:sz w:val="18"/>
                <w:szCs w:val="18"/>
              </w:rPr>
              <w:t>betrekken bij het SO over de EU-Gezondheidsraad van 16 juli aanstaande</w:t>
            </w:r>
            <w:r>
              <w:rPr>
                <w:rFonts w:ascii="Verdana" w:hAnsi="Verdana"/>
                <w:sz w:val="18"/>
                <w:szCs w:val="18"/>
              </w:rPr>
              <w:t xml:space="preserve">. </w:t>
            </w:r>
          </w:p>
          <w:p w:rsidRPr="004B19E5" w:rsidR="00622E6B" w:rsidP="00622E6B" w:rsidRDefault="00622E6B">
            <w:pPr>
              <w:pStyle w:val="Plattetekst"/>
              <w:suppressAutoHyphens/>
              <w:ind w:right="59"/>
              <w:rPr>
                <w:rFonts w:eastAsia="Arial Unicode MS" w:asciiTheme="minorHAnsi" w:hAnsiTheme="minorHAnsi"/>
                <w:noProof/>
                <w:sz w:val="20"/>
                <w:szCs w:val="20"/>
              </w:rPr>
            </w:pPr>
          </w:p>
        </w:tc>
      </w:tr>
    </w:tbl>
    <w:p w:rsidRPr="00613AE7" w:rsidR="00771CAB" w:rsidP="00771CAB" w:rsidRDefault="00A175A4">
      <w:pPr>
        <w:spacing w:after="200" w:line="276" w:lineRule="auto"/>
        <w:rPr>
          <w:rFonts w:asciiTheme="minorHAnsi" w:hAnsiTheme="minorHAnsi"/>
          <w:b/>
          <w:sz w:val="22"/>
          <w:szCs w:val="22"/>
        </w:rPr>
      </w:pPr>
      <w:r w:rsidRPr="00613AE7">
        <w:rPr>
          <w:rFonts w:asciiTheme="minorHAnsi" w:hAnsiTheme="minorHAnsi"/>
          <w:b/>
          <w:sz w:val="22"/>
          <w:szCs w:val="22"/>
        </w:rPr>
        <w:lastRenderedPageBreak/>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w:t>
            </w:r>
            <w:r w:rsidRPr="00221383">
              <w:rPr>
                <w:rFonts w:asciiTheme="minorHAnsi" w:hAnsiTheme="minorHAnsi"/>
              </w:rPr>
              <w:lastRenderedPageBreak/>
              <w:t xml:space="preserve">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Niet-bindende handelingen (soft-law)</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w:t>
            </w:r>
            <w:r w:rsidRPr="00221383">
              <w:rPr>
                <w:rFonts w:asciiTheme="minorHAnsi" w:hAnsiTheme="minorHAnsi"/>
              </w:rPr>
              <w:lastRenderedPageBreak/>
              <w:t>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w:t>
            </w:r>
            <w:r w:rsidRPr="00221383">
              <w:rPr>
                <w:rFonts w:asciiTheme="minorHAnsi" w:hAnsiTheme="minorHAnsi"/>
                <w:sz w:val="20"/>
                <w:szCs w:val="20"/>
              </w:rPr>
              <w:lastRenderedPageBreak/>
              <w:t xml:space="preserve">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kabinetsappreciatie (‘BNC-fiche’) komt voor aangekondigde behandelvoorbehouden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687ED0"/>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46E37"/>
    <w:rsid w:val="0009530C"/>
    <w:rsid w:val="000A7A00"/>
    <w:rsid w:val="000F3472"/>
    <w:rsid w:val="00104C5F"/>
    <w:rsid w:val="00134419"/>
    <w:rsid w:val="001616B4"/>
    <w:rsid w:val="00165F4D"/>
    <w:rsid w:val="00167083"/>
    <w:rsid w:val="001F3897"/>
    <w:rsid w:val="003103A0"/>
    <w:rsid w:val="003C261A"/>
    <w:rsid w:val="003F4E96"/>
    <w:rsid w:val="003F7103"/>
    <w:rsid w:val="00402DBB"/>
    <w:rsid w:val="00410CDC"/>
    <w:rsid w:val="00464B1F"/>
    <w:rsid w:val="00470170"/>
    <w:rsid w:val="004A4758"/>
    <w:rsid w:val="004B19E5"/>
    <w:rsid w:val="004D3DC1"/>
    <w:rsid w:val="004E264E"/>
    <w:rsid w:val="004F0743"/>
    <w:rsid w:val="00503E2A"/>
    <w:rsid w:val="00566027"/>
    <w:rsid w:val="005B442F"/>
    <w:rsid w:val="006026E4"/>
    <w:rsid w:val="0060750E"/>
    <w:rsid w:val="00613AE7"/>
    <w:rsid w:val="00615735"/>
    <w:rsid w:val="00622E6B"/>
    <w:rsid w:val="00677161"/>
    <w:rsid w:val="00687ED0"/>
    <w:rsid w:val="006B7EF2"/>
    <w:rsid w:val="006C06A8"/>
    <w:rsid w:val="006C266C"/>
    <w:rsid w:val="006E309D"/>
    <w:rsid w:val="006F539E"/>
    <w:rsid w:val="00701C69"/>
    <w:rsid w:val="00733D73"/>
    <w:rsid w:val="00771CAB"/>
    <w:rsid w:val="007C0A25"/>
    <w:rsid w:val="0083521C"/>
    <w:rsid w:val="008354C5"/>
    <w:rsid w:val="008D70DE"/>
    <w:rsid w:val="008F53C1"/>
    <w:rsid w:val="00931EF9"/>
    <w:rsid w:val="009D058D"/>
    <w:rsid w:val="00A175A4"/>
    <w:rsid w:val="00A754C0"/>
    <w:rsid w:val="00AA7D91"/>
    <w:rsid w:val="00B066F7"/>
    <w:rsid w:val="00BC0F84"/>
    <w:rsid w:val="00C24752"/>
    <w:rsid w:val="00C43050"/>
    <w:rsid w:val="00C60AAD"/>
    <w:rsid w:val="00CD0739"/>
    <w:rsid w:val="00CD79D4"/>
    <w:rsid w:val="00D02DA9"/>
    <w:rsid w:val="00D26D69"/>
    <w:rsid w:val="00D66EB7"/>
    <w:rsid w:val="00D74BC8"/>
    <w:rsid w:val="00DA6C99"/>
    <w:rsid w:val="00DC27A2"/>
    <w:rsid w:val="00DD7C27"/>
    <w:rsid w:val="00E2214F"/>
    <w:rsid w:val="00E47EFF"/>
    <w:rsid w:val="00E6059F"/>
    <w:rsid w:val="00E8464B"/>
    <w:rsid w:val="00E92996"/>
    <w:rsid w:val="00ED3242"/>
    <w:rsid w:val="00F07AF5"/>
    <w:rsid w:val="00F138EA"/>
    <w:rsid w:val="00F61656"/>
    <w:rsid w:val="00F872A7"/>
    <w:rsid w:val="00FE7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eur-lex.europa.eu/legal-content/NL/TXT/?uri=COM:2020:261:FI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2702</ap:Words>
  <ap:Characters>14867</ap:Characters>
  <ap:DocSecurity>4</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2020-06-29T10:44:00.0000000Z</dcterms:created>
  <dcterms:modified xsi:type="dcterms:W3CDTF">2020-06-29T10:44:00.0000000Z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ies>
</file>