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F9" w:rsidP="00FA27E2" w:rsidRDefault="00B63DF9">
      <w:pPr>
        <w:pStyle w:val="StandaardAanhef"/>
      </w:pPr>
    </w:p>
    <w:p w:rsidR="00FA27E2" w:rsidP="00FA27E2" w:rsidRDefault="00FA27E2">
      <w:pPr>
        <w:pStyle w:val="StandaardAanhef"/>
      </w:pPr>
      <w:r>
        <w:t>Geachte voorzitter,</w:t>
      </w:r>
    </w:p>
    <w:p w:rsidR="00FA27E2" w:rsidP="00FA27E2" w:rsidRDefault="00B63DF9">
      <w:r>
        <w:t xml:space="preserve">Hierbij bied ik u </w:t>
      </w:r>
      <w:r w:rsidR="00FA27E2">
        <w:t xml:space="preserve">mijn reactie aan op de vragen en opmerkingen van de fracties naar aanleiding van </w:t>
      </w:r>
      <w:r>
        <w:t xml:space="preserve">mijn </w:t>
      </w:r>
      <w:r w:rsidRPr="00B63DF9">
        <w:t xml:space="preserve">toegezonden brief inzake ‘Uitvoering van de motie van de leden Omtzigt en Lodders over de implementatie van meetmethoden en de bpm’ </w:t>
      </w:r>
      <w:r w:rsidR="00525B73">
        <w:t>(</w:t>
      </w:r>
      <w:r w:rsidR="004902FF">
        <w:t>K</w:t>
      </w:r>
      <w:r>
        <w:t xml:space="preserve">amerstukken </w:t>
      </w:r>
      <w:r w:rsidRPr="00B63DF9">
        <w:t>35302, nrs</w:t>
      </w:r>
      <w:r w:rsidR="004902FF">
        <w:t>.</w:t>
      </w:r>
      <w:r w:rsidRPr="00B63DF9">
        <w:t xml:space="preserve"> 48 en 79</w:t>
      </w:r>
      <w:r w:rsidRPr="00525B73" w:rsidR="00525B73">
        <w:t>)</w:t>
      </w:r>
      <w:r w:rsidR="00FA27E2">
        <w:t xml:space="preserve">. </w:t>
      </w:r>
    </w:p>
    <w:p w:rsidR="00FA27E2" w:rsidP="00FA27E2" w:rsidRDefault="00FA27E2">
      <w:pPr>
        <w:pStyle w:val="StandaardSlotzin"/>
      </w:pPr>
      <w:r>
        <w:t>Hoogachtend,</w:t>
      </w:r>
    </w:p>
    <w:p w:rsidR="00FA27E2" w:rsidP="00FA27E2" w:rsidRDefault="00FA27E2"/>
    <w:p w:rsidR="00FA27E2" w:rsidP="00FA27E2" w:rsidRDefault="002A38AE">
      <w:r w:rsidRPr="002A38AE">
        <w:t>Staatssecretaris van Financiën - Fiscaliteit en Belastingdienst</w:t>
      </w:r>
      <w:r w:rsidR="00FA27E2">
        <w:t xml:space="preserve">, </w:t>
      </w:r>
    </w:p>
    <w:p w:rsidR="00FA27E2" w:rsidP="00FA27E2" w:rsidRDefault="00FA27E2"/>
    <w:p w:rsidR="00FA27E2" w:rsidP="00FA27E2" w:rsidRDefault="00FA27E2"/>
    <w:p w:rsidR="00FA27E2" w:rsidP="00FA27E2" w:rsidRDefault="00FA27E2"/>
    <w:p w:rsidR="00FA27E2" w:rsidP="00FA27E2" w:rsidRDefault="00FA27E2"/>
    <w:p w:rsidR="00FA27E2" w:rsidP="00FA27E2" w:rsidRDefault="00FA27E2"/>
    <w:p w:rsidRPr="00FA27E2" w:rsidR="00200670" w:rsidP="002A38AE" w:rsidRDefault="002A38AE">
      <w:r w:rsidRPr="002A38AE">
        <w:t>J.A. Vijlbrief</w:t>
      </w:r>
    </w:p>
    <w:sectPr w:rsidRPr="00FA27E2" w:rsidR="00200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A1" w:rsidRDefault="00FA27E2">
      <w:pPr>
        <w:spacing w:line="240" w:lineRule="auto"/>
      </w:pPr>
      <w:r>
        <w:separator/>
      </w:r>
    </w:p>
  </w:endnote>
  <w:endnote w:type="continuationSeparator" w:id="0">
    <w:p w:rsidR="00A864A1" w:rsidRDefault="00FA2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7" w:rsidRDefault="00E14B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7" w:rsidRDefault="00E14B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7" w:rsidRDefault="00E14B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A1" w:rsidRDefault="00FA27E2">
      <w:pPr>
        <w:spacing w:line="240" w:lineRule="auto"/>
      </w:pPr>
      <w:r>
        <w:separator/>
      </w:r>
    </w:p>
  </w:footnote>
  <w:footnote w:type="continuationSeparator" w:id="0">
    <w:p w:rsidR="00A864A1" w:rsidRDefault="00FA2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7" w:rsidRDefault="00E14B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70" w:rsidRDefault="00FA27E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00670" w:rsidRDefault="00200670">
                          <w:pPr>
                            <w:pStyle w:val="WitregelW2"/>
                          </w:pPr>
                        </w:p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00670" w:rsidRDefault="001F11B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07844">
                              <w:t>2020-0000115233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00670" w:rsidRDefault="00FA27E2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00670" w:rsidRDefault="00200670">
                    <w:pPr>
                      <w:pStyle w:val="WitregelW2"/>
                    </w:pPr>
                  </w:p>
                  <w:p w:rsidR="00200670" w:rsidRDefault="00FA27E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00670" w:rsidRDefault="001F11B0">
                    <w:pPr>
                      <w:pStyle w:val="StandaardReferentiegegevens"/>
                    </w:pPr>
                    <w:fldSimple w:instr=" DOCPROPERTY  &quot;Kenmerk&quot;  \* MERGEFORMAT ">
                      <w:r w:rsidR="00807844">
                        <w:t>2020-0000115233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78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78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00670" w:rsidRDefault="00FA27E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78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78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00670" w:rsidRDefault="00FA27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70" w:rsidRDefault="00FA27E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00670" w:rsidRDefault="00FA27E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64A1" w:rsidRDefault="00A864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864A1" w:rsidRDefault="00A864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00670" w:rsidRDefault="00200670">
                          <w:pPr>
                            <w:pStyle w:val="WitregelW1"/>
                          </w:pP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00670" w:rsidRPr="00FB630E" w:rsidRDefault="00FA27E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B630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00670" w:rsidRPr="00FB630E" w:rsidRDefault="002006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00670" w:rsidRPr="00FB630E" w:rsidRDefault="00FA27E2">
                          <w:pPr>
                            <w:pStyle w:val="StandaardReferentiegegevensKop"/>
                          </w:pPr>
                          <w:bookmarkStart w:id="0" w:name="_GoBack"/>
                          <w:bookmarkEnd w:id="0"/>
                          <w:r w:rsidRPr="00FB630E">
                            <w:t>Ons kenmerk</w:t>
                          </w:r>
                        </w:p>
                        <w:p w:rsidR="00200670" w:rsidRDefault="001F11B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07844">
                              <w:t>2020-0000115233</w:t>
                            </w:r>
                          </w:fldSimple>
                        </w:p>
                        <w:p w:rsidR="00200670" w:rsidRDefault="00200670">
                          <w:pPr>
                            <w:pStyle w:val="WitregelW1"/>
                          </w:pPr>
                        </w:p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00670" w:rsidRDefault="00FA27E2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00670" w:rsidRDefault="00200670">
                    <w:pPr>
                      <w:pStyle w:val="WitregelW1"/>
                    </w:pPr>
                  </w:p>
                  <w:p w:rsidR="00200670" w:rsidRDefault="00FA27E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00670" w:rsidRPr="00FB630E" w:rsidRDefault="00FA27E2">
                    <w:pPr>
                      <w:pStyle w:val="StandaardReferentiegegevens"/>
                      <w:rPr>
                        <w:lang w:val="de-DE"/>
                      </w:rPr>
                    </w:pPr>
                    <w:r w:rsidRPr="00FB630E">
                      <w:rPr>
                        <w:lang w:val="de-DE"/>
                      </w:rPr>
                      <w:t>www.rijksoverheid.nl</w:t>
                    </w:r>
                  </w:p>
                  <w:p w:rsidR="00200670" w:rsidRPr="00FB630E" w:rsidRDefault="0020067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00670" w:rsidRPr="00FB630E" w:rsidRDefault="00FA27E2">
                    <w:pPr>
                      <w:pStyle w:val="StandaardReferentiegegevensKop"/>
                    </w:pPr>
                    <w:bookmarkStart w:id="1" w:name="_GoBack"/>
                    <w:bookmarkEnd w:id="1"/>
                    <w:r w:rsidRPr="00FB630E">
                      <w:t>Ons kenmerk</w:t>
                    </w:r>
                  </w:p>
                  <w:p w:rsidR="00200670" w:rsidRDefault="001F11B0">
                    <w:pPr>
                      <w:pStyle w:val="StandaardReferentiegegevens"/>
                    </w:pPr>
                    <w:fldSimple w:instr=" DOCPROPERTY  &quot;Kenmerk&quot;  \* MERGEFORMAT ">
                      <w:r w:rsidR="00807844">
                        <w:t>2020-0000115233</w:t>
                      </w:r>
                    </w:fldSimple>
                  </w:p>
                  <w:p w:rsidR="00200670" w:rsidRDefault="00200670">
                    <w:pPr>
                      <w:pStyle w:val="WitregelW1"/>
                    </w:pPr>
                  </w:p>
                  <w:p w:rsidR="00200670" w:rsidRDefault="00FA27E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00670" w:rsidRDefault="00FA27E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07844" w:rsidRDefault="00FA27E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07844">
                            <w:t>De voorzitter van de Tweede Kamer der Staten-Generaal</w:t>
                          </w:r>
                        </w:p>
                        <w:p w:rsidR="00807844" w:rsidRDefault="00807844">
                          <w:r>
                            <w:t>Postbus 20018</w:t>
                          </w:r>
                        </w:p>
                        <w:p w:rsidR="00200670" w:rsidRDefault="00807844">
                          <w:r>
                            <w:t>2500 EE  Den Haag</w:t>
                          </w:r>
                          <w:r w:rsidR="00FA27E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00670" w:rsidRDefault="00FA27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07844" w:rsidRDefault="00FA27E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07844">
                      <w:t>De voorzitter van de Tweede Kamer der Staten-Generaal</w:t>
                    </w:r>
                  </w:p>
                  <w:p w:rsidR="00807844" w:rsidRDefault="00807844">
                    <w:r>
                      <w:t>Postbus 20018</w:t>
                    </w:r>
                  </w:p>
                  <w:p w:rsidR="00200670" w:rsidRDefault="00807844">
                    <w:r>
                      <w:t>2500 EE  Den Haag</w:t>
                    </w:r>
                    <w:r w:rsidR="00FA27E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78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78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00670" w:rsidRDefault="00FA27E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78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78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5275" cy="94297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006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200670"/>
                            </w:tc>
                            <w:tc>
                              <w:tcPr>
                                <w:tcW w:w="5400" w:type="dxa"/>
                              </w:tcPr>
                              <w:p w:rsidR="00200670" w:rsidRDefault="00200670"/>
                            </w:tc>
                          </w:tr>
                          <w:tr w:rsidR="0020067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FA27E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00670" w:rsidRDefault="001F11B0">
                                <w:fldSimple w:instr=" DOCPROPERTY  &quot;Datum&quot;  \* MERGEFORMAT ">
                                  <w:r w:rsidR="00807844">
                                    <w:t>22 juni 2020</w:t>
                                  </w:r>
                                </w:fldSimple>
                              </w:p>
                            </w:tc>
                          </w:tr>
                          <w:tr w:rsidR="0020067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FA27E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00670" w:rsidRDefault="001F11B0">
                                <w:fldSimple w:instr=" DOCPROPERTY  &quot;Onderwerp&quot;  \* MERGEFORMAT ">
                                  <w:r w:rsidR="00807844">
                                    <w:t>Schriftelijk overleg toegezonden Kamerbrief inzake ‘Uitvoering van de motie van de leden Omtzigt en Lodders over de implementatie van meetmethoden en de bpm’</w:t>
                                  </w:r>
                                </w:fldSimple>
                              </w:p>
                            </w:tc>
                          </w:tr>
                          <w:tr w:rsidR="002006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200670"/>
                            </w:tc>
                            <w:tc>
                              <w:tcPr>
                                <w:tcW w:w="4738" w:type="dxa"/>
                              </w:tcPr>
                              <w:p w:rsidR="00200670" w:rsidRDefault="00200670"/>
                            </w:tc>
                          </w:tr>
                        </w:tbl>
                        <w:p w:rsidR="00A864A1" w:rsidRDefault="00A864A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45pt;width:323.25pt;height:74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006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00670" w:rsidRDefault="00200670"/>
                      </w:tc>
                      <w:tc>
                        <w:tcPr>
                          <w:tcW w:w="5400" w:type="dxa"/>
                        </w:tcPr>
                        <w:p w:rsidR="00200670" w:rsidRDefault="00200670"/>
                      </w:tc>
                    </w:tr>
                    <w:tr w:rsidR="0020067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0670" w:rsidRDefault="00FA27E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00670" w:rsidRDefault="001F11B0">
                          <w:fldSimple w:instr=" DOCPROPERTY  &quot;Datum&quot;  \* MERGEFORMAT ">
                            <w:r w:rsidR="00807844">
                              <w:t>22 juni 2020</w:t>
                            </w:r>
                          </w:fldSimple>
                        </w:p>
                      </w:tc>
                    </w:tr>
                    <w:tr w:rsidR="0020067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0670" w:rsidRDefault="00FA27E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00670" w:rsidRDefault="001F11B0">
                          <w:fldSimple w:instr=" DOCPROPERTY  &quot;Onderwerp&quot;  \* MERGEFORMAT ">
                            <w:r w:rsidR="00807844">
                              <w:t>Schriftelijk overleg toegezonden Kamerbrief inzake ‘Uitvoering van de motie van de leden Omtzigt en Lodders over de implementatie van meetmethoden en de bpm’</w:t>
                            </w:r>
                          </w:fldSimple>
                        </w:p>
                      </w:tc>
                    </w:tr>
                    <w:tr w:rsidR="002006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00670" w:rsidRDefault="00200670"/>
                      </w:tc>
                      <w:tc>
                        <w:tcPr>
                          <w:tcW w:w="4738" w:type="dxa"/>
                        </w:tcPr>
                        <w:p w:rsidR="00200670" w:rsidRDefault="00200670"/>
                      </w:tc>
                    </w:tr>
                  </w:tbl>
                  <w:p w:rsidR="00A864A1" w:rsidRDefault="00A864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00670" w:rsidRDefault="00FA27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64A1" w:rsidRDefault="00A864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A864A1" w:rsidRDefault="00A864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4043"/>
    <w:multiLevelType w:val="multilevel"/>
    <w:tmpl w:val="D3CA21F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6A3E9"/>
    <w:multiLevelType w:val="multilevel"/>
    <w:tmpl w:val="00ACC1E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461B2"/>
    <w:multiLevelType w:val="multilevel"/>
    <w:tmpl w:val="01631C6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6E96BE"/>
    <w:multiLevelType w:val="multilevel"/>
    <w:tmpl w:val="4614B72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0"/>
    <w:rsid w:val="00004403"/>
    <w:rsid w:val="0008741C"/>
    <w:rsid w:val="000D3673"/>
    <w:rsid w:val="00152B2C"/>
    <w:rsid w:val="001C07B0"/>
    <w:rsid w:val="001F11B0"/>
    <w:rsid w:val="00200670"/>
    <w:rsid w:val="002A38AE"/>
    <w:rsid w:val="00426539"/>
    <w:rsid w:val="00447252"/>
    <w:rsid w:val="004902FF"/>
    <w:rsid w:val="0052436E"/>
    <w:rsid w:val="00525B73"/>
    <w:rsid w:val="006B1022"/>
    <w:rsid w:val="007E38B1"/>
    <w:rsid w:val="00807844"/>
    <w:rsid w:val="008D06CB"/>
    <w:rsid w:val="00A864A1"/>
    <w:rsid w:val="00AC236F"/>
    <w:rsid w:val="00B63DF9"/>
    <w:rsid w:val="00BF161E"/>
    <w:rsid w:val="00CF4D2A"/>
    <w:rsid w:val="00D70CA7"/>
    <w:rsid w:val="00E14B37"/>
    <w:rsid w:val="00FA27E2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E5438D5F-5F96-4D90-BE59-4DCFE6EA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next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A27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7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A27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27E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27E2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27E2"/>
    <w:rPr>
      <w:rFonts w:ascii="Verdana" w:eastAsia="Times New Roman" w:hAnsi="Verdana" w:cs="Times New Roman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27E2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630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63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2019-10-30T15:07:00.0000000Z</dcterms:created>
  <dcterms:modified xsi:type="dcterms:W3CDTF">2020-06-22T17:09:00.0000000Z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toegezonden Kamerbrief inzake ‘Uitvoering van de motie van de leden Omtzigt en Lodders over de implementatie van meetmethoden en de bpm’</vt:lpwstr>
  </property>
  <property fmtid="{D5CDD505-2E9C-101B-9397-08002B2CF9AE}" pid="4" name="Datum">
    <vt:lpwstr>22 juni 2020</vt:lpwstr>
  </property>
  <property fmtid="{D5CDD505-2E9C-101B-9397-08002B2CF9AE}" pid="5" name="Aan">
    <vt:lpwstr>De voorzitter van de Tweede Kamer der Staten-Generaal_x000d_
Postbus 20018_x000d_
2500 EE  Den Haag</vt:lpwstr>
  </property>
  <property fmtid="{D5CDD505-2E9C-101B-9397-08002B2CF9AE}" pid="6" name="Kenmerk">
    <vt:lpwstr>2020-0000115233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0x010100D864CD6E498A23478C82C8DB4A9DD85C</vt:lpwstr>
  </property>
</Properties>
</file>