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C0C5D" w:rsidR="00D02146" w:rsidP="00D02146" w:rsidRDefault="00D02146">
      <w:pPr>
        <w:spacing w:line="240" w:lineRule="auto"/>
        <w:jc w:val="left"/>
        <w:rPr>
          <w:b/>
          <w:szCs w:val="22"/>
          <w:lang w:eastAsia="nl-NL"/>
        </w:rPr>
      </w:pPr>
      <w:bookmarkStart w:name="_GoBack" w:id="0"/>
      <w:bookmarkEnd w:id="0"/>
      <w:r w:rsidRPr="00EC0C5D">
        <w:rPr>
          <w:b/>
          <w:szCs w:val="22"/>
          <w:lang w:eastAsia="nl-NL"/>
        </w:rPr>
        <w:t>Kengetal: Emissies luchtverontreinigende s</w:t>
      </w:r>
      <w:r>
        <w:rPr>
          <w:b/>
          <w:szCs w:val="22"/>
          <w:lang w:eastAsia="nl-NL"/>
        </w:rPr>
        <w:t>toffen 1990, 2000, 2005, 2010,</w:t>
      </w:r>
      <w:r w:rsidRPr="00EC0C5D">
        <w:rPr>
          <w:b/>
          <w:szCs w:val="22"/>
          <w:lang w:eastAsia="nl-NL"/>
        </w:rPr>
        <w:t xml:space="preserve"> 2015</w:t>
      </w:r>
      <w:r>
        <w:rPr>
          <w:b/>
          <w:szCs w:val="22"/>
          <w:lang w:eastAsia="nl-NL"/>
        </w:rPr>
        <w:t>, 2017 en 2018</w:t>
      </w:r>
      <w:r w:rsidRPr="00EC0C5D">
        <w:rPr>
          <w:b/>
          <w:szCs w:val="22"/>
          <w:lang w:eastAsia="nl-NL"/>
        </w:rPr>
        <w:t xml:space="preserve">, doelstellingen en prognoses 2020 en 2030 in kton/jr. </w:t>
      </w:r>
    </w:p>
    <w:p w:rsidRPr="00EC0C5D" w:rsidR="00D02146" w:rsidP="00D02146" w:rsidRDefault="00D02146">
      <w:pPr>
        <w:spacing w:line="240" w:lineRule="auto"/>
        <w:jc w:val="left"/>
        <w:rPr>
          <w:b/>
          <w:szCs w:val="22"/>
          <w:lang w:eastAsia="nl-NL"/>
        </w:rPr>
      </w:pPr>
    </w:p>
    <w:p w:rsidRPr="00EC0C5D" w:rsidR="00D02146" w:rsidP="00D02146" w:rsidRDefault="00D02146">
      <w:pPr>
        <w:spacing w:line="240" w:lineRule="auto"/>
        <w:jc w:val="left"/>
        <w:rPr>
          <w:b/>
          <w:szCs w:val="22"/>
          <w:lang w:eastAsia="nl-NL"/>
        </w:rPr>
      </w:pPr>
      <w:r w:rsidRPr="00EC0C5D">
        <w:rPr>
          <w:szCs w:val="22"/>
        </w:rPr>
        <w:t xml:space="preserve">Elk jaar wordt een nieuwe analyse </w:t>
      </w:r>
      <w:r w:rsidRPr="00D02146">
        <w:rPr>
          <w:szCs w:val="22"/>
        </w:rPr>
        <w:t xml:space="preserve">van de emissies luchtverontreinigende stoffen </w:t>
      </w:r>
      <w:r w:rsidRPr="00EC0C5D">
        <w:rPr>
          <w:szCs w:val="22"/>
        </w:rPr>
        <w:t>uitgevoerd en door nieuwe kennis kan dat betekenen dat ook eerdere cijfers soms nog enigszins worden aangepast. Zie ook de toelichting.</w:t>
      </w:r>
      <w:r>
        <w:rPr>
          <w:szCs w:val="22"/>
        </w:rPr>
        <w:t xml:space="preserve"> De gerealiseerde emissies tot en met 2018 zijn vastgesteld in februari 2020. De ramingen zijn nog gebaseerd op de cijfers van vorig jaar. </w:t>
      </w:r>
    </w:p>
    <w:p w:rsidRPr="00EC0C5D" w:rsidR="00D02146" w:rsidP="00D02146" w:rsidRDefault="00D02146">
      <w:pPr>
        <w:spacing w:line="240" w:lineRule="auto"/>
        <w:jc w:val="left"/>
        <w:rPr>
          <w:szCs w:val="22"/>
          <w:lang w:eastAsia="nl-NL"/>
        </w:rPr>
      </w:pPr>
    </w:p>
    <w:tbl>
      <w:tblPr>
        <w:tblW w:w="6452" w:type="pct"/>
        <w:tblCellSpacing w:w="15" w:type="dxa"/>
        <w:tblLayout w:type="fixed"/>
        <w:tblCellMar>
          <w:left w:w="0" w:type="dxa"/>
          <w:right w:w="0" w:type="dxa"/>
        </w:tblCellMar>
        <w:tblLook w:val="04A0" w:firstRow="1" w:lastRow="0" w:firstColumn="1" w:lastColumn="0" w:noHBand="0" w:noVBand="1"/>
      </w:tblPr>
      <w:tblGrid>
        <w:gridCol w:w="593"/>
        <w:gridCol w:w="797"/>
        <w:gridCol w:w="730"/>
        <w:gridCol w:w="577"/>
        <w:gridCol w:w="709"/>
        <w:gridCol w:w="993"/>
        <w:gridCol w:w="1133"/>
        <w:gridCol w:w="1441"/>
        <w:gridCol w:w="824"/>
        <w:gridCol w:w="850"/>
        <w:gridCol w:w="997"/>
        <w:gridCol w:w="832"/>
        <w:gridCol w:w="1172"/>
      </w:tblGrid>
      <w:tr w:rsidRPr="00EC0C5D" w:rsidR="00D02146" w:rsidTr="00304557">
        <w:trPr>
          <w:trHeight w:val="197"/>
          <w:tblHeader/>
          <w:tblCellSpacing w:w="15" w:type="dxa"/>
        </w:trPr>
        <w:tc>
          <w:tcPr>
            <w:tcW w:w="569" w:type="dxa"/>
            <w:shd w:val="clear" w:color="auto" w:fill="000000" w:themeFill="text1"/>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color w:val="FFFFFF" w:themeColor="background1"/>
                <w:szCs w:val="22"/>
                <w:lang w:eastAsia="nl-NL"/>
              </w:rPr>
            </w:pPr>
            <w:r w:rsidRPr="00EC0C5D">
              <w:rPr>
                <w:b/>
                <w:bCs/>
                <w:color w:val="FFFFFF" w:themeColor="background1"/>
                <w:szCs w:val="22"/>
                <w:lang w:eastAsia="nl-NL"/>
              </w:rPr>
              <w:t> </w:t>
            </w:r>
          </w:p>
        </w:tc>
        <w:tc>
          <w:tcPr>
            <w:tcW w:w="796" w:type="dxa"/>
            <w:shd w:val="clear" w:color="auto" w:fill="000000" w:themeFill="text1"/>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color w:val="FFFFFF" w:themeColor="background1"/>
                <w:szCs w:val="22"/>
                <w:lang w:val="en-US" w:eastAsia="nl-NL"/>
              </w:rPr>
            </w:pPr>
            <w:r w:rsidRPr="00EC0C5D">
              <w:rPr>
                <w:b/>
                <w:bCs/>
                <w:color w:val="FFFFFF" w:themeColor="background1"/>
                <w:szCs w:val="22"/>
                <w:lang w:val="en-US" w:eastAsia="nl-NL"/>
              </w:rPr>
              <w:t>1990</w:t>
            </w:r>
          </w:p>
        </w:tc>
        <w:tc>
          <w:tcPr>
            <w:tcW w:w="726" w:type="dxa"/>
            <w:shd w:val="clear" w:color="auto" w:fill="000000" w:themeFill="text1"/>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color w:val="FFFFFF" w:themeColor="background1"/>
                <w:szCs w:val="22"/>
                <w:lang w:val="en-US" w:eastAsia="nl-NL"/>
              </w:rPr>
            </w:pPr>
            <w:r w:rsidRPr="00EC0C5D">
              <w:rPr>
                <w:b/>
                <w:bCs/>
                <w:color w:val="FFFFFF" w:themeColor="background1"/>
                <w:szCs w:val="22"/>
                <w:lang w:val="en-US" w:eastAsia="nl-NL"/>
              </w:rPr>
              <w:t>2000</w:t>
            </w:r>
          </w:p>
        </w:tc>
        <w:tc>
          <w:tcPr>
            <w:tcW w:w="567" w:type="dxa"/>
            <w:shd w:val="clear" w:color="auto" w:fill="000000" w:themeFill="text1"/>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color w:val="FFFFFF" w:themeColor="background1"/>
                <w:szCs w:val="22"/>
                <w:lang w:val="en-US" w:eastAsia="nl-NL"/>
              </w:rPr>
            </w:pPr>
            <w:r w:rsidRPr="00EC0C5D">
              <w:rPr>
                <w:b/>
                <w:bCs/>
                <w:color w:val="FFFFFF" w:themeColor="background1"/>
                <w:szCs w:val="22"/>
                <w:lang w:val="en-US" w:eastAsia="nl-NL"/>
              </w:rPr>
              <w:t>2005</w:t>
            </w:r>
          </w:p>
        </w:tc>
        <w:tc>
          <w:tcPr>
            <w:tcW w:w="704" w:type="dxa"/>
            <w:shd w:val="clear" w:color="auto" w:fill="000000" w:themeFill="text1"/>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color w:val="FFFFFF" w:themeColor="background1"/>
                <w:szCs w:val="22"/>
                <w:lang w:val="en-US" w:eastAsia="nl-NL"/>
              </w:rPr>
            </w:pPr>
            <w:r w:rsidRPr="00EC0C5D">
              <w:rPr>
                <w:b/>
                <w:bCs/>
                <w:color w:val="FFFFFF" w:themeColor="background1"/>
                <w:szCs w:val="22"/>
                <w:lang w:val="en-US" w:eastAsia="nl-NL"/>
              </w:rPr>
              <w:t>2010</w:t>
            </w:r>
          </w:p>
        </w:tc>
        <w:tc>
          <w:tcPr>
            <w:tcW w:w="1000" w:type="dxa"/>
            <w:shd w:val="clear" w:color="auto" w:fill="000000" w:themeFill="text1"/>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color w:val="FFFFFF" w:themeColor="background1"/>
                <w:szCs w:val="22"/>
                <w:lang w:val="en-US" w:eastAsia="nl-NL"/>
              </w:rPr>
            </w:pPr>
            <w:r w:rsidRPr="00EC0C5D">
              <w:rPr>
                <w:b/>
                <w:bCs/>
                <w:color w:val="FFFFFF" w:themeColor="background1"/>
                <w:szCs w:val="22"/>
                <w:lang w:val="en-US" w:eastAsia="nl-NL"/>
              </w:rPr>
              <w:t>2010</w:t>
            </w:r>
          </w:p>
        </w:tc>
        <w:tc>
          <w:tcPr>
            <w:tcW w:w="1146" w:type="dxa"/>
            <w:shd w:val="clear" w:color="auto" w:fill="000000" w:themeFill="text1"/>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color w:val="FFFFFF" w:themeColor="background1"/>
                <w:szCs w:val="22"/>
                <w:lang w:val="en-US" w:eastAsia="nl-NL"/>
              </w:rPr>
            </w:pPr>
            <w:r w:rsidRPr="00EC0C5D">
              <w:rPr>
                <w:b/>
                <w:bCs/>
                <w:color w:val="FFFFFF" w:themeColor="background1"/>
                <w:szCs w:val="22"/>
                <w:lang w:val="en-US" w:eastAsia="nl-NL"/>
              </w:rPr>
              <w:t>2015</w:t>
            </w:r>
          </w:p>
        </w:tc>
        <w:tc>
          <w:tcPr>
            <w:tcW w:w="1467" w:type="dxa"/>
            <w:shd w:val="clear" w:color="auto" w:fill="000000" w:themeFill="text1"/>
            <w:hideMark/>
          </w:tcPr>
          <w:p w:rsidRPr="00EC0C5D" w:rsidR="00D02146" w:rsidP="00304557" w:rsidRDefault="00D02146">
            <w:pPr>
              <w:spacing w:before="100" w:beforeAutospacing="1" w:line="240" w:lineRule="auto"/>
              <w:jc w:val="left"/>
              <w:rPr>
                <w:b/>
                <w:bCs/>
                <w:color w:val="FFFFFF" w:themeColor="background1"/>
                <w:szCs w:val="22"/>
                <w:lang w:val="en-US" w:eastAsia="nl-NL"/>
              </w:rPr>
            </w:pPr>
            <w:r>
              <w:rPr>
                <w:b/>
                <w:bCs/>
                <w:color w:val="FFFFFF" w:themeColor="background1"/>
                <w:szCs w:val="22"/>
                <w:lang w:val="en-US" w:eastAsia="nl-NL"/>
              </w:rPr>
              <w:t>2017</w:t>
            </w:r>
          </w:p>
        </w:tc>
        <w:tc>
          <w:tcPr>
            <w:tcW w:w="825" w:type="dxa"/>
            <w:shd w:val="clear" w:color="auto" w:fill="000000" w:themeFill="text1"/>
          </w:tcPr>
          <w:p w:rsidRPr="00EC0C5D" w:rsidR="00D02146" w:rsidP="00304557" w:rsidRDefault="00D02146">
            <w:pPr>
              <w:spacing w:before="100" w:beforeAutospacing="1" w:line="240" w:lineRule="auto"/>
              <w:jc w:val="left"/>
              <w:rPr>
                <w:b/>
                <w:bCs/>
                <w:color w:val="FFFFFF" w:themeColor="background1"/>
                <w:szCs w:val="22"/>
                <w:lang w:val="en-US" w:eastAsia="nl-NL"/>
              </w:rPr>
            </w:pPr>
            <w:r>
              <w:rPr>
                <w:b/>
                <w:bCs/>
                <w:color w:val="FFFFFF" w:themeColor="background1"/>
                <w:szCs w:val="22"/>
                <w:lang w:val="en-US" w:eastAsia="nl-NL"/>
              </w:rPr>
              <w:t>2018</w:t>
            </w:r>
          </w:p>
        </w:tc>
        <w:tc>
          <w:tcPr>
            <w:tcW w:w="851" w:type="dxa"/>
            <w:shd w:val="clear" w:color="auto" w:fill="000000" w:themeFill="text1"/>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color w:val="FFFFFF" w:themeColor="background1"/>
                <w:szCs w:val="22"/>
                <w:lang w:val="en-US" w:eastAsia="nl-NL"/>
              </w:rPr>
            </w:pPr>
            <w:r w:rsidRPr="00EC0C5D">
              <w:rPr>
                <w:b/>
                <w:bCs/>
                <w:color w:val="FFFFFF" w:themeColor="background1"/>
                <w:szCs w:val="22"/>
                <w:lang w:val="en-US" w:eastAsia="nl-NL"/>
              </w:rPr>
              <w:t>2020</w:t>
            </w:r>
          </w:p>
        </w:tc>
        <w:tc>
          <w:tcPr>
            <w:tcW w:w="1004" w:type="dxa"/>
            <w:shd w:val="clear" w:color="auto" w:fill="000000" w:themeFill="text1"/>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color w:val="FFFFFF" w:themeColor="background1"/>
                <w:szCs w:val="22"/>
                <w:lang w:val="en-US" w:eastAsia="nl-NL"/>
              </w:rPr>
            </w:pPr>
            <w:r w:rsidRPr="00EC0C5D">
              <w:rPr>
                <w:b/>
                <w:bCs/>
                <w:color w:val="FFFFFF" w:themeColor="background1"/>
                <w:szCs w:val="22"/>
                <w:lang w:val="en-US" w:eastAsia="nl-NL"/>
              </w:rPr>
              <w:t>2020</w:t>
            </w:r>
            <w:hyperlink w:history="1" w:anchor="A21_2" r:id="rId6">
              <w:r w:rsidRPr="00EC0C5D">
                <w:rPr>
                  <w:b/>
                  <w:bCs/>
                  <w:color w:val="FFFFFF" w:themeColor="background1"/>
                  <w:szCs w:val="22"/>
                  <w:u w:val="single"/>
                  <w:vertAlign w:val="superscript"/>
                  <w:lang w:val="en-US" w:eastAsia="nl-NL"/>
                </w:rPr>
                <w:t>2</w:t>
              </w:r>
            </w:hyperlink>
          </w:p>
        </w:tc>
        <w:tc>
          <w:tcPr>
            <w:tcW w:w="832" w:type="dxa"/>
            <w:shd w:val="clear" w:color="auto" w:fill="000000" w:themeFill="text1"/>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color w:val="FFFFFF" w:themeColor="background1"/>
                <w:szCs w:val="22"/>
                <w:lang w:val="en-US" w:eastAsia="nl-NL"/>
              </w:rPr>
            </w:pPr>
            <w:r w:rsidRPr="00EC0C5D">
              <w:rPr>
                <w:b/>
                <w:bCs/>
                <w:color w:val="FFFFFF" w:themeColor="background1"/>
                <w:szCs w:val="22"/>
                <w:lang w:val="en-US" w:eastAsia="nl-NL"/>
              </w:rPr>
              <w:t>2030</w:t>
            </w:r>
          </w:p>
        </w:tc>
        <w:tc>
          <w:tcPr>
            <w:tcW w:w="1171" w:type="dxa"/>
            <w:shd w:val="clear" w:color="auto" w:fill="000000" w:themeFill="text1"/>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color w:val="FFFFFF" w:themeColor="background1"/>
                <w:szCs w:val="22"/>
                <w:lang w:val="en-US" w:eastAsia="nl-NL"/>
              </w:rPr>
            </w:pPr>
            <w:r w:rsidRPr="00EC0C5D">
              <w:rPr>
                <w:b/>
                <w:bCs/>
                <w:color w:val="FFFFFF" w:themeColor="background1"/>
                <w:szCs w:val="22"/>
                <w:lang w:val="en-US" w:eastAsia="nl-NL"/>
              </w:rPr>
              <w:t>2030</w:t>
            </w:r>
          </w:p>
        </w:tc>
      </w:tr>
      <w:tr w:rsidRPr="00EC0C5D" w:rsidR="00D02146" w:rsidTr="00304557">
        <w:trPr>
          <w:trHeight w:val="403"/>
          <w:tblHeader/>
          <w:tblCellSpacing w:w="15" w:type="dxa"/>
        </w:trPr>
        <w:tc>
          <w:tcPr>
            <w:tcW w:w="569" w:type="dxa"/>
            <w:tcBorders>
              <w:bottom w:val="single" w:color="auto" w:sz="4" w:space="0"/>
            </w:tcBorders>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szCs w:val="22"/>
                <w:lang w:val="en-US" w:eastAsia="nl-NL"/>
              </w:rPr>
            </w:pPr>
            <w:r w:rsidRPr="00EC0C5D">
              <w:rPr>
                <w:b/>
                <w:bCs/>
                <w:szCs w:val="22"/>
                <w:lang w:val="en-US" w:eastAsia="nl-NL"/>
              </w:rPr>
              <w:t> </w:t>
            </w:r>
          </w:p>
        </w:tc>
        <w:tc>
          <w:tcPr>
            <w:tcW w:w="796" w:type="dxa"/>
            <w:tcBorders>
              <w:bottom w:val="single" w:color="auto" w:sz="4" w:space="0"/>
            </w:tcBorders>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szCs w:val="22"/>
                <w:lang w:val="en-US" w:eastAsia="nl-NL"/>
              </w:rPr>
            </w:pPr>
            <w:r w:rsidRPr="00EC0C5D">
              <w:rPr>
                <w:b/>
                <w:bCs/>
                <w:szCs w:val="22"/>
                <w:lang w:val="en-US" w:eastAsia="nl-NL"/>
              </w:rPr>
              <w:t> </w:t>
            </w:r>
          </w:p>
        </w:tc>
        <w:tc>
          <w:tcPr>
            <w:tcW w:w="726" w:type="dxa"/>
            <w:tcBorders>
              <w:bottom w:val="single" w:color="auto" w:sz="4" w:space="0"/>
            </w:tcBorders>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szCs w:val="22"/>
                <w:lang w:val="en-US" w:eastAsia="nl-NL"/>
              </w:rPr>
            </w:pPr>
            <w:r w:rsidRPr="00EC0C5D">
              <w:rPr>
                <w:b/>
                <w:bCs/>
                <w:szCs w:val="22"/>
                <w:lang w:val="en-US" w:eastAsia="nl-NL"/>
              </w:rPr>
              <w:t> </w:t>
            </w:r>
          </w:p>
        </w:tc>
        <w:tc>
          <w:tcPr>
            <w:tcW w:w="567" w:type="dxa"/>
            <w:tcBorders>
              <w:bottom w:val="single" w:color="auto" w:sz="4" w:space="0"/>
            </w:tcBorders>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szCs w:val="22"/>
                <w:lang w:val="en-US" w:eastAsia="nl-NL"/>
              </w:rPr>
            </w:pPr>
            <w:r w:rsidRPr="00EC0C5D">
              <w:rPr>
                <w:b/>
                <w:bCs/>
                <w:szCs w:val="22"/>
                <w:lang w:val="en-US" w:eastAsia="nl-NL"/>
              </w:rPr>
              <w:t> </w:t>
            </w:r>
          </w:p>
        </w:tc>
        <w:tc>
          <w:tcPr>
            <w:tcW w:w="704" w:type="dxa"/>
            <w:tcBorders>
              <w:bottom w:val="single" w:color="auto" w:sz="4" w:space="0"/>
            </w:tcBorders>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szCs w:val="22"/>
                <w:lang w:val="en-US" w:eastAsia="nl-NL"/>
              </w:rPr>
            </w:pPr>
            <w:r w:rsidRPr="00EC0C5D">
              <w:rPr>
                <w:b/>
                <w:bCs/>
                <w:szCs w:val="22"/>
                <w:lang w:val="en-US" w:eastAsia="nl-NL"/>
              </w:rPr>
              <w:t> </w:t>
            </w:r>
          </w:p>
        </w:tc>
        <w:tc>
          <w:tcPr>
            <w:tcW w:w="1000" w:type="dxa"/>
            <w:tcBorders>
              <w:bottom w:val="single" w:color="auto" w:sz="4" w:space="0"/>
            </w:tcBorders>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szCs w:val="22"/>
                <w:lang w:val="en-US" w:eastAsia="nl-NL"/>
              </w:rPr>
            </w:pPr>
            <w:r w:rsidRPr="00EC0C5D">
              <w:rPr>
                <w:b/>
                <w:bCs/>
                <w:szCs w:val="22"/>
                <w:lang w:val="en-US" w:eastAsia="nl-NL"/>
              </w:rPr>
              <w:t>NEC- Richtlijn</w:t>
            </w:r>
          </w:p>
        </w:tc>
        <w:tc>
          <w:tcPr>
            <w:tcW w:w="1146" w:type="dxa"/>
            <w:tcBorders>
              <w:bottom w:val="single" w:color="auto" w:sz="4" w:space="0"/>
            </w:tcBorders>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szCs w:val="22"/>
                <w:lang w:val="en-US" w:eastAsia="nl-NL"/>
              </w:rPr>
            </w:pPr>
            <w:r w:rsidRPr="00EC0C5D">
              <w:rPr>
                <w:b/>
                <w:bCs/>
                <w:szCs w:val="22"/>
                <w:lang w:val="en-US" w:eastAsia="nl-NL"/>
              </w:rPr>
              <w:t>Realisatie</w:t>
            </w:r>
          </w:p>
        </w:tc>
        <w:tc>
          <w:tcPr>
            <w:tcW w:w="1467" w:type="dxa"/>
            <w:tcBorders>
              <w:bottom w:val="single" w:color="auto" w:sz="4" w:space="0"/>
            </w:tcBorders>
            <w:hideMark/>
          </w:tcPr>
          <w:p w:rsidRPr="00EC0C5D" w:rsidR="00D02146" w:rsidP="00304557" w:rsidRDefault="00D02146">
            <w:pPr>
              <w:spacing w:before="100" w:beforeAutospacing="1" w:line="240" w:lineRule="auto"/>
              <w:jc w:val="left"/>
              <w:rPr>
                <w:b/>
                <w:bCs/>
                <w:szCs w:val="22"/>
                <w:lang w:val="en-US" w:eastAsia="nl-NL"/>
              </w:rPr>
            </w:pPr>
            <w:r w:rsidRPr="00EC0C5D">
              <w:rPr>
                <w:b/>
                <w:bCs/>
                <w:szCs w:val="22"/>
                <w:lang w:val="en-US" w:eastAsia="nl-NL"/>
              </w:rPr>
              <w:t>Realisatie</w:t>
            </w:r>
          </w:p>
        </w:tc>
        <w:tc>
          <w:tcPr>
            <w:tcW w:w="825" w:type="dxa"/>
            <w:tcBorders>
              <w:bottom w:val="single" w:color="auto" w:sz="4" w:space="0"/>
            </w:tcBorders>
          </w:tcPr>
          <w:p w:rsidRPr="00EC0C5D" w:rsidR="00D02146" w:rsidP="00304557" w:rsidRDefault="00D02146">
            <w:pPr>
              <w:spacing w:before="100" w:beforeAutospacing="1" w:line="240" w:lineRule="auto"/>
              <w:jc w:val="left"/>
              <w:rPr>
                <w:b/>
                <w:bCs/>
                <w:szCs w:val="22"/>
                <w:lang w:val="en-US" w:eastAsia="nl-NL"/>
              </w:rPr>
            </w:pPr>
            <w:r w:rsidRPr="00EC0C5D">
              <w:rPr>
                <w:b/>
                <w:bCs/>
                <w:szCs w:val="22"/>
                <w:lang w:val="en-US" w:eastAsia="nl-NL"/>
              </w:rPr>
              <w:t>Realisatie</w:t>
            </w:r>
          </w:p>
        </w:tc>
        <w:tc>
          <w:tcPr>
            <w:tcW w:w="851" w:type="dxa"/>
            <w:tcBorders>
              <w:bottom w:val="single" w:color="auto" w:sz="4" w:space="0"/>
            </w:tcBorders>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szCs w:val="22"/>
                <w:lang w:val="en-US" w:eastAsia="nl-NL"/>
              </w:rPr>
            </w:pPr>
            <w:r w:rsidRPr="00EC0C5D">
              <w:rPr>
                <w:b/>
                <w:bCs/>
                <w:szCs w:val="22"/>
                <w:lang w:val="en-US" w:eastAsia="nl-NL"/>
              </w:rPr>
              <w:t>Raming</w:t>
            </w:r>
          </w:p>
        </w:tc>
        <w:tc>
          <w:tcPr>
            <w:tcW w:w="1004" w:type="dxa"/>
            <w:tcBorders>
              <w:bottom w:val="single" w:color="auto" w:sz="4" w:space="0"/>
            </w:tcBorders>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szCs w:val="22"/>
                <w:lang w:val="en-US" w:eastAsia="nl-NL"/>
              </w:rPr>
            </w:pPr>
            <w:r w:rsidRPr="00EC0C5D">
              <w:rPr>
                <w:b/>
                <w:bCs/>
                <w:szCs w:val="22"/>
                <w:lang w:val="en-US" w:eastAsia="nl-NL"/>
              </w:rPr>
              <w:t>Herziene NEC-Richtlijn</w:t>
            </w:r>
          </w:p>
        </w:tc>
        <w:tc>
          <w:tcPr>
            <w:tcW w:w="832" w:type="dxa"/>
            <w:tcBorders>
              <w:bottom w:val="single" w:color="auto" w:sz="4" w:space="0"/>
            </w:tcBorders>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szCs w:val="22"/>
                <w:lang w:val="en-US" w:eastAsia="nl-NL"/>
              </w:rPr>
            </w:pPr>
            <w:r w:rsidRPr="00EC0C5D">
              <w:rPr>
                <w:b/>
                <w:bCs/>
                <w:szCs w:val="22"/>
                <w:lang w:val="en-US" w:eastAsia="nl-NL"/>
              </w:rPr>
              <w:t>Raming</w:t>
            </w:r>
          </w:p>
        </w:tc>
        <w:tc>
          <w:tcPr>
            <w:tcW w:w="1171" w:type="dxa"/>
            <w:tcBorders>
              <w:bottom w:val="single" w:color="auto" w:sz="4" w:space="0"/>
            </w:tcBorders>
            <w:tcMar>
              <w:top w:w="15" w:type="dxa"/>
              <w:left w:w="15" w:type="dxa"/>
              <w:bottom w:w="15" w:type="dxa"/>
              <w:right w:w="15" w:type="dxa"/>
            </w:tcMar>
            <w:hideMark/>
          </w:tcPr>
          <w:p w:rsidRPr="00EC0C5D" w:rsidR="00D02146" w:rsidP="00304557" w:rsidRDefault="00D02146">
            <w:pPr>
              <w:spacing w:before="100" w:beforeAutospacing="1" w:line="240" w:lineRule="auto"/>
              <w:jc w:val="left"/>
              <w:rPr>
                <w:b/>
                <w:bCs/>
                <w:szCs w:val="22"/>
                <w:lang w:val="en-US" w:eastAsia="nl-NL"/>
              </w:rPr>
            </w:pPr>
            <w:r w:rsidRPr="00EC0C5D">
              <w:rPr>
                <w:b/>
                <w:bCs/>
                <w:szCs w:val="22"/>
                <w:lang w:val="en-US" w:eastAsia="nl-NL"/>
              </w:rPr>
              <w:t>Herziene NEC-Richtlijn</w:t>
            </w:r>
          </w:p>
        </w:tc>
      </w:tr>
      <w:tr w:rsidRPr="00EC0C5D" w:rsidR="00D02146" w:rsidTr="00304557">
        <w:trPr>
          <w:trHeight w:val="197"/>
          <w:tblCellSpacing w:w="15" w:type="dxa"/>
        </w:trPr>
        <w:tc>
          <w:tcPr>
            <w:tcW w:w="569" w:type="dxa"/>
            <w:tcMar>
              <w:top w:w="15" w:type="dxa"/>
              <w:left w:w="15" w:type="dxa"/>
              <w:bottom w:w="15" w:type="dxa"/>
              <w:right w:w="15" w:type="dxa"/>
            </w:tcMar>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SO</w:t>
            </w:r>
            <w:r w:rsidRPr="00EC0C5D">
              <w:rPr>
                <w:szCs w:val="22"/>
                <w:vertAlign w:val="subscript"/>
                <w:lang w:val="en-US" w:eastAsia="nl-NL"/>
              </w:rPr>
              <w:t>2</w:t>
            </w:r>
          </w:p>
        </w:tc>
        <w:tc>
          <w:tcPr>
            <w:tcW w:w="796"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194</w:t>
            </w:r>
          </w:p>
        </w:tc>
        <w:tc>
          <w:tcPr>
            <w:tcW w:w="726"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77</w:t>
            </w:r>
          </w:p>
        </w:tc>
        <w:tc>
          <w:tcPr>
            <w:tcW w:w="567"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67</w:t>
            </w:r>
          </w:p>
        </w:tc>
        <w:tc>
          <w:tcPr>
            <w:tcW w:w="704"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35</w:t>
            </w:r>
          </w:p>
        </w:tc>
        <w:tc>
          <w:tcPr>
            <w:tcW w:w="1000"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50</w:t>
            </w:r>
          </w:p>
        </w:tc>
        <w:tc>
          <w:tcPr>
            <w:tcW w:w="1146"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31</w:t>
            </w:r>
          </w:p>
        </w:tc>
        <w:tc>
          <w:tcPr>
            <w:tcW w:w="1467" w:type="dxa"/>
          </w:tcPr>
          <w:p w:rsidRPr="00EC0C5D" w:rsidR="00D02146" w:rsidP="00304557" w:rsidRDefault="00D02146">
            <w:pPr>
              <w:spacing w:before="100" w:beforeAutospacing="1" w:line="240" w:lineRule="auto"/>
              <w:jc w:val="left"/>
              <w:rPr>
                <w:szCs w:val="22"/>
                <w:lang w:val="en-US" w:eastAsia="nl-NL"/>
              </w:rPr>
            </w:pPr>
            <w:r>
              <w:rPr>
                <w:szCs w:val="22"/>
                <w:lang w:val="en-US" w:eastAsia="nl-NL"/>
              </w:rPr>
              <w:t>26</w:t>
            </w:r>
          </w:p>
        </w:tc>
        <w:tc>
          <w:tcPr>
            <w:tcW w:w="825" w:type="dxa"/>
          </w:tcPr>
          <w:p w:rsidRPr="00EC0C5D" w:rsidR="00D02146" w:rsidP="00304557" w:rsidRDefault="00D02146">
            <w:pPr>
              <w:spacing w:before="100" w:beforeAutospacing="1" w:line="240" w:lineRule="auto"/>
              <w:jc w:val="left"/>
              <w:rPr>
                <w:szCs w:val="22"/>
                <w:lang w:val="en-US" w:eastAsia="nl-NL"/>
              </w:rPr>
            </w:pPr>
            <w:r>
              <w:rPr>
                <w:szCs w:val="22"/>
                <w:lang w:val="en-US" w:eastAsia="nl-NL"/>
              </w:rPr>
              <w:t>25</w:t>
            </w:r>
          </w:p>
        </w:tc>
        <w:tc>
          <w:tcPr>
            <w:tcW w:w="851"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30</w:t>
            </w:r>
          </w:p>
        </w:tc>
        <w:tc>
          <w:tcPr>
            <w:tcW w:w="1004"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48</w:t>
            </w:r>
          </w:p>
        </w:tc>
        <w:tc>
          <w:tcPr>
            <w:tcW w:w="832"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31</w:t>
            </w:r>
          </w:p>
        </w:tc>
        <w:tc>
          <w:tcPr>
            <w:tcW w:w="1171"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32</w:t>
            </w:r>
          </w:p>
        </w:tc>
      </w:tr>
      <w:tr w:rsidRPr="00EC0C5D" w:rsidR="00D02146" w:rsidTr="00304557">
        <w:trPr>
          <w:trHeight w:val="206"/>
          <w:tblCellSpacing w:w="15" w:type="dxa"/>
        </w:trPr>
        <w:tc>
          <w:tcPr>
            <w:tcW w:w="569" w:type="dxa"/>
            <w:tcMar>
              <w:top w:w="15" w:type="dxa"/>
              <w:left w:w="15" w:type="dxa"/>
              <w:bottom w:w="15" w:type="dxa"/>
              <w:right w:w="15" w:type="dxa"/>
            </w:tcMar>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NO</w:t>
            </w:r>
            <w:r w:rsidRPr="00EC0C5D">
              <w:rPr>
                <w:szCs w:val="22"/>
                <w:vertAlign w:val="subscript"/>
                <w:lang w:val="en-US" w:eastAsia="nl-NL"/>
              </w:rPr>
              <w:t>x</w:t>
            </w:r>
          </w:p>
        </w:tc>
        <w:tc>
          <w:tcPr>
            <w:tcW w:w="796"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629</w:t>
            </w:r>
          </w:p>
        </w:tc>
        <w:tc>
          <w:tcPr>
            <w:tcW w:w="726"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441</w:t>
            </w:r>
          </w:p>
        </w:tc>
        <w:tc>
          <w:tcPr>
            <w:tcW w:w="567"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313</w:t>
            </w:r>
          </w:p>
        </w:tc>
        <w:tc>
          <w:tcPr>
            <w:tcW w:w="704"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313</w:t>
            </w:r>
          </w:p>
        </w:tc>
        <w:tc>
          <w:tcPr>
            <w:tcW w:w="1000"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260</w:t>
            </w:r>
          </w:p>
        </w:tc>
        <w:tc>
          <w:tcPr>
            <w:tcW w:w="1146"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26</w:t>
            </w:r>
            <w:r>
              <w:rPr>
                <w:szCs w:val="22"/>
                <w:lang w:val="en-US" w:eastAsia="nl-NL"/>
              </w:rPr>
              <w:t>8</w:t>
            </w:r>
          </w:p>
        </w:tc>
        <w:tc>
          <w:tcPr>
            <w:tcW w:w="1467" w:type="dxa"/>
          </w:tcPr>
          <w:p w:rsidRPr="00EC0C5D" w:rsidR="00D02146" w:rsidP="00304557" w:rsidRDefault="00D02146">
            <w:pPr>
              <w:spacing w:before="100" w:beforeAutospacing="1" w:line="240" w:lineRule="auto"/>
              <w:jc w:val="left"/>
              <w:rPr>
                <w:szCs w:val="22"/>
                <w:lang w:val="en-US" w:eastAsia="nl-NL"/>
              </w:rPr>
            </w:pPr>
            <w:r>
              <w:rPr>
                <w:szCs w:val="22"/>
                <w:lang w:val="en-US" w:eastAsia="nl-NL"/>
              </w:rPr>
              <w:t>244</w:t>
            </w:r>
          </w:p>
        </w:tc>
        <w:tc>
          <w:tcPr>
            <w:tcW w:w="825" w:type="dxa"/>
          </w:tcPr>
          <w:p w:rsidRPr="00EC0C5D" w:rsidR="00D02146" w:rsidP="00304557" w:rsidRDefault="00D02146">
            <w:pPr>
              <w:spacing w:before="100" w:beforeAutospacing="1" w:line="240" w:lineRule="auto"/>
              <w:jc w:val="left"/>
              <w:rPr>
                <w:szCs w:val="22"/>
                <w:lang w:val="en-US" w:eastAsia="nl-NL"/>
              </w:rPr>
            </w:pPr>
            <w:r>
              <w:rPr>
                <w:szCs w:val="22"/>
                <w:lang w:val="en-US" w:eastAsia="nl-NL"/>
              </w:rPr>
              <w:t>235</w:t>
            </w:r>
          </w:p>
        </w:tc>
        <w:tc>
          <w:tcPr>
            <w:tcW w:w="851"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173</w:t>
            </w:r>
          </w:p>
        </w:tc>
        <w:tc>
          <w:tcPr>
            <w:tcW w:w="1004"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210</w:t>
            </w:r>
          </w:p>
        </w:tc>
        <w:tc>
          <w:tcPr>
            <w:tcW w:w="832"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127</w:t>
            </w:r>
          </w:p>
        </w:tc>
        <w:tc>
          <w:tcPr>
            <w:tcW w:w="1171"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149</w:t>
            </w:r>
          </w:p>
        </w:tc>
      </w:tr>
      <w:tr w:rsidRPr="00EC0C5D" w:rsidR="00D02146" w:rsidTr="00304557">
        <w:trPr>
          <w:trHeight w:val="197"/>
          <w:tblCellSpacing w:w="15" w:type="dxa"/>
        </w:trPr>
        <w:tc>
          <w:tcPr>
            <w:tcW w:w="569" w:type="dxa"/>
            <w:tcMar>
              <w:top w:w="15" w:type="dxa"/>
              <w:left w:w="15" w:type="dxa"/>
              <w:bottom w:w="15" w:type="dxa"/>
              <w:right w:w="15" w:type="dxa"/>
            </w:tcMar>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NH</w:t>
            </w:r>
            <w:r w:rsidRPr="00EC0C5D">
              <w:rPr>
                <w:szCs w:val="22"/>
                <w:vertAlign w:val="subscript"/>
                <w:lang w:val="en-US" w:eastAsia="nl-NL"/>
              </w:rPr>
              <w:t>3</w:t>
            </w:r>
          </w:p>
        </w:tc>
        <w:tc>
          <w:tcPr>
            <w:tcW w:w="796"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350</w:t>
            </w:r>
          </w:p>
        </w:tc>
        <w:tc>
          <w:tcPr>
            <w:tcW w:w="726"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175</w:t>
            </w:r>
          </w:p>
        </w:tc>
        <w:tc>
          <w:tcPr>
            <w:tcW w:w="567"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153</w:t>
            </w:r>
          </w:p>
        </w:tc>
        <w:tc>
          <w:tcPr>
            <w:tcW w:w="704"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133</w:t>
            </w:r>
          </w:p>
        </w:tc>
        <w:tc>
          <w:tcPr>
            <w:tcW w:w="1000"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128</w:t>
            </w:r>
          </w:p>
        </w:tc>
        <w:tc>
          <w:tcPr>
            <w:tcW w:w="1146"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128</w:t>
            </w:r>
          </w:p>
        </w:tc>
        <w:tc>
          <w:tcPr>
            <w:tcW w:w="1467" w:type="dxa"/>
          </w:tcPr>
          <w:p w:rsidRPr="00EC0C5D" w:rsidR="00D02146" w:rsidP="00304557" w:rsidRDefault="00D02146">
            <w:pPr>
              <w:spacing w:before="100" w:beforeAutospacing="1" w:line="240" w:lineRule="auto"/>
              <w:jc w:val="left"/>
              <w:rPr>
                <w:szCs w:val="22"/>
                <w:lang w:val="en-US" w:eastAsia="nl-NL"/>
              </w:rPr>
            </w:pPr>
            <w:r>
              <w:rPr>
                <w:szCs w:val="22"/>
                <w:lang w:val="en-US" w:eastAsia="nl-NL"/>
              </w:rPr>
              <w:t>131</w:t>
            </w:r>
          </w:p>
        </w:tc>
        <w:tc>
          <w:tcPr>
            <w:tcW w:w="825" w:type="dxa"/>
          </w:tcPr>
          <w:p w:rsidRPr="00EC0C5D" w:rsidR="00D02146" w:rsidP="00304557" w:rsidRDefault="00D02146">
            <w:pPr>
              <w:spacing w:before="100" w:beforeAutospacing="1" w:line="240" w:lineRule="auto"/>
              <w:jc w:val="left"/>
              <w:rPr>
                <w:szCs w:val="22"/>
                <w:lang w:val="en-US" w:eastAsia="nl-NL"/>
              </w:rPr>
            </w:pPr>
            <w:r>
              <w:rPr>
                <w:szCs w:val="22"/>
                <w:lang w:val="en-US" w:eastAsia="nl-NL"/>
              </w:rPr>
              <w:t>130</w:t>
            </w:r>
          </w:p>
        </w:tc>
        <w:tc>
          <w:tcPr>
            <w:tcW w:w="851"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119</w:t>
            </w:r>
          </w:p>
        </w:tc>
        <w:tc>
          <w:tcPr>
            <w:tcW w:w="1004"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142</w:t>
            </w:r>
          </w:p>
        </w:tc>
        <w:tc>
          <w:tcPr>
            <w:tcW w:w="832"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107</w:t>
            </w:r>
          </w:p>
        </w:tc>
        <w:tc>
          <w:tcPr>
            <w:tcW w:w="1171"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122</w:t>
            </w:r>
          </w:p>
        </w:tc>
      </w:tr>
      <w:tr w:rsidRPr="00EC0C5D" w:rsidR="00D02146" w:rsidTr="00304557">
        <w:trPr>
          <w:trHeight w:val="403"/>
          <w:tblCellSpacing w:w="15" w:type="dxa"/>
        </w:trPr>
        <w:tc>
          <w:tcPr>
            <w:tcW w:w="569" w:type="dxa"/>
            <w:tcMar>
              <w:top w:w="15" w:type="dxa"/>
              <w:left w:w="15" w:type="dxa"/>
              <w:bottom w:w="15" w:type="dxa"/>
              <w:right w:w="15" w:type="dxa"/>
            </w:tcMar>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NM VOS</w:t>
            </w:r>
            <w:hyperlink w:history="1" w:anchor="A21_3" r:id="rId7">
              <w:r w:rsidRPr="00EC0C5D">
                <w:rPr>
                  <w:color w:val="0563C1" w:themeColor="hyperlink"/>
                  <w:szCs w:val="22"/>
                  <w:u w:val="single"/>
                  <w:vertAlign w:val="superscript"/>
                  <w:lang w:val="en-US" w:eastAsia="nl-NL"/>
                </w:rPr>
                <w:t>3</w:t>
              </w:r>
            </w:hyperlink>
          </w:p>
        </w:tc>
        <w:tc>
          <w:tcPr>
            <w:tcW w:w="796"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606</w:t>
            </w:r>
          </w:p>
        </w:tc>
        <w:tc>
          <w:tcPr>
            <w:tcW w:w="726"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336</w:t>
            </w:r>
          </w:p>
        </w:tc>
        <w:tc>
          <w:tcPr>
            <w:tcW w:w="567"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269</w:t>
            </w:r>
          </w:p>
        </w:tc>
        <w:tc>
          <w:tcPr>
            <w:tcW w:w="704"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270</w:t>
            </w:r>
          </w:p>
        </w:tc>
        <w:tc>
          <w:tcPr>
            <w:tcW w:w="1000"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185</w:t>
            </w:r>
          </w:p>
        </w:tc>
        <w:tc>
          <w:tcPr>
            <w:tcW w:w="1146"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257</w:t>
            </w:r>
          </w:p>
        </w:tc>
        <w:tc>
          <w:tcPr>
            <w:tcW w:w="1467" w:type="dxa"/>
            <w:vAlign w:val="bottom"/>
          </w:tcPr>
          <w:p w:rsidRPr="00EC0C5D" w:rsidR="00D02146" w:rsidP="00304557" w:rsidRDefault="00D02146">
            <w:pPr>
              <w:spacing w:before="100" w:beforeAutospacing="1" w:line="240" w:lineRule="auto"/>
              <w:jc w:val="left"/>
              <w:rPr>
                <w:szCs w:val="22"/>
                <w:lang w:val="en-US" w:eastAsia="nl-NL"/>
              </w:rPr>
            </w:pPr>
            <w:r>
              <w:rPr>
                <w:szCs w:val="22"/>
                <w:lang w:val="en-US" w:eastAsia="nl-NL"/>
              </w:rPr>
              <w:t>255</w:t>
            </w:r>
          </w:p>
        </w:tc>
        <w:tc>
          <w:tcPr>
            <w:tcW w:w="825" w:type="dxa"/>
            <w:vAlign w:val="bottom"/>
          </w:tcPr>
          <w:p w:rsidRPr="00EC0C5D" w:rsidR="00D02146" w:rsidP="00304557" w:rsidRDefault="00D02146">
            <w:pPr>
              <w:spacing w:before="100" w:beforeAutospacing="1" w:line="240" w:lineRule="auto"/>
              <w:jc w:val="left"/>
              <w:rPr>
                <w:szCs w:val="22"/>
                <w:lang w:val="en-US" w:eastAsia="nl-NL"/>
              </w:rPr>
            </w:pPr>
            <w:r>
              <w:rPr>
                <w:szCs w:val="22"/>
                <w:lang w:val="en-US" w:eastAsia="nl-NL"/>
              </w:rPr>
              <w:t>242</w:t>
            </w:r>
          </w:p>
        </w:tc>
        <w:tc>
          <w:tcPr>
            <w:tcW w:w="851"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p>
        </w:tc>
        <w:tc>
          <w:tcPr>
            <w:tcW w:w="1004"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244</w:t>
            </w:r>
          </w:p>
        </w:tc>
        <w:tc>
          <w:tcPr>
            <w:tcW w:w="832"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p>
        </w:tc>
        <w:tc>
          <w:tcPr>
            <w:tcW w:w="1171" w:type="dxa"/>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225</w:t>
            </w:r>
          </w:p>
        </w:tc>
      </w:tr>
      <w:tr w:rsidRPr="00EC0C5D" w:rsidR="00D02146" w:rsidTr="00304557">
        <w:trPr>
          <w:trHeight w:val="403"/>
          <w:tblCellSpacing w:w="15" w:type="dxa"/>
        </w:trPr>
        <w:tc>
          <w:tcPr>
            <w:tcW w:w="569" w:type="dxa"/>
            <w:tcMar>
              <w:top w:w="15" w:type="dxa"/>
              <w:left w:w="15" w:type="dxa"/>
              <w:bottom w:w="15" w:type="dxa"/>
              <w:right w:w="15" w:type="dxa"/>
            </w:tcMar>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NM VOS</w:t>
            </w:r>
            <w:hyperlink w:history="1" w:anchor="A21_3" r:id="rId8">
              <w:r w:rsidRPr="00EC0C5D">
                <w:rPr>
                  <w:color w:val="0563C1" w:themeColor="hyperlink"/>
                  <w:szCs w:val="22"/>
                  <w:u w:val="single"/>
                  <w:vertAlign w:val="superscript"/>
                  <w:lang w:val="en-US" w:eastAsia="nl-NL"/>
                </w:rPr>
                <w:t>3</w:t>
              </w:r>
            </w:hyperlink>
          </w:p>
        </w:tc>
        <w:tc>
          <w:tcPr>
            <w:tcW w:w="796" w:type="dxa"/>
            <w:tcMar>
              <w:top w:w="15" w:type="dxa"/>
              <w:left w:w="15" w:type="dxa"/>
              <w:bottom w:w="15" w:type="dxa"/>
              <w:right w:w="15" w:type="dxa"/>
            </w:tcMar>
            <w:vAlign w:val="bottom"/>
          </w:tcPr>
          <w:p w:rsidRPr="00EC0C5D" w:rsidR="00D02146" w:rsidP="00304557" w:rsidRDefault="00D02146">
            <w:pPr>
              <w:spacing w:before="100" w:beforeAutospacing="1" w:line="240" w:lineRule="auto"/>
              <w:jc w:val="left"/>
              <w:rPr>
                <w:szCs w:val="22"/>
                <w:lang w:val="en-US" w:eastAsia="nl-NL"/>
              </w:rPr>
            </w:pPr>
          </w:p>
        </w:tc>
        <w:tc>
          <w:tcPr>
            <w:tcW w:w="726" w:type="dxa"/>
            <w:tcMar>
              <w:top w:w="15" w:type="dxa"/>
              <w:left w:w="15" w:type="dxa"/>
              <w:bottom w:w="15" w:type="dxa"/>
              <w:right w:w="15" w:type="dxa"/>
            </w:tcMar>
            <w:vAlign w:val="bottom"/>
          </w:tcPr>
          <w:p w:rsidRPr="00EC0C5D" w:rsidR="00D02146" w:rsidP="00304557" w:rsidRDefault="00D02146">
            <w:pPr>
              <w:spacing w:before="100" w:beforeAutospacing="1" w:line="240" w:lineRule="auto"/>
              <w:jc w:val="left"/>
              <w:rPr>
                <w:szCs w:val="22"/>
                <w:lang w:val="en-US" w:eastAsia="nl-NL"/>
              </w:rPr>
            </w:pPr>
          </w:p>
        </w:tc>
        <w:tc>
          <w:tcPr>
            <w:tcW w:w="567" w:type="dxa"/>
            <w:tcMar>
              <w:top w:w="15" w:type="dxa"/>
              <w:left w:w="15" w:type="dxa"/>
              <w:bottom w:w="15" w:type="dxa"/>
              <w:right w:w="15" w:type="dxa"/>
            </w:tcMar>
            <w:vAlign w:val="bottom"/>
          </w:tcPr>
          <w:p w:rsidRPr="00EC0C5D" w:rsidR="00D02146" w:rsidP="00304557" w:rsidRDefault="00D02146">
            <w:pPr>
              <w:spacing w:before="100" w:beforeAutospacing="1" w:line="240" w:lineRule="auto"/>
              <w:jc w:val="left"/>
              <w:rPr>
                <w:szCs w:val="22"/>
                <w:lang w:val="en-US" w:eastAsia="nl-NL"/>
              </w:rPr>
            </w:pPr>
          </w:p>
        </w:tc>
        <w:tc>
          <w:tcPr>
            <w:tcW w:w="704" w:type="dxa"/>
            <w:tcMar>
              <w:top w:w="15" w:type="dxa"/>
              <w:left w:w="15" w:type="dxa"/>
              <w:bottom w:w="15" w:type="dxa"/>
              <w:right w:w="15" w:type="dxa"/>
            </w:tcMar>
            <w:vAlign w:val="bottom"/>
          </w:tcPr>
          <w:p w:rsidRPr="00EC0C5D" w:rsidR="00D02146" w:rsidP="00304557" w:rsidRDefault="00D02146">
            <w:pPr>
              <w:spacing w:before="100" w:beforeAutospacing="1" w:line="240" w:lineRule="auto"/>
              <w:jc w:val="left"/>
              <w:rPr>
                <w:szCs w:val="22"/>
                <w:lang w:val="en-US" w:eastAsia="nl-NL"/>
              </w:rPr>
            </w:pPr>
            <w:r>
              <w:rPr>
                <w:szCs w:val="22"/>
                <w:lang w:val="en-US" w:eastAsia="nl-NL"/>
              </w:rPr>
              <w:t>188</w:t>
            </w:r>
          </w:p>
        </w:tc>
        <w:tc>
          <w:tcPr>
            <w:tcW w:w="1000" w:type="dxa"/>
            <w:tcMar>
              <w:top w:w="15" w:type="dxa"/>
              <w:left w:w="15" w:type="dxa"/>
              <w:bottom w:w="15" w:type="dxa"/>
              <w:right w:w="15" w:type="dxa"/>
            </w:tcMar>
            <w:vAlign w:val="bottom"/>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185</w:t>
            </w:r>
          </w:p>
        </w:tc>
        <w:tc>
          <w:tcPr>
            <w:tcW w:w="1146" w:type="dxa"/>
            <w:tcMar>
              <w:top w:w="15" w:type="dxa"/>
              <w:left w:w="15" w:type="dxa"/>
              <w:bottom w:w="15" w:type="dxa"/>
              <w:right w:w="15" w:type="dxa"/>
            </w:tcMar>
            <w:vAlign w:val="bottom"/>
          </w:tcPr>
          <w:p w:rsidRPr="00EC0C5D" w:rsidR="00D02146" w:rsidP="00304557" w:rsidRDefault="00D02146">
            <w:pPr>
              <w:spacing w:before="100" w:beforeAutospacing="1" w:line="240" w:lineRule="auto"/>
              <w:jc w:val="left"/>
              <w:rPr>
                <w:szCs w:val="22"/>
                <w:lang w:val="en-US" w:eastAsia="nl-NL"/>
              </w:rPr>
            </w:pPr>
            <w:r>
              <w:rPr>
                <w:szCs w:val="22"/>
                <w:lang w:val="en-US" w:eastAsia="nl-NL"/>
              </w:rPr>
              <w:t>178</w:t>
            </w:r>
          </w:p>
        </w:tc>
        <w:tc>
          <w:tcPr>
            <w:tcW w:w="1467" w:type="dxa"/>
            <w:vAlign w:val="bottom"/>
          </w:tcPr>
          <w:p w:rsidRPr="00EC0C5D" w:rsidR="00D02146" w:rsidP="00304557" w:rsidRDefault="00D02146">
            <w:pPr>
              <w:spacing w:before="100" w:beforeAutospacing="1" w:line="240" w:lineRule="auto"/>
              <w:jc w:val="left"/>
              <w:rPr>
                <w:szCs w:val="22"/>
                <w:lang w:val="en-US" w:eastAsia="nl-NL"/>
              </w:rPr>
            </w:pPr>
            <w:r>
              <w:rPr>
                <w:szCs w:val="22"/>
                <w:lang w:val="en-US" w:eastAsia="nl-NL"/>
              </w:rPr>
              <w:t>183</w:t>
            </w:r>
          </w:p>
        </w:tc>
        <w:tc>
          <w:tcPr>
            <w:tcW w:w="825" w:type="dxa"/>
            <w:vAlign w:val="bottom"/>
          </w:tcPr>
          <w:p w:rsidRPr="00EC0C5D" w:rsidR="00D02146" w:rsidP="00304557" w:rsidRDefault="00D02146">
            <w:pPr>
              <w:spacing w:before="100" w:beforeAutospacing="1" w:line="240" w:lineRule="auto"/>
              <w:jc w:val="left"/>
              <w:rPr>
                <w:szCs w:val="22"/>
                <w:lang w:val="en-US" w:eastAsia="nl-NL"/>
              </w:rPr>
            </w:pPr>
            <w:r>
              <w:rPr>
                <w:szCs w:val="22"/>
                <w:lang w:val="en-US" w:eastAsia="nl-NL"/>
              </w:rPr>
              <w:t>187</w:t>
            </w:r>
          </w:p>
        </w:tc>
        <w:tc>
          <w:tcPr>
            <w:tcW w:w="851" w:type="dxa"/>
            <w:tcMar>
              <w:top w:w="15" w:type="dxa"/>
              <w:left w:w="15" w:type="dxa"/>
              <w:bottom w:w="15" w:type="dxa"/>
              <w:right w:w="15" w:type="dxa"/>
            </w:tcMar>
            <w:vAlign w:val="bottom"/>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144</w:t>
            </w:r>
          </w:p>
        </w:tc>
        <w:tc>
          <w:tcPr>
            <w:tcW w:w="1004" w:type="dxa"/>
            <w:tcMar>
              <w:top w:w="15" w:type="dxa"/>
              <w:left w:w="15" w:type="dxa"/>
              <w:bottom w:w="15" w:type="dxa"/>
              <w:right w:w="15" w:type="dxa"/>
            </w:tcMar>
            <w:vAlign w:val="bottom"/>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183</w:t>
            </w:r>
          </w:p>
        </w:tc>
        <w:tc>
          <w:tcPr>
            <w:tcW w:w="832" w:type="dxa"/>
            <w:tcMar>
              <w:top w:w="15" w:type="dxa"/>
              <w:left w:w="15" w:type="dxa"/>
              <w:bottom w:w="15" w:type="dxa"/>
              <w:right w:w="15" w:type="dxa"/>
            </w:tcMar>
            <w:vAlign w:val="bottom"/>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146</w:t>
            </w:r>
          </w:p>
        </w:tc>
        <w:tc>
          <w:tcPr>
            <w:tcW w:w="1171" w:type="dxa"/>
            <w:tcMar>
              <w:top w:w="15" w:type="dxa"/>
              <w:left w:w="15" w:type="dxa"/>
              <w:bottom w:w="15" w:type="dxa"/>
              <w:right w:w="15" w:type="dxa"/>
            </w:tcMar>
            <w:vAlign w:val="bottom"/>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169</w:t>
            </w:r>
          </w:p>
        </w:tc>
      </w:tr>
      <w:tr w:rsidRPr="00EC0C5D" w:rsidR="00D02146" w:rsidTr="00304557">
        <w:trPr>
          <w:trHeight w:val="197"/>
          <w:tblCellSpacing w:w="15" w:type="dxa"/>
        </w:trPr>
        <w:tc>
          <w:tcPr>
            <w:tcW w:w="569" w:type="dxa"/>
            <w:tcBorders>
              <w:bottom w:val="single" w:color="auto" w:sz="4" w:space="0"/>
            </w:tcBorders>
            <w:tcMar>
              <w:top w:w="15" w:type="dxa"/>
              <w:left w:w="15" w:type="dxa"/>
              <w:bottom w:w="15" w:type="dxa"/>
              <w:right w:w="15" w:type="dxa"/>
            </w:tcMar>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PM</w:t>
            </w:r>
            <w:r w:rsidRPr="00EC0C5D">
              <w:rPr>
                <w:szCs w:val="22"/>
                <w:vertAlign w:val="subscript"/>
                <w:lang w:val="en-US" w:eastAsia="nl-NL"/>
              </w:rPr>
              <w:t>2,5</w:t>
            </w:r>
          </w:p>
        </w:tc>
        <w:tc>
          <w:tcPr>
            <w:tcW w:w="796" w:type="dxa"/>
            <w:tcBorders>
              <w:bottom w:val="single" w:color="auto" w:sz="4" w:space="0"/>
            </w:tcBorders>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53</w:t>
            </w:r>
          </w:p>
        </w:tc>
        <w:tc>
          <w:tcPr>
            <w:tcW w:w="726" w:type="dxa"/>
            <w:tcBorders>
              <w:bottom w:val="single" w:color="auto" w:sz="4" w:space="0"/>
            </w:tcBorders>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28</w:t>
            </w:r>
          </w:p>
        </w:tc>
        <w:tc>
          <w:tcPr>
            <w:tcW w:w="567" w:type="dxa"/>
            <w:tcBorders>
              <w:bottom w:val="single" w:color="auto" w:sz="4" w:space="0"/>
            </w:tcBorders>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22</w:t>
            </w:r>
          </w:p>
        </w:tc>
        <w:tc>
          <w:tcPr>
            <w:tcW w:w="704" w:type="dxa"/>
            <w:tcBorders>
              <w:bottom w:val="single" w:color="auto" w:sz="4" w:space="0"/>
            </w:tcBorders>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17</w:t>
            </w:r>
          </w:p>
        </w:tc>
        <w:tc>
          <w:tcPr>
            <w:tcW w:w="1000" w:type="dxa"/>
            <w:tcBorders>
              <w:bottom w:val="single" w:color="auto" w:sz="4" w:space="0"/>
            </w:tcBorders>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 </w:t>
            </w:r>
          </w:p>
        </w:tc>
        <w:tc>
          <w:tcPr>
            <w:tcW w:w="1146" w:type="dxa"/>
            <w:tcBorders>
              <w:bottom w:val="single" w:color="auto" w:sz="4" w:space="0"/>
            </w:tcBorders>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Pr>
                <w:szCs w:val="22"/>
                <w:lang w:val="en-US" w:eastAsia="nl-NL"/>
              </w:rPr>
              <w:t>14</w:t>
            </w:r>
          </w:p>
        </w:tc>
        <w:tc>
          <w:tcPr>
            <w:tcW w:w="1467" w:type="dxa"/>
            <w:tcBorders>
              <w:bottom w:val="single" w:color="auto" w:sz="4" w:space="0"/>
            </w:tcBorders>
          </w:tcPr>
          <w:p w:rsidRPr="00EC0C5D" w:rsidR="00D02146" w:rsidP="00304557" w:rsidRDefault="00D02146">
            <w:pPr>
              <w:spacing w:before="100" w:beforeAutospacing="1" w:line="240" w:lineRule="auto"/>
              <w:jc w:val="left"/>
              <w:rPr>
                <w:szCs w:val="22"/>
                <w:lang w:val="en-US" w:eastAsia="nl-NL"/>
              </w:rPr>
            </w:pPr>
            <w:r>
              <w:rPr>
                <w:szCs w:val="22"/>
                <w:lang w:val="en-US" w:eastAsia="nl-NL"/>
              </w:rPr>
              <w:t>13</w:t>
            </w:r>
          </w:p>
        </w:tc>
        <w:tc>
          <w:tcPr>
            <w:tcW w:w="825" w:type="dxa"/>
            <w:tcBorders>
              <w:bottom w:val="single" w:color="auto" w:sz="4" w:space="0"/>
            </w:tcBorders>
          </w:tcPr>
          <w:p w:rsidRPr="00EC0C5D" w:rsidR="00D02146" w:rsidP="00304557" w:rsidRDefault="00D02146">
            <w:pPr>
              <w:spacing w:before="100" w:beforeAutospacing="1" w:line="240" w:lineRule="auto"/>
              <w:jc w:val="left"/>
              <w:rPr>
                <w:szCs w:val="22"/>
                <w:lang w:val="en-US" w:eastAsia="nl-NL"/>
              </w:rPr>
            </w:pPr>
            <w:r>
              <w:rPr>
                <w:szCs w:val="22"/>
                <w:lang w:val="en-US" w:eastAsia="nl-NL"/>
              </w:rPr>
              <w:t>13</w:t>
            </w:r>
          </w:p>
        </w:tc>
        <w:tc>
          <w:tcPr>
            <w:tcW w:w="851" w:type="dxa"/>
            <w:tcBorders>
              <w:bottom w:val="single" w:color="auto" w:sz="4" w:space="0"/>
            </w:tcBorders>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11</w:t>
            </w:r>
          </w:p>
        </w:tc>
        <w:tc>
          <w:tcPr>
            <w:tcW w:w="1004" w:type="dxa"/>
            <w:tcBorders>
              <w:bottom w:val="single" w:color="auto" w:sz="4" w:space="0"/>
            </w:tcBorders>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15</w:t>
            </w:r>
          </w:p>
        </w:tc>
        <w:tc>
          <w:tcPr>
            <w:tcW w:w="832" w:type="dxa"/>
            <w:tcBorders>
              <w:bottom w:val="single" w:color="auto" w:sz="4" w:space="0"/>
            </w:tcBorders>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10</w:t>
            </w:r>
          </w:p>
        </w:tc>
        <w:tc>
          <w:tcPr>
            <w:tcW w:w="1171" w:type="dxa"/>
            <w:tcBorders>
              <w:bottom w:val="single" w:color="auto" w:sz="4" w:space="0"/>
            </w:tcBorders>
            <w:tcMar>
              <w:top w:w="15" w:type="dxa"/>
              <w:left w:w="15" w:type="dxa"/>
              <w:bottom w:w="15" w:type="dxa"/>
              <w:right w:w="15" w:type="dxa"/>
            </w:tcMar>
            <w:vAlign w:val="bottom"/>
            <w:hideMark/>
          </w:tcPr>
          <w:p w:rsidRPr="00EC0C5D" w:rsidR="00D02146" w:rsidP="00304557" w:rsidRDefault="00D02146">
            <w:pPr>
              <w:spacing w:before="100" w:beforeAutospacing="1" w:line="240" w:lineRule="auto"/>
              <w:jc w:val="left"/>
              <w:rPr>
                <w:szCs w:val="22"/>
                <w:lang w:val="en-US" w:eastAsia="nl-NL"/>
              </w:rPr>
            </w:pPr>
            <w:r w:rsidRPr="00EC0C5D">
              <w:rPr>
                <w:szCs w:val="22"/>
                <w:lang w:val="en-US" w:eastAsia="nl-NL"/>
              </w:rPr>
              <w:t>13</w:t>
            </w:r>
          </w:p>
        </w:tc>
      </w:tr>
    </w:tbl>
    <w:p w:rsidRPr="00EC0C5D" w:rsidR="00D02146" w:rsidP="00D02146" w:rsidRDefault="00A93E1B">
      <w:pPr>
        <w:spacing w:line="240" w:lineRule="auto"/>
        <w:jc w:val="left"/>
        <w:rPr>
          <w:rFonts w:eastAsia="Times New Roman" w:cs="Times New Roman"/>
          <w:lang w:eastAsia="nl-NL"/>
        </w:rPr>
      </w:pPr>
      <w:hyperlink w:history="1" w:anchor="A21_2_back" r:id="rId9">
        <w:r w:rsidRPr="00EC0C5D" w:rsidR="00D02146">
          <w:rPr>
            <w:rFonts w:eastAsia="Times New Roman" w:cs="Times New Roman"/>
            <w:color w:val="0563C1" w:themeColor="hyperlink"/>
            <w:u w:val="single"/>
            <w:lang w:eastAsia="nl-NL"/>
          </w:rPr>
          <w:t>Noot 2</w:t>
        </w:r>
      </w:hyperlink>
      <w:r w:rsidRPr="00EC0C5D" w:rsidR="00D02146">
        <w:rPr>
          <w:rFonts w:eastAsia="Times New Roman" w:cs="Times New Roman"/>
          <w:lang w:eastAsia="nl-NL"/>
        </w:rPr>
        <w:t>: De plafonds voor 2020 en 2030 zijn afgeleid van de Richtlijn inzake nationale emissie reductieverbintenissen inzake bepaalde stoffen in de lucht (2016/2284, herziene NEC), waarin reductiepercentages zijn opgenomen ten opzichte van basisjaar 2005. De voorstellen voor 2020 zijn gelijk aan de waarden in het herziene Gotenburgprotocol, dat op 7 oktober 2019 in werking is getreden.</w:t>
      </w:r>
    </w:p>
    <w:p w:rsidRPr="00EC0C5D" w:rsidR="00D02146" w:rsidP="00D02146" w:rsidRDefault="00A93E1B">
      <w:pPr>
        <w:spacing w:line="240" w:lineRule="auto"/>
        <w:jc w:val="left"/>
        <w:rPr>
          <w:rFonts w:eastAsia="Times New Roman" w:cs="Times New Roman"/>
          <w:lang w:eastAsia="nl-NL"/>
        </w:rPr>
      </w:pPr>
      <w:hyperlink w:history="1" w:anchor="A21_3_back" r:id="rId10">
        <w:r w:rsidRPr="00EC0C5D" w:rsidR="00D02146">
          <w:rPr>
            <w:rFonts w:eastAsia="Times New Roman" w:cs="Times New Roman"/>
            <w:color w:val="0563C1" w:themeColor="hyperlink"/>
            <w:u w:val="single"/>
            <w:lang w:eastAsia="nl-NL"/>
          </w:rPr>
          <w:t>Noot 3</w:t>
        </w:r>
      </w:hyperlink>
      <w:r w:rsidRPr="00EC0C5D" w:rsidR="00D02146">
        <w:rPr>
          <w:rFonts w:eastAsia="Times New Roman" w:cs="Times New Roman"/>
          <w:lang w:eastAsia="nl-NL"/>
        </w:rPr>
        <w:t>: Voor NMVOS (Vluchtige organische stoffen, exclusief methaan) zijn 2 verschillende reeksen opgenomen. In het kader de verplichte rapportage aan de EU en de UNECE over 2017 dienden nieuwe bronnen te worden meegenomen voor (NMVOS), waardoor de gerapporteerde cijfers aanzienlijk hoger uitkwamen dan die in de jaren daarvoor. Zoals in de brief daarover aan de Tweede Kamer van 9 april 2019 (</w:t>
      </w:r>
      <w:r w:rsidRPr="00EC0C5D" w:rsidR="00D02146">
        <w:rPr>
          <w:szCs w:val="22"/>
        </w:rPr>
        <w:t>(Kamerstukken II, 2018–2019, 30 175, nr. 336</w:t>
      </w:r>
      <w:r w:rsidRPr="00EC0C5D" w:rsidR="00D02146">
        <w:rPr>
          <w:rFonts w:eastAsia="Times New Roman" w:cs="Times New Roman"/>
          <w:lang w:eastAsia="nl-NL"/>
        </w:rPr>
        <w:t>) is aangegeven, betreft dit geen veranderingen in de werkelijke emissies, maar louter een administratieve aanpassing. In het kader van de herziene NEC moeten deze bronnen weliswaar in kaart worden gebracht, maar zijn ze uitgezonderd van de reductieverplichtingen De bovenste rij voor NMVOS in de tabel geeft de werkelijke emissies weer. De onderste rij betreft de emissies die meetellen bij realisatie van de reductieverplichtingen uit de herziene NEC.</w:t>
      </w:r>
    </w:p>
    <w:p w:rsidRPr="00EC0C5D" w:rsidR="00D02146" w:rsidP="00D02146" w:rsidRDefault="00D02146">
      <w:pPr>
        <w:spacing w:line="240" w:lineRule="auto"/>
        <w:jc w:val="left"/>
        <w:rPr>
          <w:rFonts w:eastAsia="Times New Roman" w:cs="Times New Roman"/>
          <w:b/>
          <w:bCs/>
          <w:lang w:eastAsia="nl-NL"/>
        </w:rPr>
      </w:pPr>
    </w:p>
    <w:p w:rsidRPr="00EC0C5D" w:rsidR="00D02146" w:rsidP="00D02146" w:rsidRDefault="00D02146">
      <w:pPr>
        <w:spacing w:line="240" w:lineRule="auto"/>
        <w:jc w:val="left"/>
        <w:rPr>
          <w:rFonts w:eastAsia="Times New Roman" w:cs="Times New Roman"/>
          <w:b/>
          <w:bCs/>
          <w:lang w:eastAsia="nl-NL"/>
        </w:rPr>
      </w:pPr>
      <w:r w:rsidRPr="00EC0C5D">
        <w:rPr>
          <w:rFonts w:eastAsia="Times New Roman" w:cs="Times New Roman"/>
          <w:b/>
          <w:bCs/>
          <w:lang w:eastAsia="nl-NL"/>
        </w:rPr>
        <w:t>Toelichting:</w:t>
      </w:r>
    </w:p>
    <w:p w:rsidR="00B06701" w:rsidP="004A2019" w:rsidRDefault="00D02146">
      <w:pPr>
        <w:spacing w:line="240" w:lineRule="auto"/>
        <w:jc w:val="left"/>
      </w:pPr>
      <w:r w:rsidRPr="00EC0C5D">
        <w:rPr>
          <w:szCs w:val="22"/>
        </w:rPr>
        <w:t>In december 2016 zijn de nieuwe doelstellingen voor luchtverontreinigende stoffen vastgesteld. Het betreft aanpassing van de National Emission Ceilings (NEC) (richtlijn (EU) 2016/2284). In bovenstaande tabel zijn de reductiepercentages uit de richtlijn omgerekend naar vrachten. Elk jaar wordt een nieuwe analyse uitgevoerd en door nieuwe kennis kan dat betekenen dat ook eerdere cijfers soms nog enigszins worden aangepast doordat deze nieuwe inzichten met terugwerkende kracht ook worden meegenomen in de emissiecijfers van voorgaande jaren.</w:t>
      </w:r>
      <w:r w:rsidRPr="00EC0C5D">
        <w:rPr>
          <w:szCs w:val="22"/>
          <w:vertAlign w:val="superscript"/>
        </w:rPr>
        <w:footnoteReference w:id="1"/>
      </w:r>
    </w:p>
    <w:sectPr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69B" w:rsidRDefault="000F469B" w:rsidP="00D02146">
      <w:pPr>
        <w:spacing w:line="240" w:lineRule="auto"/>
      </w:pPr>
      <w:r>
        <w:separator/>
      </w:r>
    </w:p>
  </w:endnote>
  <w:endnote w:type="continuationSeparator" w:id="0">
    <w:p w:rsidR="000F469B" w:rsidRDefault="000F469B" w:rsidP="00D021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Obliqu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69B" w:rsidRDefault="000F469B" w:rsidP="00D02146">
      <w:pPr>
        <w:spacing w:line="240" w:lineRule="auto"/>
      </w:pPr>
      <w:r>
        <w:separator/>
      </w:r>
    </w:p>
  </w:footnote>
  <w:footnote w:type="continuationSeparator" w:id="0">
    <w:p w:rsidR="000F469B" w:rsidRDefault="000F469B" w:rsidP="00D02146">
      <w:pPr>
        <w:spacing w:line="240" w:lineRule="auto"/>
      </w:pPr>
      <w:r>
        <w:continuationSeparator/>
      </w:r>
    </w:p>
  </w:footnote>
  <w:footnote w:id="1">
    <w:p w:rsidR="00D02146" w:rsidRPr="009C03D0" w:rsidRDefault="00D02146" w:rsidP="00D02146">
      <w:pPr>
        <w:spacing w:line="240" w:lineRule="auto"/>
        <w:rPr>
          <w:rFonts w:eastAsia="Times New Roman" w:cs="Times New Roman"/>
          <w:b/>
          <w:color w:val="FF0000"/>
          <w:sz w:val="16"/>
          <w:szCs w:val="16"/>
          <w:lang w:eastAsia="nl-NL"/>
        </w:rPr>
      </w:pPr>
      <w:r>
        <w:rPr>
          <w:rStyle w:val="FootnoteReference"/>
        </w:rPr>
        <w:footnoteRef/>
      </w:r>
      <w:r w:rsidRPr="00EC0C5D">
        <w:rPr>
          <w:lang w:val="en-US"/>
        </w:rPr>
        <w:t xml:space="preserve"> </w:t>
      </w:r>
      <w:r w:rsidRPr="009C03D0">
        <w:rPr>
          <w:sz w:val="16"/>
          <w:szCs w:val="16"/>
          <w:lang w:val="en-GB"/>
        </w:rPr>
        <w:t>Bron</w:t>
      </w:r>
      <w:r>
        <w:rPr>
          <w:sz w:val="16"/>
          <w:szCs w:val="16"/>
          <w:lang w:val="en-GB"/>
        </w:rPr>
        <w:t>nen</w:t>
      </w:r>
      <w:r w:rsidRPr="009C03D0">
        <w:rPr>
          <w:sz w:val="16"/>
          <w:szCs w:val="16"/>
          <w:lang w:val="en-GB"/>
        </w:rPr>
        <w:t xml:space="preserve">: </w:t>
      </w:r>
      <w:hyperlink r:id="rId1" w:history="1">
        <w:r w:rsidRPr="00A03D04">
          <w:rPr>
            <w:rStyle w:val="Hyperlink"/>
            <w:sz w:val="16"/>
            <w:szCs w:val="16"/>
            <w:lang w:val="en-GB"/>
          </w:rPr>
          <w:t>www.emissieregistratie.nl</w:t>
        </w:r>
      </w:hyperlink>
      <w:r>
        <w:rPr>
          <w:sz w:val="16"/>
          <w:szCs w:val="16"/>
          <w:lang w:val="en-GB"/>
        </w:rPr>
        <w:t xml:space="preserve"> en het </w:t>
      </w:r>
      <w:r w:rsidRPr="00EC0C5D">
        <w:rPr>
          <w:sz w:val="16"/>
          <w:szCs w:val="16"/>
          <w:lang w:val="en-US"/>
        </w:rPr>
        <w:t xml:space="preserve">Informative Inventory Report </w:t>
      </w:r>
      <w:r>
        <w:rPr>
          <w:sz w:val="16"/>
          <w:szCs w:val="16"/>
          <w:lang w:val="en-US"/>
        </w:rPr>
        <w:t>2020</w:t>
      </w:r>
      <w:r w:rsidRPr="00EC0C5D">
        <w:rPr>
          <w:sz w:val="16"/>
          <w:szCs w:val="16"/>
          <w:lang w:val="en-US"/>
        </w:rPr>
        <w:t>: Emissions of transboundary air pollutants in the Netherlands 1990-</w:t>
      </w:r>
      <w:r>
        <w:rPr>
          <w:sz w:val="16"/>
          <w:szCs w:val="16"/>
          <w:lang w:val="en-US"/>
        </w:rPr>
        <w:t>2018</w:t>
      </w:r>
      <w:r w:rsidRPr="009C03D0">
        <w:rPr>
          <w:sz w:val="16"/>
          <w:szCs w:val="16"/>
          <w:lang w:val="en-GB"/>
        </w:rPr>
        <w:t xml:space="preserve"> (RIVM Rapport </w:t>
      </w:r>
      <w:r>
        <w:rPr>
          <w:sz w:val="16"/>
          <w:szCs w:val="16"/>
          <w:lang w:val="en-GB"/>
        </w:rPr>
        <w:t>2020-0032</w:t>
      </w:r>
      <w:r w:rsidRPr="009C03D0">
        <w:rPr>
          <w:sz w:val="16"/>
          <w:szCs w:val="16"/>
          <w:lang w:val="en-GB"/>
        </w:rPr>
        <w:t xml:space="preserve">). </w:t>
      </w:r>
      <w:r w:rsidRPr="009C03D0">
        <w:rPr>
          <w:sz w:val="16"/>
          <w:szCs w:val="16"/>
        </w:rPr>
        <w:t>De ramingen gaan uit van uitvoering van vastgesteld en voorgenomen beleid. (</w:t>
      </w:r>
      <w:r w:rsidRPr="005D6656">
        <w:rPr>
          <w:sz w:val="16"/>
          <w:szCs w:val="16"/>
        </w:rPr>
        <w:t xml:space="preserve"> </w:t>
      </w:r>
      <w:hyperlink r:id="rId2" w:history="1">
        <w:r w:rsidRPr="00614597">
          <w:rPr>
            <w:rStyle w:val="Hyperlink"/>
            <w:sz w:val="16"/>
            <w:szCs w:val="16"/>
          </w:rPr>
          <w:t>https://www.rivm.nl/bibliotheek/rapporten/2020-0032.pdf</w:t>
        </w:r>
      </w:hyperlink>
      <w:r w:rsidRPr="009C03D0">
        <w:rPr>
          <w:sz w:val="16"/>
          <w:szCs w:val="16"/>
        </w:rPr>
        <w:t xml:space="preserve">). </w:t>
      </w:r>
    </w:p>
    <w:p w:rsidR="00D02146" w:rsidRPr="009C03D0" w:rsidRDefault="00D02146" w:rsidP="00D02146">
      <w:pPr>
        <w:spacing w:line="240" w:lineRule="auto"/>
        <w:rPr>
          <w:rFonts w:eastAsia="Verdana" w:cs="Univers-Oblique"/>
          <w:iCs/>
          <w:sz w:val="16"/>
          <w:szCs w:val="16"/>
        </w:rPr>
      </w:pPr>
    </w:p>
    <w:p w:rsidR="00D02146" w:rsidRDefault="00D02146" w:rsidP="00D02146"/>
    <w:p w:rsidR="00D02146" w:rsidRPr="00644606" w:rsidRDefault="00D02146" w:rsidP="00D0214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46"/>
    <w:rsid w:val="0004009A"/>
    <w:rsid w:val="000630A4"/>
    <w:rsid w:val="000F469B"/>
    <w:rsid w:val="001E6A24"/>
    <w:rsid w:val="003E38BB"/>
    <w:rsid w:val="00400526"/>
    <w:rsid w:val="00462716"/>
    <w:rsid w:val="004A2019"/>
    <w:rsid w:val="004B5E86"/>
    <w:rsid w:val="005F0BFF"/>
    <w:rsid w:val="00883F24"/>
    <w:rsid w:val="00905099"/>
    <w:rsid w:val="00A166C7"/>
    <w:rsid w:val="00A93E1B"/>
    <w:rsid w:val="00AB2E19"/>
    <w:rsid w:val="00AB7944"/>
    <w:rsid w:val="00B06701"/>
    <w:rsid w:val="00BD7B25"/>
    <w:rsid w:val="00C11966"/>
    <w:rsid w:val="00C800C8"/>
    <w:rsid w:val="00CD281E"/>
    <w:rsid w:val="00D02146"/>
    <w:rsid w:val="00D92F70"/>
    <w:rsid w:val="00DA7C6E"/>
    <w:rsid w:val="00EA3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146"/>
    <w:pPr>
      <w:spacing w:after="0" w:line="276" w:lineRule="auto"/>
      <w:jc w:val="both"/>
    </w:pPr>
    <w:rPr>
      <w:szCs w:val="18"/>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02146"/>
    <w:pPr>
      <w:spacing w:line="240" w:lineRule="auto"/>
      <w:jc w:val="left"/>
    </w:pPr>
    <w:rPr>
      <w:rFonts w:asciiTheme="minorHAnsi" w:hAnsiTheme="minorHAnsi"/>
      <w:sz w:val="20"/>
      <w:szCs w:val="20"/>
    </w:rPr>
  </w:style>
  <w:style w:type="character" w:customStyle="1" w:styleId="FootnoteTextChar">
    <w:name w:val="Footnote Text Char"/>
    <w:basedOn w:val="DefaultParagraphFont"/>
    <w:link w:val="FootnoteText"/>
    <w:uiPriority w:val="99"/>
    <w:rsid w:val="00D02146"/>
    <w:rPr>
      <w:rFonts w:asciiTheme="minorHAnsi" w:hAnsiTheme="minorHAnsi"/>
      <w:sz w:val="20"/>
      <w:szCs w:val="20"/>
      <w:lang w:val="nl-NL"/>
    </w:rPr>
  </w:style>
  <w:style w:type="character" w:styleId="FootnoteReference">
    <w:name w:val="footnote reference"/>
    <w:basedOn w:val="DefaultParagraphFont"/>
    <w:uiPriority w:val="99"/>
    <w:unhideWhenUsed/>
    <w:rsid w:val="00D02146"/>
    <w:rPr>
      <w:vertAlign w:val="superscript"/>
    </w:rPr>
  </w:style>
  <w:style w:type="character" w:styleId="Hyperlink">
    <w:name w:val="Hyperlink"/>
    <w:basedOn w:val="DefaultParagraphFont"/>
    <w:unhideWhenUsed/>
    <w:rsid w:val="00D02146"/>
    <w:rPr>
      <w:color w:val="0563C1" w:themeColor="hyperlink"/>
      <w:u w:val="single"/>
    </w:rPr>
  </w:style>
  <w:style w:type="character" w:styleId="CommentReference">
    <w:name w:val="annotation reference"/>
    <w:basedOn w:val="DefaultParagraphFont"/>
    <w:uiPriority w:val="99"/>
    <w:semiHidden/>
    <w:unhideWhenUsed/>
    <w:rsid w:val="00D92F70"/>
    <w:rPr>
      <w:sz w:val="16"/>
      <w:szCs w:val="16"/>
    </w:rPr>
  </w:style>
  <w:style w:type="paragraph" w:styleId="CommentText">
    <w:name w:val="annotation text"/>
    <w:basedOn w:val="Normal"/>
    <w:link w:val="CommentTextChar"/>
    <w:uiPriority w:val="99"/>
    <w:semiHidden/>
    <w:unhideWhenUsed/>
    <w:rsid w:val="00D92F70"/>
    <w:pPr>
      <w:spacing w:line="240" w:lineRule="auto"/>
    </w:pPr>
    <w:rPr>
      <w:sz w:val="20"/>
      <w:szCs w:val="20"/>
    </w:rPr>
  </w:style>
  <w:style w:type="character" w:customStyle="1" w:styleId="CommentTextChar">
    <w:name w:val="Comment Text Char"/>
    <w:basedOn w:val="DefaultParagraphFont"/>
    <w:link w:val="CommentText"/>
    <w:uiPriority w:val="99"/>
    <w:semiHidden/>
    <w:rsid w:val="00D92F70"/>
    <w:rPr>
      <w:sz w:val="20"/>
      <w:szCs w:val="20"/>
      <w:lang w:val="nl-NL"/>
    </w:rPr>
  </w:style>
  <w:style w:type="paragraph" w:styleId="CommentSubject">
    <w:name w:val="annotation subject"/>
    <w:basedOn w:val="CommentText"/>
    <w:next w:val="CommentText"/>
    <w:link w:val="CommentSubjectChar"/>
    <w:uiPriority w:val="99"/>
    <w:semiHidden/>
    <w:unhideWhenUsed/>
    <w:rsid w:val="00D92F70"/>
    <w:rPr>
      <w:b/>
      <w:bCs/>
    </w:rPr>
  </w:style>
  <w:style w:type="character" w:customStyle="1" w:styleId="CommentSubjectChar">
    <w:name w:val="Comment Subject Char"/>
    <w:basedOn w:val="CommentTextChar"/>
    <w:link w:val="CommentSubject"/>
    <w:uiPriority w:val="99"/>
    <w:semiHidden/>
    <w:rsid w:val="00D92F70"/>
    <w:rPr>
      <w:b/>
      <w:bCs/>
      <w:sz w:val="20"/>
      <w:szCs w:val="20"/>
      <w:lang w:val="nl-NL"/>
    </w:rPr>
  </w:style>
  <w:style w:type="paragraph" w:styleId="BalloonText">
    <w:name w:val="Balloon Text"/>
    <w:basedOn w:val="Normal"/>
    <w:link w:val="BalloonTextChar"/>
    <w:uiPriority w:val="99"/>
    <w:semiHidden/>
    <w:unhideWhenUsed/>
    <w:rsid w:val="00D92F70"/>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D92F70"/>
    <w:rPr>
      <w:rFonts w:ascii="Segoe UI" w:hAnsi="Segoe UI" w:cs="Segoe UI"/>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62210">
      <w:bodyDiv w:val="1"/>
      <w:marLeft w:val="0"/>
      <w:marRight w:val="0"/>
      <w:marTop w:val="0"/>
      <w:marBottom w:val="0"/>
      <w:divBdr>
        <w:top w:val="none" w:sz="0" w:space="0" w:color="auto"/>
        <w:left w:val="none" w:sz="0" w:space="0" w:color="auto"/>
        <w:bottom w:val="none" w:sz="0" w:space="0" w:color="auto"/>
        <w:right w:val="none" w:sz="0" w:space="0" w:color="auto"/>
      </w:divBdr>
    </w:div>
    <w:div w:id="244151882">
      <w:bodyDiv w:val="1"/>
      <w:marLeft w:val="0"/>
      <w:marRight w:val="0"/>
      <w:marTop w:val="0"/>
      <w:marBottom w:val="0"/>
      <w:divBdr>
        <w:top w:val="none" w:sz="0" w:space="0" w:color="auto"/>
        <w:left w:val="none" w:sz="0" w:space="0" w:color="auto"/>
        <w:bottom w:val="none" w:sz="0" w:space="0" w:color="auto"/>
        <w:right w:val="none" w:sz="0" w:space="0" w:color="auto"/>
      </w:divBdr>
    </w:div>
    <w:div w:id="828441614">
      <w:bodyDiv w:val="1"/>
      <w:marLeft w:val="0"/>
      <w:marRight w:val="0"/>
      <w:marTop w:val="0"/>
      <w:marBottom w:val="0"/>
      <w:divBdr>
        <w:top w:val="none" w:sz="0" w:space="0" w:color="auto"/>
        <w:left w:val="none" w:sz="0" w:space="0" w:color="auto"/>
        <w:bottom w:val="none" w:sz="0" w:space="0" w:color="auto"/>
        <w:right w:val="none" w:sz="0" w:space="0" w:color="auto"/>
      </w:divBdr>
    </w:div>
    <w:div w:id="186570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rijksbegroting.nl/2019/voorbereiding/begroting,kst248449_13.html" TargetMode="External" Id="rId8" /><Relationship Type="http://schemas.openxmlformats.org/officeDocument/2006/relationships/webSettings" Target="webSettings.xml" Id="rId3" /><Relationship Type="http://schemas.openxmlformats.org/officeDocument/2006/relationships/hyperlink" Target="http://www.rijksbegroting.nl/2019/voorbereiding/begroting,kst248449_13.html" TargetMode="Externa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www.rijksbegroting.nl/2019/voorbereiding/begroting,kst248449_13.html" TargetMode="External" Id="rId6" /><Relationship Type="http://schemas.openxmlformats.org/officeDocument/2006/relationships/fontTable" Target="fontTable.xml" Id="rId11" /><Relationship Type="http://schemas.openxmlformats.org/officeDocument/2006/relationships/endnotes" Target="endnotes.xml" Id="rId5" /><Relationship Type="http://schemas.openxmlformats.org/officeDocument/2006/relationships/hyperlink" Target="http://www.rijksbegroting.nl/2019/voorbereiding/begroting,kst248449_13.html" TargetMode="External" Id="rId10" /><Relationship Type="http://schemas.openxmlformats.org/officeDocument/2006/relationships/footnotes" Target="footnotes.xml" Id="rId4" /><Relationship Type="http://schemas.openxmlformats.org/officeDocument/2006/relationships/hyperlink" Target="http://www.rijksbegroting.nl/2019/voorbereiding/begroting,kst248449_13.html" TargetMode="Externa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rivm.nl/bibliotheek/rapporten/2020-0032.pdf" TargetMode="External"/><Relationship Id="rId1" Type="http://schemas.openxmlformats.org/officeDocument/2006/relationships/hyperlink" Target="http://www.emissieregistrati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498</ap:Words>
  <ap:Characters>2843</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2020-06-11T10:42:00.0000000Z</dcterms:created>
  <dcterms:modified xsi:type="dcterms:W3CDTF">2020-06-11T10:42:00.0000000Z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0x010100CC3C66C042160C42A9DFB56831235E31</vt:lpwstr>
  </property>
</Properties>
</file>