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221383" w:rsidR="00C00215" w:rsidP="00C00215" w:rsidRDefault="00C00215" w14:paraId="001B416D" w14:textId="77777777">
      <w:pPr>
        <w:rPr>
          <w:rFonts w:asciiTheme="minorHAnsi" w:hAnsiTheme="minorHAnsi"/>
          <w:b/>
          <w:sz w:val="20"/>
          <w:szCs w:val="20"/>
        </w:rPr>
      </w:pPr>
      <w:r w:rsidRPr="00221383">
        <w:rPr>
          <w:rFonts w:asciiTheme="minorHAnsi" w:hAnsiTheme="minorHAnsi"/>
          <w:b/>
          <w:sz w:val="20"/>
          <w:szCs w:val="20"/>
        </w:rPr>
        <w:t xml:space="preserve">Overzicht nieuw gepubliceerde EU-voorstellen </w:t>
      </w:r>
    </w:p>
    <w:p w:rsidRPr="00221383" w:rsidR="00C00215" w:rsidP="00C00215" w:rsidRDefault="00C00215" w14:paraId="30A99EA8" w14:textId="77777777">
      <w:pPr>
        <w:rPr>
          <w:rFonts w:asciiTheme="minorHAnsi" w:hAnsiTheme="minorHAnsi"/>
          <w:sz w:val="20"/>
          <w:szCs w:val="20"/>
        </w:rPr>
      </w:pPr>
    </w:p>
    <w:p w:rsidRPr="00C00215" w:rsidR="00C00215" w:rsidP="00C00215" w:rsidRDefault="00C00215" w14:paraId="76386560" w14:textId="21F1C2AF">
      <w:pPr>
        <w:rPr>
          <w:rFonts w:asciiTheme="minorHAnsi" w:hAnsiTheme="minorHAnsi"/>
          <w:color w:val="FF0000"/>
          <w:sz w:val="20"/>
          <w:szCs w:val="20"/>
          <w:u w:val="single"/>
        </w:rPr>
      </w:pPr>
      <w:r w:rsidRPr="0055500A">
        <w:rPr>
          <w:rFonts w:asciiTheme="minorHAnsi" w:hAnsiTheme="minorHAnsi"/>
          <w:sz w:val="20"/>
          <w:szCs w:val="20"/>
          <w:u w:val="single"/>
        </w:rPr>
        <w:t xml:space="preserve">Integraal overzicht met nieuw gepubliceerde EU-voorstellen van </w:t>
      </w:r>
      <w:r w:rsidR="00571890">
        <w:rPr>
          <w:rFonts w:asciiTheme="minorHAnsi" w:hAnsiTheme="minorHAnsi"/>
          <w:sz w:val="20"/>
          <w:szCs w:val="20"/>
          <w:u w:val="single"/>
        </w:rPr>
        <w:t>29</w:t>
      </w:r>
      <w:r w:rsidR="009E1A04">
        <w:rPr>
          <w:rFonts w:asciiTheme="minorHAnsi" w:hAnsiTheme="minorHAnsi"/>
          <w:sz w:val="20"/>
          <w:szCs w:val="20"/>
          <w:u w:val="single"/>
        </w:rPr>
        <w:t xml:space="preserve"> mei</w:t>
      </w:r>
      <w:r w:rsidR="00BD6E22">
        <w:rPr>
          <w:rFonts w:asciiTheme="minorHAnsi" w:hAnsiTheme="minorHAnsi"/>
          <w:sz w:val="20"/>
          <w:szCs w:val="20"/>
          <w:u w:val="single"/>
        </w:rPr>
        <w:t xml:space="preserve"> 2020</w:t>
      </w:r>
      <w:r w:rsidRPr="0055500A">
        <w:rPr>
          <w:rFonts w:asciiTheme="minorHAnsi" w:hAnsiTheme="minorHAnsi"/>
          <w:sz w:val="20"/>
          <w:szCs w:val="20"/>
          <w:u w:val="single"/>
        </w:rPr>
        <w:t xml:space="preserve"> </w:t>
      </w:r>
      <w:r w:rsidR="00FE7F71">
        <w:rPr>
          <w:rFonts w:asciiTheme="minorHAnsi" w:hAnsiTheme="minorHAnsi"/>
          <w:sz w:val="20"/>
          <w:szCs w:val="20"/>
          <w:u w:val="single"/>
        </w:rPr>
        <w:t xml:space="preserve">tot en met </w:t>
      </w:r>
      <w:r w:rsidR="00571890">
        <w:rPr>
          <w:rFonts w:asciiTheme="minorHAnsi" w:hAnsiTheme="minorHAnsi"/>
          <w:sz w:val="20"/>
          <w:szCs w:val="20"/>
          <w:u w:val="single"/>
        </w:rPr>
        <w:t>9 juni</w:t>
      </w:r>
      <w:r w:rsidR="004A784A">
        <w:rPr>
          <w:rFonts w:asciiTheme="minorHAnsi" w:hAnsiTheme="minorHAnsi"/>
          <w:sz w:val="20"/>
          <w:szCs w:val="20"/>
          <w:u w:val="single"/>
        </w:rPr>
        <w:t xml:space="preserve"> 20</w:t>
      </w:r>
      <w:r w:rsidR="00A86C5D">
        <w:rPr>
          <w:rFonts w:asciiTheme="minorHAnsi" w:hAnsiTheme="minorHAnsi"/>
          <w:sz w:val="20"/>
          <w:szCs w:val="20"/>
          <w:u w:val="single"/>
        </w:rPr>
        <w:t>20</w:t>
      </w:r>
    </w:p>
    <w:p w:rsidRPr="00221383" w:rsidR="00C00215" w:rsidP="00C00215" w:rsidRDefault="00C00215" w14:paraId="6C961400" w14:textId="77777777">
      <w:pPr>
        <w:rPr>
          <w:rFonts w:asciiTheme="minorHAnsi" w:hAnsiTheme="minorHAnsi"/>
          <w:sz w:val="20"/>
          <w:szCs w:val="20"/>
        </w:rPr>
      </w:pPr>
    </w:p>
    <w:tbl>
      <w:tblPr>
        <w:tblW w:w="14474" w:type="dxa"/>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4A0" w:firstRow="1" w:lastRow="0" w:firstColumn="1" w:lastColumn="0" w:noHBand="0" w:noVBand="1"/>
      </w:tblPr>
      <w:tblGrid>
        <w:gridCol w:w="1149"/>
        <w:gridCol w:w="567"/>
        <w:gridCol w:w="1418"/>
        <w:gridCol w:w="4536"/>
        <w:gridCol w:w="1276"/>
        <w:gridCol w:w="708"/>
        <w:gridCol w:w="4820"/>
      </w:tblGrid>
      <w:tr w:rsidRPr="00221383" w:rsidR="00C00215" w:rsidTr="00614A1B" w14:paraId="4C01A8C8" w14:textId="77777777">
        <w:trPr>
          <w:trHeight w:val="1550"/>
        </w:trPr>
        <w:tc>
          <w:tcPr>
            <w:tcW w:w="1149" w:type="dxa"/>
            <w:shd w:val="clear" w:color="auto" w:fill="auto"/>
            <w:textDirection w:val="btLr"/>
            <w:vAlign w:val="bottom"/>
            <w:hideMark/>
          </w:tcPr>
          <w:p w:rsidRPr="00221383" w:rsidR="00C00215" w:rsidP="00014FF3" w:rsidRDefault="00C00215" w14:paraId="548A3537" w14:textId="77777777">
            <w:pPr>
              <w:rPr>
                <w:rFonts w:asciiTheme="minorHAnsi" w:hAnsiTheme="minorHAnsi"/>
                <w:b/>
                <w:bCs/>
                <w:color w:val="000000"/>
                <w:sz w:val="20"/>
                <w:szCs w:val="20"/>
              </w:rPr>
            </w:pPr>
            <w:r w:rsidRPr="00221383">
              <w:rPr>
                <w:rFonts w:asciiTheme="minorHAnsi" w:hAnsiTheme="minorHAnsi"/>
                <w:b/>
                <w:bCs/>
                <w:color w:val="000000"/>
                <w:sz w:val="20"/>
                <w:szCs w:val="20"/>
              </w:rPr>
              <w:t>Publicatie-</w:t>
            </w:r>
          </w:p>
          <w:p w:rsidRPr="00221383" w:rsidR="00C00215" w:rsidP="00014FF3" w:rsidRDefault="00C00215" w14:paraId="55286A80" w14:textId="77777777">
            <w:pPr>
              <w:rPr>
                <w:rFonts w:asciiTheme="minorHAnsi" w:hAnsiTheme="minorHAnsi"/>
                <w:b/>
                <w:bCs/>
                <w:color w:val="000000"/>
                <w:sz w:val="20"/>
                <w:szCs w:val="20"/>
              </w:rPr>
            </w:pPr>
            <w:r w:rsidRPr="00221383">
              <w:rPr>
                <w:rFonts w:asciiTheme="minorHAnsi" w:hAnsiTheme="minorHAnsi"/>
                <w:b/>
                <w:bCs/>
                <w:color w:val="000000"/>
                <w:sz w:val="20"/>
                <w:szCs w:val="20"/>
              </w:rPr>
              <w:t>datum</w:t>
            </w:r>
          </w:p>
        </w:tc>
        <w:tc>
          <w:tcPr>
            <w:tcW w:w="567" w:type="dxa"/>
            <w:shd w:val="clear" w:color="auto" w:fill="auto"/>
            <w:textDirection w:val="btLr"/>
            <w:vAlign w:val="bottom"/>
            <w:hideMark/>
          </w:tcPr>
          <w:p w:rsidRPr="00221383" w:rsidR="00C00215" w:rsidP="00014FF3" w:rsidRDefault="00C00215" w14:paraId="0A8AA372" w14:textId="77777777">
            <w:pPr>
              <w:rPr>
                <w:rFonts w:asciiTheme="minorHAnsi" w:hAnsiTheme="minorHAnsi"/>
                <w:b/>
                <w:bCs/>
                <w:color w:val="000000"/>
                <w:sz w:val="20"/>
                <w:szCs w:val="20"/>
              </w:rPr>
            </w:pPr>
            <w:r w:rsidRPr="00221383">
              <w:rPr>
                <w:rFonts w:asciiTheme="minorHAnsi" w:hAnsiTheme="minorHAnsi"/>
                <w:b/>
                <w:bCs/>
                <w:color w:val="000000"/>
                <w:sz w:val="20"/>
                <w:szCs w:val="20"/>
              </w:rPr>
              <w:t>Voortouw</w:t>
            </w:r>
          </w:p>
        </w:tc>
        <w:tc>
          <w:tcPr>
            <w:tcW w:w="1418" w:type="dxa"/>
            <w:shd w:val="clear" w:color="auto" w:fill="auto"/>
            <w:textDirection w:val="btLr"/>
            <w:vAlign w:val="bottom"/>
            <w:hideMark/>
          </w:tcPr>
          <w:p w:rsidRPr="00221383" w:rsidR="00C00215" w:rsidP="00014FF3" w:rsidRDefault="00C00215" w14:paraId="03ACF1F5" w14:textId="77777777">
            <w:pPr>
              <w:rPr>
                <w:rFonts w:asciiTheme="minorHAnsi" w:hAnsiTheme="minorHAnsi"/>
                <w:b/>
                <w:bCs/>
                <w:color w:val="000000"/>
                <w:sz w:val="20"/>
                <w:szCs w:val="20"/>
              </w:rPr>
            </w:pPr>
            <w:r w:rsidRPr="00221383">
              <w:rPr>
                <w:rFonts w:asciiTheme="minorHAnsi" w:hAnsiTheme="minorHAnsi"/>
                <w:b/>
                <w:bCs/>
                <w:color w:val="000000"/>
                <w:sz w:val="20"/>
                <w:szCs w:val="20"/>
              </w:rPr>
              <w:t>Soort</w:t>
            </w:r>
          </w:p>
        </w:tc>
        <w:tc>
          <w:tcPr>
            <w:tcW w:w="4536" w:type="dxa"/>
            <w:shd w:val="clear" w:color="auto" w:fill="auto"/>
            <w:textDirection w:val="btLr"/>
            <w:vAlign w:val="bottom"/>
            <w:hideMark/>
          </w:tcPr>
          <w:p w:rsidRPr="00221383" w:rsidR="00C00215" w:rsidP="00014FF3" w:rsidRDefault="00C00215" w14:paraId="1CCAF78F" w14:textId="77777777">
            <w:pPr>
              <w:rPr>
                <w:rFonts w:asciiTheme="minorHAnsi" w:hAnsiTheme="minorHAnsi"/>
                <w:b/>
                <w:bCs/>
                <w:color w:val="000000"/>
                <w:sz w:val="20"/>
                <w:szCs w:val="20"/>
              </w:rPr>
            </w:pPr>
            <w:r w:rsidRPr="00221383">
              <w:rPr>
                <w:rFonts w:asciiTheme="minorHAnsi" w:hAnsiTheme="minorHAnsi"/>
                <w:b/>
                <w:bCs/>
                <w:color w:val="000000"/>
                <w:sz w:val="20"/>
                <w:szCs w:val="20"/>
              </w:rPr>
              <w:t>Titel</w:t>
            </w:r>
          </w:p>
        </w:tc>
        <w:tc>
          <w:tcPr>
            <w:tcW w:w="1276" w:type="dxa"/>
            <w:shd w:val="clear" w:color="auto" w:fill="auto"/>
            <w:textDirection w:val="btLr"/>
            <w:vAlign w:val="bottom"/>
            <w:hideMark/>
          </w:tcPr>
          <w:p w:rsidRPr="00221383" w:rsidR="00C00215" w:rsidP="00014FF3" w:rsidRDefault="00C00215" w14:paraId="3187DB3A" w14:textId="77777777">
            <w:pPr>
              <w:rPr>
                <w:rFonts w:asciiTheme="minorHAnsi" w:hAnsiTheme="minorHAnsi"/>
                <w:b/>
                <w:bCs/>
                <w:color w:val="000000"/>
                <w:sz w:val="20"/>
                <w:szCs w:val="20"/>
              </w:rPr>
            </w:pPr>
            <w:r w:rsidRPr="00221383">
              <w:rPr>
                <w:rFonts w:asciiTheme="minorHAnsi" w:hAnsiTheme="minorHAnsi"/>
                <w:b/>
                <w:bCs/>
                <w:color w:val="000000"/>
                <w:sz w:val="20"/>
                <w:szCs w:val="20"/>
              </w:rPr>
              <w:t>COM-nummer</w:t>
            </w:r>
          </w:p>
        </w:tc>
        <w:tc>
          <w:tcPr>
            <w:tcW w:w="708" w:type="dxa"/>
            <w:textDirection w:val="btLr"/>
          </w:tcPr>
          <w:p w:rsidRPr="00221383" w:rsidR="00C00215" w:rsidP="00014FF3" w:rsidRDefault="00C00215" w14:paraId="43F21557" w14:textId="77777777">
            <w:pPr>
              <w:rPr>
                <w:rFonts w:asciiTheme="minorHAnsi" w:hAnsiTheme="minorHAnsi"/>
                <w:b/>
                <w:bCs/>
                <w:color w:val="000000"/>
                <w:sz w:val="20"/>
                <w:szCs w:val="20"/>
              </w:rPr>
            </w:pPr>
            <w:r w:rsidRPr="00221383">
              <w:rPr>
                <w:rFonts w:asciiTheme="minorHAnsi" w:hAnsiTheme="minorHAnsi"/>
                <w:b/>
                <w:bCs/>
                <w:color w:val="000000"/>
                <w:sz w:val="20"/>
                <w:szCs w:val="20"/>
              </w:rPr>
              <w:t>Deadline</w:t>
            </w:r>
          </w:p>
          <w:p w:rsidRPr="00221383" w:rsidR="00C00215" w:rsidP="00014FF3" w:rsidRDefault="00C00215" w14:paraId="39297935" w14:textId="77777777">
            <w:pPr>
              <w:rPr>
                <w:rFonts w:asciiTheme="minorHAnsi" w:hAnsiTheme="minorHAnsi"/>
                <w:b/>
                <w:bCs/>
                <w:color w:val="000000"/>
                <w:sz w:val="20"/>
                <w:szCs w:val="20"/>
              </w:rPr>
            </w:pPr>
            <w:proofErr w:type="spellStart"/>
            <w:r w:rsidRPr="00221383">
              <w:rPr>
                <w:rFonts w:asciiTheme="minorHAnsi" w:hAnsiTheme="minorHAnsi"/>
                <w:b/>
                <w:bCs/>
                <w:color w:val="000000"/>
                <w:sz w:val="20"/>
                <w:szCs w:val="20"/>
              </w:rPr>
              <w:t>Sub.toets</w:t>
            </w:r>
            <w:proofErr w:type="spellEnd"/>
          </w:p>
        </w:tc>
        <w:tc>
          <w:tcPr>
            <w:tcW w:w="4820" w:type="dxa"/>
            <w:shd w:val="clear" w:color="auto" w:fill="auto"/>
            <w:textDirection w:val="btLr"/>
            <w:vAlign w:val="bottom"/>
            <w:hideMark/>
          </w:tcPr>
          <w:p w:rsidRPr="008505DB" w:rsidR="00C00215" w:rsidP="00014FF3" w:rsidRDefault="00C00215" w14:paraId="071BAE7D" w14:textId="77777777">
            <w:pPr>
              <w:rPr>
                <w:rFonts w:asciiTheme="minorHAnsi" w:hAnsiTheme="minorHAnsi"/>
                <w:b/>
                <w:bCs/>
                <w:color w:val="000000"/>
                <w:sz w:val="20"/>
                <w:szCs w:val="20"/>
              </w:rPr>
            </w:pPr>
            <w:r w:rsidRPr="008505DB">
              <w:rPr>
                <w:rFonts w:asciiTheme="minorHAnsi" w:hAnsiTheme="minorHAnsi"/>
                <w:b/>
                <w:bCs/>
                <w:color w:val="000000"/>
                <w:sz w:val="20"/>
                <w:szCs w:val="20"/>
              </w:rPr>
              <w:t>Opmerking</w:t>
            </w:r>
          </w:p>
        </w:tc>
      </w:tr>
      <w:tr w:rsidRPr="00221383" w:rsidR="00C00215" w:rsidTr="00614A1B" w14:paraId="2962EFA8" w14:textId="77777777">
        <w:trPr>
          <w:trHeight w:val="300"/>
        </w:trPr>
        <w:tc>
          <w:tcPr>
            <w:tcW w:w="1149" w:type="dxa"/>
            <w:tcBorders>
              <w:bottom w:val="single" w:color="auto" w:sz="4" w:space="0"/>
            </w:tcBorders>
            <w:shd w:val="clear" w:color="000000" w:fill="538DD5"/>
            <w:vAlign w:val="bottom"/>
            <w:hideMark/>
          </w:tcPr>
          <w:p w:rsidRPr="00221383" w:rsidR="00C00215" w:rsidP="00014FF3" w:rsidRDefault="00C00215" w14:paraId="76B4E369"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567" w:type="dxa"/>
            <w:tcBorders>
              <w:bottom w:val="single" w:color="auto" w:sz="4" w:space="0"/>
            </w:tcBorders>
            <w:shd w:val="clear" w:color="000000" w:fill="538DD5"/>
            <w:vAlign w:val="bottom"/>
            <w:hideMark/>
          </w:tcPr>
          <w:p w:rsidRPr="00221383" w:rsidR="00C00215" w:rsidP="00014FF3" w:rsidRDefault="00C00215" w14:paraId="14851C6C"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1418" w:type="dxa"/>
            <w:tcBorders>
              <w:bottom w:val="single" w:color="auto" w:sz="4" w:space="0"/>
            </w:tcBorders>
            <w:shd w:val="clear" w:color="000000" w:fill="538DD5"/>
            <w:vAlign w:val="bottom"/>
            <w:hideMark/>
          </w:tcPr>
          <w:p w:rsidRPr="00221383" w:rsidR="00C00215" w:rsidP="00014FF3" w:rsidRDefault="00C00215" w14:paraId="51A016A7"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4536" w:type="dxa"/>
            <w:tcBorders>
              <w:bottom w:val="single" w:color="auto" w:sz="4" w:space="0"/>
            </w:tcBorders>
            <w:shd w:val="clear" w:color="000000" w:fill="538DD5"/>
            <w:vAlign w:val="bottom"/>
            <w:hideMark/>
          </w:tcPr>
          <w:p w:rsidRPr="00221383" w:rsidR="00C00215" w:rsidP="00014FF3" w:rsidRDefault="00C00215" w14:paraId="0591E016"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1276" w:type="dxa"/>
            <w:tcBorders>
              <w:bottom w:val="single" w:color="auto" w:sz="4" w:space="0"/>
            </w:tcBorders>
            <w:shd w:val="clear" w:color="000000" w:fill="538DD5"/>
            <w:vAlign w:val="bottom"/>
            <w:hideMark/>
          </w:tcPr>
          <w:p w:rsidRPr="00221383" w:rsidR="00C00215" w:rsidP="00014FF3" w:rsidRDefault="00C00215" w14:paraId="484E502F"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708" w:type="dxa"/>
            <w:tcBorders>
              <w:bottom w:val="single" w:color="auto" w:sz="4" w:space="0"/>
            </w:tcBorders>
            <w:shd w:val="clear" w:color="000000" w:fill="538DD5"/>
          </w:tcPr>
          <w:p w:rsidRPr="00221383" w:rsidR="00C00215" w:rsidP="00014FF3" w:rsidRDefault="00C00215" w14:paraId="7F66EAA5" w14:textId="77777777">
            <w:pPr>
              <w:rPr>
                <w:rFonts w:asciiTheme="minorHAnsi" w:hAnsiTheme="minorHAnsi"/>
                <w:b/>
                <w:bCs/>
                <w:color w:val="000000"/>
                <w:sz w:val="20"/>
                <w:szCs w:val="20"/>
              </w:rPr>
            </w:pPr>
          </w:p>
        </w:tc>
        <w:tc>
          <w:tcPr>
            <w:tcW w:w="4820" w:type="dxa"/>
            <w:tcBorders>
              <w:bottom w:val="single" w:color="auto" w:sz="4" w:space="0"/>
            </w:tcBorders>
            <w:shd w:val="clear" w:color="000000" w:fill="538DD5"/>
            <w:hideMark/>
          </w:tcPr>
          <w:p w:rsidRPr="008505DB" w:rsidR="00C00215" w:rsidP="00014FF3" w:rsidRDefault="00C00215" w14:paraId="2A44B866" w14:textId="77777777">
            <w:pPr>
              <w:rPr>
                <w:rFonts w:asciiTheme="minorHAnsi" w:hAnsiTheme="minorHAnsi"/>
                <w:b/>
                <w:bCs/>
                <w:color w:val="000000"/>
                <w:sz w:val="20"/>
                <w:szCs w:val="20"/>
              </w:rPr>
            </w:pPr>
            <w:r w:rsidRPr="008505DB">
              <w:rPr>
                <w:rFonts w:asciiTheme="minorHAnsi" w:hAnsiTheme="minorHAnsi"/>
                <w:b/>
                <w:bCs/>
                <w:color w:val="000000"/>
                <w:sz w:val="20"/>
                <w:szCs w:val="20"/>
              </w:rPr>
              <w:t> </w:t>
            </w:r>
          </w:p>
        </w:tc>
      </w:tr>
      <w:tr w:rsidRPr="00367C9F" w:rsidR="00076782" w:rsidTr="00614A1B" w14:paraId="645C1D87"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076782" w:rsidP="00076782" w:rsidRDefault="00875122" w14:paraId="678B4AE4" w14:textId="5904C91E">
            <w:pPr>
              <w:rPr>
                <w:rFonts w:ascii="Calibri" w:hAnsi="Calibri" w:cs="Calibri"/>
                <w:color w:val="000000"/>
                <w:sz w:val="22"/>
                <w:szCs w:val="22"/>
              </w:rPr>
            </w:pPr>
            <w:r>
              <w:rPr>
                <w:rFonts w:ascii="Calibri" w:hAnsi="Calibri" w:cs="Calibri"/>
                <w:color w:val="000000"/>
              </w:rPr>
              <w:t>8-mei-20</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076782" w:rsidP="00076782" w:rsidRDefault="00875122" w14:paraId="65C4F580" w14:textId="01F2627D">
            <w:pPr>
              <w:jc w:val="both"/>
              <w:rPr>
                <w:rFonts w:ascii="Calibri" w:hAnsi="Calibri"/>
                <w:color w:val="000000"/>
                <w:sz w:val="22"/>
                <w:szCs w:val="22"/>
              </w:rPr>
            </w:pPr>
            <w:r>
              <w:rPr>
                <w:rFonts w:ascii="Calibri" w:hAnsi="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076782" w:rsidP="00880032" w:rsidRDefault="00875122" w14:paraId="500B2630" w14:textId="0B91600B">
            <w:pPr>
              <w:rPr>
                <w:rFonts w:ascii="Calibri" w:hAnsi="Calibri" w:cs="Calibri"/>
                <w:color w:val="000000"/>
                <w:sz w:val="22"/>
                <w:szCs w:val="22"/>
              </w:rPr>
            </w:pPr>
            <w:r>
              <w:rPr>
                <w:rFonts w:ascii="Calibri" w:hAnsi="Calibri" w:cs="Calibri"/>
                <w:color w:val="000000"/>
                <w:sz w:val="22"/>
                <w:szCs w:val="22"/>
              </w:rPr>
              <w:t>Raadpleging</w:t>
            </w:r>
          </w:p>
        </w:tc>
        <w:tc>
          <w:tcPr>
            <w:tcW w:w="4536" w:type="dxa"/>
            <w:tcBorders>
              <w:top w:val="single" w:color="auto" w:sz="4" w:space="0"/>
              <w:left w:val="nil"/>
              <w:bottom w:val="single" w:color="auto" w:sz="4" w:space="0"/>
              <w:right w:val="nil"/>
            </w:tcBorders>
            <w:shd w:val="clear" w:color="auto" w:fill="FFFFFF" w:themeFill="background1"/>
            <w:noWrap/>
          </w:tcPr>
          <w:p w:rsidRPr="00367C9F" w:rsidR="00367C9F" w:rsidP="00367C9F" w:rsidRDefault="00367C9F" w14:paraId="32635EF2" w14:textId="77777777">
            <w:pPr>
              <w:rPr>
                <w:rFonts w:ascii="Calibri" w:hAnsi="Calibri" w:cs="Calibri"/>
                <w:lang w:val="en-GB"/>
              </w:rPr>
            </w:pPr>
            <w:r>
              <w:rPr>
                <w:rFonts w:ascii="Calibri" w:hAnsi="Calibri" w:cs="Calibri"/>
                <w:color w:val="000000"/>
                <w:lang w:val="en-US"/>
              </w:rPr>
              <w:t>Evaluation of the EU agricultural promotion policy</w:t>
            </w:r>
          </w:p>
          <w:p w:rsidRPr="00367C9F" w:rsidR="00076782" w:rsidP="00485134" w:rsidRDefault="00076782" w14:paraId="56C4CE7C" w14:textId="3B7EC0E5">
            <w:pPr>
              <w:rPr>
                <w:rFonts w:ascii="Calibri" w:hAnsi="Calibri" w:cs="Calibri"/>
                <w:color w:val="000000"/>
                <w:sz w:val="22"/>
                <w:szCs w:val="22"/>
                <w:lang w:val="en-GB"/>
              </w:rPr>
            </w:pP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7E0DC6" w:rsidR="00076782" w:rsidP="00076782" w:rsidRDefault="00462B96" w14:paraId="57325D16" w14:textId="57807339">
            <w:pPr>
              <w:rPr>
                <w:rFonts w:ascii="Calibri" w:hAnsi="Calibri" w:cs="Calibri"/>
                <w:color w:val="0000FF"/>
                <w:sz w:val="22"/>
                <w:szCs w:val="22"/>
                <w:u w:val="single"/>
                <w:lang w:val="en-GB"/>
              </w:rPr>
            </w:pPr>
            <w:hyperlink w:history="1" r:id="rId8">
              <w:r w:rsidR="00367C9F">
                <w:rPr>
                  <w:rStyle w:val="Hyperlink"/>
                  <w:rFonts w:ascii="Calibri" w:hAnsi="Calibri" w:cs="Calibri"/>
                </w:rPr>
                <w:t>OR</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7E0DC6" w:rsidR="00076782" w:rsidP="00880032" w:rsidRDefault="00076782" w14:paraId="422A005D" w14:textId="77777777">
            <w:pPr>
              <w:rPr>
                <w:rFonts w:cs="Arial" w:asciiTheme="minorHAnsi" w:hAnsiTheme="minorHAnsi"/>
                <w:sz w:val="20"/>
                <w:szCs w:val="20"/>
                <w:lang w:val="en-GB"/>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Pr="009815F6" w:rsidR="00DD70E4" w:rsidP="00880032" w:rsidRDefault="00367C9F" w14:paraId="1CDBB5F1" w14:textId="2A8582EC">
            <w:pPr>
              <w:pBdr>
                <w:top w:val="nil"/>
                <w:left w:val="nil"/>
                <w:bottom w:val="nil"/>
                <w:right w:val="nil"/>
                <w:between w:val="nil"/>
                <w:bar w:val="nil"/>
              </w:pBdr>
              <w:spacing w:after="240"/>
              <w:rPr>
                <w:rFonts w:ascii="Calibri" w:hAnsi="Calibri" w:cs="Calibri"/>
                <w:color w:val="000000"/>
              </w:rPr>
            </w:pPr>
            <w:r w:rsidRPr="009815F6">
              <w:rPr>
                <w:rFonts w:ascii="Calibri" w:hAnsi="Calibri" w:cs="Calibri"/>
                <w:color w:val="000000"/>
              </w:rPr>
              <w:t>Deze openbare raadpleging is erop gericht</w:t>
            </w:r>
            <w:r>
              <w:t xml:space="preserve"> </w:t>
            </w:r>
            <w:r w:rsidRPr="009815F6">
              <w:rPr>
                <w:rFonts w:ascii="Calibri" w:hAnsi="Calibri" w:cs="Calibri"/>
                <w:color w:val="000000"/>
              </w:rPr>
              <w:t>nadere gegevens en bewijsmateriaal te verzamelen over de impact van deze GLB-maatregelen op de verkoopcijfers en het consumentenbewustzijn en over eventuele problemen die zich bij de toepassing van de instrumenten hebben voorgedaan.</w:t>
            </w:r>
          </w:p>
          <w:p w:rsidRPr="00A107B0" w:rsidR="00A107B0" w:rsidP="00880032" w:rsidRDefault="009815F6" w14:paraId="5EFC58D8" w14:textId="2EAAA393">
            <w:pPr>
              <w:pBdr>
                <w:top w:val="nil"/>
                <w:left w:val="nil"/>
                <w:bottom w:val="nil"/>
                <w:right w:val="nil"/>
                <w:between w:val="nil"/>
                <w:bar w:val="nil"/>
              </w:pBdr>
              <w:spacing w:after="240"/>
              <w:rPr>
                <w:rFonts w:ascii="Calibri" w:hAnsi="Calibri" w:cs="Calibri"/>
                <w:color w:val="000000"/>
              </w:rPr>
            </w:pPr>
            <w:r>
              <w:rPr>
                <w:rFonts w:ascii="Calibri" w:hAnsi="Calibri" w:cs="Calibri"/>
                <w:color w:val="000000"/>
              </w:rPr>
              <w:t>N.B. De minister</w:t>
            </w:r>
            <w:r w:rsidRPr="00A107B0" w:rsidR="00A107B0">
              <w:rPr>
                <w:rFonts w:ascii="Calibri" w:hAnsi="Calibri" w:cs="Calibri"/>
                <w:color w:val="000000"/>
              </w:rPr>
              <w:t xml:space="preserve"> is voornemens om </w:t>
            </w:r>
            <w:r w:rsidR="00A107B0">
              <w:rPr>
                <w:rFonts w:ascii="Calibri" w:hAnsi="Calibri" w:cs="Calibri"/>
                <w:color w:val="000000"/>
              </w:rPr>
              <w:t xml:space="preserve">op de raadpleging </w:t>
            </w:r>
            <w:r w:rsidRPr="00A107B0" w:rsidR="00A107B0">
              <w:rPr>
                <w:rFonts w:ascii="Calibri" w:hAnsi="Calibri" w:cs="Calibri"/>
                <w:color w:val="000000"/>
              </w:rPr>
              <w:t xml:space="preserve">te reageren. </w:t>
            </w:r>
          </w:p>
          <w:p w:rsidRPr="00367C9F" w:rsidR="00367C9F" w:rsidP="00880032" w:rsidRDefault="00367C9F" w14:paraId="605CD4C9" w14:textId="709831BF">
            <w:pPr>
              <w:pBdr>
                <w:top w:val="nil"/>
                <w:left w:val="nil"/>
                <w:bottom w:val="nil"/>
                <w:right w:val="nil"/>
                <w:between w:val="nil"/>
                <w:bar w:val="nil"/>
              </w:pBdr>
              <w:spacing w:after="240"/>
              <w:rPr>
                <w:rFonts w:eastAsia="Arial Unicode MS" w:asciiTheme="minorHAnsi" w:hAnsiTheme="minorHAnsi"/>
                <w:noProof/>
                <w:sz w:val="20"/>
                <w:szCs w:val="20"/>
              </w:rPr>
            </w:pPr>
            <w:r w:rsidRPr="00367C9F">
              <w:rPr>
                <w:rFonts w:ascii="Calibri" w:hAnsi="Calibri" w:cs="Calibri"/>
                <w:b/>
                <w:color w:val="000000"/>
              </w:rPr>
              <w:t>Behandelvoorstel</w:t>
            </w:r>
            <w:r w:rsidRPr="00367C9F">
              <w:rPr>
                <w:rFonts w:ascii="Calibri" w:hAnsi="Calibri" w:cs="Calibri"/>
                <w:color w:val="000000"/>
              </w:rPr>
              <w:t xml:space="preserve">: afschrift van de reactie van de minister afwachten. </w:t>
            </w:r>
          </w:p>
        </w:tc>
      </w:tr>
      <w:tr w:rsidRPr="00CE2E34" w:rsidR="00367C9F" w:rsidTr="00614A1B" w14:paraId="2B173583"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367C9F" w:rsidP="00076782" w:rsidRDefault="00367C9F" w14:paraId="61F70CE9" w14:textId="588F933B">
            <w:pPr>
              <w:rPr>
                <w:rFonts w:ascii="Calibri" w:hAnsi="Calibri" w:cs="Calibri"/>
                <w:color w:val="000000"/>
              </w:rPr>
            </w:pPr>
            <w:r>
              <w:rPr>
                <w:rFonts w:ascii="Calibri" w:hAnsi="Calibri" w:cs="Calibri"/>
                <w:color w:val="000000"/>
              </w:rPr>
              <w:t>13-mei-20</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367C9F" w:rsidP="00076782" w:rsidRDefault="00367C9F" w14:paraId="5DB72102" w14:textId="1FECFAA8">
            <w:pPr>
              <w:jc w:val="both"/>
              <w:rPr>
                <w:rFonts w:ascii="Calibri" w:hAnsi="Calibri"/>
                <w:color w:val="000000"/>
                <w:sz w:val="22"/>
                <w:szCs w:val="22"/>
              </w:rPr>
            </w:pPr>
            <w:r>
              <w:rPr>
                <w:rFonts w:ascii="Calibri" w:hAnsi="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367C9F" w:rsidP="00880032" w:rsidRDefault="00367C9F" w14:paraId="557A25D0" w14:textId="14798B93">
            <w:pPr>
              <w:rPr>
                <w:rFonts w:ascii="Calibri" w:hAnsi="Calibri" w:cs="Calibri"/>
                <w:color w:val="000000"/>
                <w:sz w:val="22"/>
                <w:szCs w:val="22"/>
              </w:rPr>
            </w:pPr>
            <w:r>
              <w:rPr>
                <w:rFonts w:ascii="Calibri" w:hAnsi="Calibri" w:cs="Calibri"/>
                <w:color w:val="000000"/>
                <w:sz w:val="22"/>
                <w:szCs w:val="22"/>
              </w:rPr>
              <w:t>Raadpleging</w:t>
            </w:r>
          </w:p>
        </w:tc>
        <w:tc>
          <w:tcPr>
            <w:tcW w:w="4536" w:type="dxa"/>
            <w:tcBorders>
              <w:top w:val="single" w:color="auto" w:sz="4" w:space="0"/>
              <w:left w:val="nil"/>
              <w:bottom w:val="single" w:color="auto" w:sz="4" w:space="0"/>
              <w:right w:val="nil"/>
            </w:tcBorders>
            <w:shd w:val="clear" w:color="auto" w:fill="FFFFFF" w:themeFill="background1"/>
            <w:noWrap/>
          </w:tcPr>
          <w:p w:rsidRPr="00367C9F" w:rsidR="00367C9F" w:rsidP="00367C9F" w:rsidRDefault="00367C9F" w14:paraId="4A097F78" w14:textId="2B0FE1FD">
            <w:pPr>
              <w:rPr>
                <w:rFonts w:ascii="Calibri" w:hAnsi="Calibri" w:cs="Calibri"/>
                <w:color w:val="000000"/>
              </w:rPr>
            </w:pPr>
            <w:r w:rsidRPr="00367C9F">
              <w:rPr>
                <w:rFonts w:ascii="Calibri" w:hAnsi="Calibri" w:cs="Calibri"/>
                <w:color w:val="000000"/>
              </w:rPr>
              <w:t>Diepzeevisserij in het noordoostelijke deel van de Atlantische Oceaan: evaluatie van de EU-regelgeving</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367C9F" w:rsidR="00367C9F" w:rsidP="00076782" w:rsidRDefault="00462B96" w14:paraId="696BEF70" w14:textId="7E665436">
            <w:pPr>
              <w:rPr>
                <w:lang w:val="en-GB"/>
              </w:rPr>
            </w:pPr>
            <w:hyperlink w:history="1" r:id="rId9">
              <w:r w:rsidR="00367C9F">
                <w:rPr>
                  <w:rStyle w:val="Hyperlink"/>
                  <w:rFonts w:ascii="Calibri" w:hAnsi="Calibri" w:cs="Calibri"/>
                </w:rPr>
                <w:t>OR</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7E0DC6" w:rsidR="00367C9F" w:rsidP="00880032" w:rsidRDefault="00367C9F" w14:paraId="6CCD9B83" w14:textId="77777777">
            <w:pPr>
              <w:rPr>
                <w:rFonts w:cs="Arial" w:asciiTheme="minorHAnsi" w:hAnsiTheme="minorHAnsi"/>
                <w:sz w:val="20"/>
                <w:szCs w:val="20"/>
                <w:lang w:val="en-GB"/>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Pr="009E3DC4" w:rsidR="009E3DC4" w:rsidP="009E3DC4" w:rsidRDefault="009E3DC4" w14:paraId="1E1146C0" w14:textId="2A85518D">
            <w:pPr>
              <w:pBdr>
                <w:top w:val="nil"/>
                <w:left w:val="nil"/>
                <w:bottom w:val="nil"/>
                <w:right w:val="nil"/>
                <w:between w:val="nil"/>
                <w:bar w:val="nil"/>
              </w:pBdr>
              <w:rPr>
                <w:rFonts w:ascii="Calibri" w:hAnsi="Calibri" w:cs="Calibri"/>
                <w:color w:val="000000"/>
              </w:rPr>
            </w:pPr>
            <w:r w:rsidRPr="009E3DC4">
              <w:rPr>
                <w:rFonts w:ascii="Calibri" w:hAnsi="Calibri" w:cs="Calibri"/>
                <w:color w:val="000000"/>
              </w:rPr>
              <w:t xml:space="preserve">Het betreft een raadpleging die als input dient voor de evaluatie </w:t>
            </w:r>
            <w:r w:rsidR="009815F6">
              <w:rPr>
                <w:rFonts w:ascii="Calibri" w:hAnsi="Calibri" w:cs="Calibri"/>
                <w:color w:val="000000"/>
              </w:rPr>
              <w:t xml:space="preserve">van </w:t>
            </w:r>
            <w:r w:rsidRPr="009E3DC4">
              <w:rPr>
                <w:rFonts w:ascii="Calibri" w:hAnsi="Calibri" w:cs="Calibri"/>
                <w:color w:val="000000"/>
              </w:rPr>
              <w:t>de in 2016 vastgestelde verordening inzake de toegang tot de diepzeevisserij, met inbegrip van informatie over de verwezenlijking van de algemene en specifieke doelstellingen van de verordening.</w:t>
            </w:r>
          </w:p>
          <w:p w:rsidR="00367C9F" w:rsidP="009E3DC4" w:rsidRDefault="009E3DC4" w14:paraId="1635E6A0" w14:textId="6FCD0708">
            <w:pPr>
              <w:pBdr>
                <w:top w:val="nil"/>
                <w:left w:val="nil"/>
                <w:bottom w:val="nil"/>
                <w:right w:val="nil"/>
                <w:between w:val="nil"/>
                <w:bar w:val="nil"/>
              </w:pBdr>
              <w:rPr>
                <w:rFonts w:ascii="Calibri" w:hAnsi="Calibri" w:cs="Calibri"/>
                <w:color w:val="000000"/>
              </w:rPr>
            </w:pPr>
            <w:r w:rsidRPr="009E3DC4">
              <w:rPr>
                <w:rFonts w:ascii="Calibri" w:hAnsi="Calibri" w:cs="Calibri"/>
                <w:color w:val="000000"/>
              </w:rPr>
              <w:lastRenderedPageBreak/>
              <w:t>De evaluatie zal beoordelen of de maatregelen die zijn vastgesteld om de ecologische impact van de diepzeevisserij te verminderen, nadelige effecten op kwetsbare mariene ecosystemen te voorkomen en de wetenschappelijke kennis te verbeteren, de diepzeevisserij duurzamer hebben gemaakt.</w:t>
            </w:r>
          </w:p>
          <w:p w:rsidR="008E016D" w:rsidP="009E3DC4" w:rsidRDefault="008E016D" w14:paraId="2793B040" w14:textId="67DD4D4E">
            <w:pPr>
              <w:pBdr>
                <w:top w:val="nil"/>
                <w:left w:val="nil"/>
                <w:bottom w:val="nil"/>
                <w:right w:val="nil"/>
                <w:between w:val="nil"/>
                <w:bar w:val="nil"/>
              </w:pBdr>
              <w:rPr>
                <w:rFonts w:ascii="Calibri" w:hAnsi="Calibri" w:cs="Calibri"/>
                <w:color w:val="000000"/>
              </w:rPr>
            </w:pPr>
          </w:p>
          <w:p w:rsidR="008E016D" w:rsidP="009E3DC4" w:rsidRDefault="009815F6" w14:paraId="2FEBA32C" w14:textId="5337B009">
            <w:pPr>
              <w:pBdr>
                <w:top w:val="nil"/>
                <w:left w:val="nil"/>
                <w:bottom w:val="nil"/>
                <w:right w:val="nil"/>
                <w:between w:val="nil"/>
                <w:bar w:val="nil"/>
              </w:pBdr>
              <w:rPr>
                <w:rFonts w:ascii="Calibri" w:hAnsi="Calibri" w:cs="Calibri"/>
                <w:color w:val="000000"/>
              </w:rPr>
            </w:pPr>
            <w:r>
              <w:rPr>
                <w:rFonts w:ascii="Calibri" w:hAnsi="Calibri" w:cs="Calibri"/>
                <w:color w:val="000000"/>
              </w:rPr>
              <w:t>N.B. De minister</w:t>
            </w:r>
            <w:r w:rsidR="008E016D">
              <w:rPr>
                <w:rFonts w:ascii="Calibri" w:hAnsi="Calibri" w:cs="Calibri"/>
                <w:color w:val="000000"/>
              </w:rPr>
              <w:t xml:space="preserve"> is niet voornemens om op de raadpleging te reageren. </w:t>
            </w:r>
          </w:p>
          <w:p w:rsidRPr="009E3DC4" w:rsidR="005D7744" w:rsidP="009E3DC4" w:rsidRDefault="005D7744" w14:paraId="79B6FC43" w14:textId="77777777">
            <w:pPr>
              <w:pBdr>
                <w:top w:val="nil"/>
                <w:left w:val="nil"/>
                <w:bottom w:val="nil"/>
                <w:right w:val="nil"/>
                <w:between w:val="nil"/>
                <w:bar w:val="nil"/>
              </w:pBdr>
              <w:rPr>
                <w:rFonts w:ascii="Calibri" w:hAnsi="Calibri" w:cs="Calibri"/>
                <w:color w:val="000000"/>
              </w:rPr>
            </w:pPr>
          </w:p>
          <w:p w:rsidRPr="00CE2E34" w:rsidR="00CE2E34" w:rsidP="008E016D" w:rsidRDefault="00CE2E34" w14:paraId="26D3EC26" w14:textId="75B662A8">
            <w:pPr>
              <w:pBdr>
                <w:top w:val="nil"/>
                <w:left w:val="nil"/>
                <w:bottom w:val="nil"/>
                <w:right w:val="nil"/>
                <w:between w:val="nil"/>
                <w:bar w:val="nil"/>
              </w:pBdr>
              <w:spacing w:after="240"/>
              <w:rPr>
                <w:rFonts w:ascii="Calibri" w:hAnsi="Calibri" w:cs="Calibri"/>
                <w:color w:val="000000"/>
              </w:rPr>
            </w:pPr>
            <w:r w:rsidRPr="00367C9F">
              <w:rPr>
                <w:rFonts w:ascii="Calibri" w:hAnsi="Calibri" w:cs="Calibri"/>
                <w:b/>
                <w:color w:val="000000"/>
              </w:rPr>
              <w:t>Behandelvoorstel</w:t>
            </w:r>
            <w:r w:rsidRPr="00367C9F">
              <w:rPr>
                <w:rFonts w:ascii="Calibri" w:hAnsi="Calibri" w:cs="Calibri"/>
                <w:color w:val="000000"/>
              </w:rPr>
              <w:t xml:space="preserve">: </w:t>
            </w:r>
            <w:r w:rsidR="008E016D">
              <w:rPr>
                <w:rFonts w:ascii="Calibri" w:hAnsi="Calibri" w:cs="Calibri"/>
                <w:color w:val="000000"/>
              </w:rPr>
              <w:t>voor kennisgeving aannemen</w:t>
            </w:r>
            <w:r w:rsidR="009815F6">
              <w:rPr>
                <w:rFonts w:ascii="Calibri" w:hAnsi="Calibri" w:cs="Calibri"/>
                <w:color w:val="000000"/>
              </w:rPr>
              <w:t>.</w:t>
            </w:r>
          </w:p>
        </w:tc>
      </w:tr>
      <w:tr w:rsidRPr="00CE2E34" w:rsidR="00CE2E34" w:rsidTr="00614A1B" w14:paraId="78A4F0B8"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CE2E34" w:rsidP="00076782" w:rsidRDefault="00CE2E34" w14:paraId="021D48B3" w14:textId="04B5A37E">
            <w:pPr>
              <w:rPr>
                <w:rFonts w:ascii="Calibri" w:hAnsi="Calibri" w:cs="Calibri"/>
                <w:color w:val="000000"/>
              </w:rPr>
            </w:pPr>
            <w:r>
              <w:rPr>
                <w:rFonts w:ascii="Calibri" w:hAnsi="Calibri" w:cs="Calibri"/>
                <w:color w:val="000000"/>
                <w:sz w:val="22"/>
                <w:szCs w:val="22"/>
              </w:rPr>
              <w:lastRenderedPageBreak/>
              <w:t>29-mei-20</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CE2E34" w:rsidP="00076782" w:rsidRDefault="00CE2E34" w14:paraId="387AAD74" w14:textId="10E13EEC">
            <w:pPr>
              <w:jc w:val="both"/>
              <w:rPr>
                <w:rFonts w:ascii="Calibri" w:hAnsi="Calibri"/>
                <w:color w:val="000000"/>
                <w:sz w:val="22"/>
                <w:szCs w:val="22"/>
              </w:rPr>
            </w:pPr>
            <w:r>
              <w:rPr>
                <w:rFonts w:ascii="Calibri" w:hAnsi="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CE2E34" w:rsidP="00880032" w:rsidRDefault="00CE2E34" w14:paraId="555D1E59" w14:textId="75D2A55C">
            <w:pPr>
              <w:rPr>
                <w:rFonts w:ascii="Calibri" w:hAnsi="Calibri" w:cs="Calibri"/>
                <w:color w:val="000000"/>
                <w:sz w:val="22"/>
                <w:szCs w:val="22"/>
              </w:rPr>
            </w:pPr>
            <w:r>
              <w:rPr>
                <w:rFonts w:ascii="Calibri" w:hAnsi="Calibri" w:cs="Calibri"/>
                <w:color w:val="000000"/>
                <w:sz w:val="22"/>
                <w:szCs w:val="22"/>
              </w:rPr>
              <w:t>Verordening</w:t>
            </w:r>
          </w:p>
        </w:tc>
        <w:tc>
          <w:tcPr>
            <w:tcW w:w="4536" w:type="dxa"/>
            <w:tcBorders>
              <w:top w:val="single" w:color="auto" w:sz="4" w:space="0"/>
              <w:left w:val="nil"/>
              <w:bottom w:val="single" w:color="auto" w:sz="4" w:space="0"/>
              <w:right w:val="nil"/>
            </w:tcBorders>
            <w:shd w:val="clear" w:color="auto" w:fill="FFFFFF" w:themeFill="background1"/>
            <w:noWrap/>
          </w:tcPr>
          <w:p w:rsidRPr="00367C9F" w:rsidR="00CE2E34" w:rsidP="00367C9F" w:rsidRDefault="00CE2E34" w14:paraId="706219B1" w14:textId="49C37B4E">
            <w:pPr>
              <w:rPr>
                <w:rFonts w:ascii="Calibri" w:hAnsi="Calibri" w:cs="Calibri"/>
                <w:color w:val="000000"/>
              </w:rPr>
            </w:pPr>
            <w:r>
              <w:rPr>
                <w:rFonts w:ascii="Calibri" w:hAnsi="Calibri" w:cs="Calibri"/>
                <w:color w:val="000000"/>
                <w:sz w:val="22"/>
                <w:szCs w:val="22"/>
              </w:rPr>
              <w:t>Voorstel voor een VERORDENING VAN HET EUROPEES PARLEMENT EN DE RAAD tot wijziging van Verordening (EU) 2019/833 van het Europees Parlement en de Raad van 20 mei 2019 tot vaststelling van instandhoudings- en handhavingsmaatregelen die van toepassing zijn in het gereglementeerde gebied van de Visserijorganisatie voor het noordwestelijk deel van de Atlantische Oceaan</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CE2E34" w:rsidP="00CE2E34" w:rsidRDefault="00462B96" w14:paraId="31ACBCA5" w14:textId="77777777">
            <w:pPr>
              <w:rPr>
                <w:rFonts w:ascii="Calibri" w:hAnsi="Calibri" w:cs="Calibri"/>
                <w:color w:val="0000FF"/>
                <w:sz w:val="22"/>
                <w:szCs w:val="22"/>
                <w:u w:val="single"/>
              </w:rPr>
            </w:pPr>
            <w:hyperlink w:history="1" r:id="rId10">
              <w:r w:rsidR="00CE2E34">
                <w:rPr>
                  <w:rStyle w:val="Hyperlink"/>
                  <w:rFonts w:ascii="Calibri" w:hAnsi="Calibri" w:cs="Calibri"/>
                  <w:sz w:val="22"/>
                  <w:szCs w:val="22"/>
                </w:rPr>
                <w:t>COM (2020) 215</w:t>
              </w:r>
            </w:hyperlink>
          </w:p>
          <w:p w:rsidR="00CE2E34" w:rsidP="00076782" w:rsidRDefault="00CE2E34" w14:paraId="7E808193" w14:textId="77777777"/>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CE2E34" w:rsidR="00CE2E34" w:rsidP="00880032" w:rsidRDefault="00CE2E34" w14:paraId="22F7E25C" w14:textId="77777777">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CE2E34" w:rsidP="00880032" w:rsidRDefault="00F40AD6" w14:paraId="6045697A" w14:textId="4E10FD84">
            <w:pPr>
              <w:pBdr>
                <w:top w:val="nil"/>
                <w:left w:val="nil"/>
                <w:bottom w:val="nil"/>
                <w:right w:val="nil"/>
                <w:between w:val="nil"/>
                <w:bar w:val="nil"/>
              </w:pBdr>
              <w:spacing w:after="240"/>
              <w:rPr>
                <w:rFonts w:ascii="Calibri" w:hAnsi="Calibri" w:cs="Calibri"/>
                <w:color w:val="000000"/>
              </w:rPr>
            </w:pPr>
            <w:r w:rsidRPr="00F40AD6">
              <w:rPr>
                <w:rFonts w:ascii="Calibri" w:hAnsi="Calibri" w:cs="Calibri"/>
                <w:color w:val="000000"/>
              </w:rPr>
              <w:t xml:space="preserve">De belangrijkste doelstelling van het voorstel </w:t>
            </w:r>
            <w:r>
              <w:rPr>
                <w:rFonts w:ascii="Calibri" w:hAnsi="Calibri" w:cs="Calibri"/>
                <w:color w:val="000000"/>
              </w:rPr>
              <w:t>is om</w:t>
            </w:r>
            <w:r w:rsidRPr="00F40AD6">
              <w:rPr>
                <w:rFonts w:ascii="Calibri" w:hAnsi="Calibri" w:cs="Calibri"/>
                <w:color w:val="000000"/>
              </w:rPr>
              <w:t xml:space="preserve"> de wijzigingen van de instandhoudings- en</w:t>
            </w:r>
            <w:r w:rsidR="009815F6">
              <w:rPr>
                <w:rFonts w:ascii="Calibri" w:hAnsi="Calibri" w:cs="Calibri"/>
                <w:color w:val="000000"/>
              </w:rPr>
              <w:t xml:space="preserve"> handhavingsmaatregelen die</w:t>
            </w:r>
            <w:r w:rsidRPr="00F40AD6">
              <w:rPr>
                <w:rFonts w:ascii="Calibri" w:hAnsi="Calibri" w:cs="Calibri"/>
                <w:color w:val="000000"/>
              </w:rPr>
              <w:t xml:space="preserve"> de Visserijorganisatie voor het noordwestelijk deel van de Atlantische Oceaan (NAFO) tijdens haar jaarverga</w:t>
            </w:r>
            <w:r w:rsidR="009815F6">
              <w:rPr>
                <w:rFonts w:ascii="Calibri" w:hAnsi="Calibri" w:cs="Calibri"/>
                <w:color w:val="000000"/>
              </w:rPr>
              <w:t>dering in 2019 heeft vastgesteld om te zetten</w:t>
            </w:r>
            <w:r w:rsidRPr="00F40AD6">
              <w:rPr>
                <w:rFonts w:ascii="Calibri" w:hAnsi="Calibri" w:cs="Calibri"/>
                <w:color w:val="000000"/>
              </w:rPr>
              <w:t xml:space="preserve"> in </w:t>
            </w:r>
            <w:r w:rsidR="009815F6">
              <w:rPr>
                <w:rFonts w:ascii="Calibri" w:hAnsi="Calibri" w:cs="Calibri"/>
                <w:color w:val="000000"/>
              </w:rPr>
              <w:t>EU-</w:t>
            </w:r>
            <w:r>
              <w:rPr>
                <w:rFonts w:ascii="Calibri" w:hAnsi="Calibri" w:cs="Calibri"/>
                <w:color w:val="000000"/>
              </w:rPr>
              <w:t>recht</w:t>
            </w:r>
            <w:r w:rsidRPr="00F40AD6">
              <w:rPr>
                <w:rFonts w:ascii="Calibri" w:hAnsi="Calibri" w:cs="Calibri"/>
                <w:color w:val="000000"/>
              </w:rPr>
              <w:t>.</w:t>
            </w:r>
            <w:r w:rsidR="00577015">
              <w:rPr>
                <w:rFonts w:ascii="Calibri" w:hAnsi="Calibri" w:cs="Calibri"/>
                <w:color w:val="000000"/>
              </w:rPr>
              <w:t xml:space="preserve"> </w:t>
            </w:r>
            <w:r w:rsidRPr="00577015" w:rsidR="00577015">
              <w:rPr>
                <w:rFonts w:ascii="Calibri" w:hAnsi="Calibri" w:cs="Calibri"/>
                <w:color w:val="000000"/>
              </w:rPr>
              <w:t>Dit voorstel heeft geen betrekking op de vangstmogelijkheden van de EU die door de NAFO worden vastgesteld.</w:t>
            </w:r>
          </w:p>
          <w:p w:rsidRPr="003538A0" w:rsidR="003538A0" w:rsidP="00880032" w:rsidRDefault="003538A0" w14:paraId="1AB3A3F0" w14:textId="7CDA8013">
            <w:pPr>
              <w:pBdr>
                <w:top w:val="nil"/>
                <w:left w:val="nil"/>
                <w:bottom w:val="nil"/>
                <w:right w:val="nil"/>
                <w:between w:val="nil"/>
                <w:bar w:val="nil"/>
              </w:pBdr>
              <w:spacing w:after="240"/>
              <w:rPr>
                <w:rFonts w:ascii="Calibri" w:hAnsi="Calibri" w:cs="Calibri"/>
                <w:color w:val="000000"/>
              </w:rPr>
            </w:pPr>
            <w:r>
              <w:rPr>
                <w:rFonts w:ascii="Calibri" w:hAnsi="Calibri" w:cs="Calibri"/>
                <w:b/>
                <w:color w:val="000000"/>
              </w:rPr>
              <w:t>Behandelvoorstel</w:t>
            </w:r>
            <w:r>
              <w:rPr>
                <w:rFonts w:ascii="Calibri" w:hAnsi="Calibri" w:cs="Calibri"/>
                <w:color w:val="000000"/>
              </w:rPr>
              <w:t>: voor kennisgeving aannemen</w:t>
            </w:r>
            <w:r w:rsidR="009815F6">
              <w:rPr>
                <w:rFonts w:ascii="Calibri" w:hAnsi="Calibri" w:cs="Calibri"/>
                <w:color w:val="000000"/>
              </w:rPr>
              <w:t>.</w:t>
            </w:r>
          </w:p>
        </w:tc>
      </w:tr>
      <w:tr w:rsidRPr="00CE2E34" w:rsidR="00CE2E34" w:rsidTr="00614A1B" w14:paraId="7BFE7B7E"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CE2E34" w:rsidP="00076782" w:rsidRDefault="00CE2E34" w14:paraId="20936CCE" w14:textId="18158365">
            <w:pPr>
              <w:rPr>
                <w:rFonts w:ascii="Calibri" w:hAnsi="Calibri" w:cs="Calibri"/>
                <w:color w:val="000000"/>
                <w:sz w:val="22"/>
                <w:szCs w:val="22"/>
              </w:rPr>
            </w:pPr>
            <w:r>
              <w:rPr>
                <w:rFonts w:ascii="Calibri" w:hAnsi="Calibri" w:cs="Calibri"/>
                <w:color w:val="000000"/>
                <w:sz w:val="22"/>
                <w:szCs w:val="22"/>
              </w:rPr>
              <w:t>29-mei-20</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CE2E34" w:rsidP="00076782" w:rsidRDefault="00CE2E34" w14:paraId="52C1D4D4" w14:textId="400AFE02">
            <w:pPr>
              <w:jc w:val="both"/>
              <w:rPr>
                <w:rFonts w:ascii="Calibri" w:hAnsi="Calibri"/>
                <w:color w:val="000000"/>
                <w:sz w:val="22"/>
                <w:szCs w:val="22"/>
              </w:rPr>
            </w:pPr>
            <w:r>
              <w:rPr>
                <w:rFonts w:ascii="Calibri" w:hAnsi="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CE2E34" w:rsidP="00880032" w:rsidRDefault="00CE2E34" w14:paraId="710EB97B" w14:textId="62F9228B">
            <w:pPr>
              <w:rPr>
                <w:rFonts w:ascii="Calibri" w:hAnsi="Calibri" w:cs="Calibri"/>
                <w:color w:val="000000"/>
                <w:sz w:val="22"/>
                <w:szCs w:val="22"/>
              </w:rPr>
            </w:pPr>
            <w:r>
              <w:rPr>
                <w:rFonts w:ascii="Calibri" w:hAnsi="Calibri" w:cs="Calibri"/>
                <w:color w:val="000000"/>
                <w:sz w:val="22"/>
                <w:szCs w:val="22"/>
              </w:rPr>
              <w:t>Verordening</w:t>
            </w:r>
          </w:p>
        </w:tc>
        <w:tc>
          <w:tcPr>
            <w:tcW w:w="4536" w:type="dxa"/>
            <w:tcBorders>
              <w:top w:val="single" w:color="auto" w:sz="4" w:space="0"/>
              <w:left w:val="nil"/>
              <w:bottom w:val="single" w:color="auto" w:sz="4" w:space="0"/>
              <w:right w:val="nil"/>
            </w:tcBorders>
            <w:shd w:val="clear" w:color="auto" w:fill="FFFFFF" w:themeFill="background1"/>
            <w:noWrap/>
          </w:tcPr>
          <w:p w:rsidRPr="00CE2E34" w:rsidR="00CE2E34" w:rsidP="00CE2E34" w:rsidRDefault="00CE2E34" w14:paraId="5817B113" w14:textId="7C9C123F">
            <w:pPr>
              <w:rPr>
                <w:rFonts w:ascii="Calibri" w:hAnsi="Calibri" w:cs="Calibri"/>
                <w:color w:val="000000"/>
                <w:sz w:val="22"/>
                <w:szCs w:val="22"/>
              </w:rPr>
            </w:pPr>
            <w:r>
              <w:rPr>
                <w:rFonts w:ascii="Calibri" w:hAnsi="Calibri" w:cs="Calibri"/>
                <w:color w:val="000000"/>
                <w:sz w:val="22"/>
                <w:szCs w:val="22"/>
              </w:rPr>
              <w:t xml:space="preserve">Gewijzigd voorstel voor een VERORDENING VAN HET EUROPEES PARLEMENT EN DE RAAD tot vaststelling van voorschriften inzake steun voor de strategische plannen die de lidstaten in het </w:t>
            </w:r>
            <w:r>
              <w:rPr>
                <w:rFonts w:ascii="Calibri" w:hAnsi="Calibri" w:cs="Calibri"/>
                <w:color w:val="000000"/>
                <w:sz w:val="22"/>
                <w:szCs w:val="22"/>
              </w:rPr>
              <w:lastRenderedPageBreak/>
              <w:t>kader van het gemeenschappelijk landbouwbeleid opstellen (strategische GLB-plannen) en die uit het Europees Landbouwgarantiefonds (ELGF) en het Europees Landbouwfonds voo</w:t>
            </w:r>
            <w:r w:rsidR="009815F6">
              <w:rPr>
                <w:rFonts w:ascii="Calibri" w:hAnsi="Calibri" w:cs="Calibri"/>
                <w:color w:val="000000"/>
                <w:sz w:val="22"/>
                <w:szCs w:val="22"/>
              </w:rPr>
              <w:t>r plattelandsontwikkeling (ELFPO</w:t>
            </w:r>
            <w:r>
              <w:rPr>
                <w:rFonts w:ascii="Calibri" w:hAnsi="Calibri" w:cs="Calibri"/>
                <w:color w:val="000000"/>
                <w:sz w:val="22"/>
                <w:szCs w:val="22"/>
              </w:rPr>
              <w:t xml:space="preserve">) worden gefinancierd, en tot intrekking van Verordening (EU) nr. 1305/2013 van het </w:t>
            </w:r>
            <w:r w:rsidRPr="00CE2E34">
              <w:rPr>
                <w:rFonts w:ascii="Calibri" w:hAnsi="Calibri" w:cs="Calibri"/>
                <w:color w:val="000000"/>
                <w:sz w:val="22"/>
                <w:szCs w:val="22"/>
              </w:rPr>
              <w:t>Europees Parlement en de Raad</w:t>
            </w:r>
          </w:p>
          <w:p w:rsidR="00CE2E34" w:rsidP="00CE2E34" w:rsidRDefault="00CE2E34" w14:paraId="5CEE962C" w14:textId="1FF0FF98">
            <w:pPr>
              <w:rPr>
                <w:rFonts w:ascii="Calibri" w:hAnsi="Calibri" w:cs="Calibri"/>
                <w:color w:val="000000"/>
                <w:sz w:val="22"/>
                <w:szCs w:val="22"/>
              </w:rPr>
            </w:pPr>
            <w:r w:rsidRPr="00CE2E34">
              <w:rPr>
                <w:rFonts w:ascii="Calibri" w:hAnsi="Calibri" w:cs="Calibri"/>
                <w:color w:val="000000"/>
                <w:sz w:val="22"/>
                <w:szCs w:val="22"/>
              </w:rPr>
              <w:t>en van Verordening (EU) nr. 1307/2013 van het Europees Parlement en de Raad</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CE2E34" w:rsidP="00CE2E34" w:rsidRDefault="00462B96" w14:paraId="480404CE" w14:textId="57607F35">
            <w:pPr>
              <w:rPr>
                <w:rFonts w:ascii="Calibri" w:hAnsi="Calibri" w:cs="Calibri"/>
                <w:color w:val="0000FF"/>
                <w:sz w:val="22"/>
                <w:szCs w:val="22"/>
                <w:u w:val="single"/>
              </w:rPr>
            </w:pPr>
            <w:hyperlink w:history="1" r:id="rId11">
              <w:r w:rsidR="00CE2E34">
                <w:rPr>
                  <w:rStyle w:val="Hyperlink"/>
                  <w:rFonts w:ascii="Calibri" w:hAnsi="Calibri" w:cs="Calibri"/>
                  <w:sz w:val="22"/>
                  <w:szCs w:val="22"/>
                </w:rPr>
                <w:t>COM (2020) 459</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CE2E34" w:rsidR="00CE2E34" w:rsidP="00880032" w:rsidRDefault="00CE2E34" w14:paraId="5D391F1D" w14:textId="77777777">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CE2E34" w:rsidP="00880032" w:rsidRDefault="00B155A7" w14:paraId="3422BBD7" w14:textId="731EC961">
            <w:pPr>
              <w:pBdr>
                <w:top w:val="nil"/>
                <w:left w:val="nil"/>
                <w:bottom w:val="nil"/>
                <w:right w:val="nil"/>
                <w:between w:val="nil"/>
                <w:bar w:val="nil"/>
              </w:pBdr>
              <w:spacing w:after="240"/>
              <w:rPr>
                <w:rFonts w:ascii="Calibri" w:hAnsi="Calibri" w:cs="Calibri"/>
                <w:color w:val="000000"/>
              </w:rPr>
            </w:pPr>
            <w:r>
              <w:rPr>
                <w:rFonts w:ascii="Calibri" w:hAnsi="Calibri" w:cs="Calibri"/>
                <w:color w:val="000000"/>
              </w:rPr>
              <w:t xml:space="preserve">Het betreft een onderdeel van het herstelpakket van de Europese Commissie dat op 27 mei jl. is gepresenteerd. </w:t>
            </w:r>
            <w:r w:rsidRPr="00C75908" w:rsidR="00C75908">
              <w:rPr>
                <w:rFonts w:ascii="Calibri" w:hAnsi="Calibri" w:cs="Calibri"/>
                <w:color w:val="000000"/>
              </w:rPr>
              <w:t xml:space="preserve">De herstel- en veerkrachtmaatregelen in het kader van het </w:t>
            </w:r>
            <w:r w:rsidRPr="00C75908" w:rsidR="00C75908">
              <w:rPr>
                <w:rFonts w:ascii="Calibri" w:hAnsi="Calibri" w:cs="Calibri"/>
                <w:color w:val="000000"/>
              </w:rPr>
              <w:lastRenderedPageBreak/>
              <w:t xml:space="preserve">herstelinstrument zullen worden uitgevoerd via de reeds bestaande uitvoeringsregelingen van een aantal door de </w:t>
            </w:r>
            <w:r w:rsidR="009815F6">
              <w:rPr>
                <w:rFonts w:ascii="Calibri" w:hAnsi="Calibri" w:cs="Calibri"/>
                <w:color w:val="000000"/>
              </w:rPr>
              <w:t xml:space="preserve">Europese </w:t>
            </w:r>
            <w:r w:rsidRPr="00C75908" w:rsidR="00C75908">
              <w:rPr>
                <w:rFonts w:ascii="Calibri" w:hAnsi="Calibri" w:cs="Calibri"/>
                <w:color w:val="000000"/>
              </w:rPr>
              <w:t xml:space="preserve">Commissie voorgestelde specifieke Unieprogramma’s voor het </w:t>
            </w:r>
            <w:r>
              <w:rPr>
                <w:rFonts w:ascii="Calibri" w:hAnsi="Calibri" w:cs="Calibri"/>
                <w:color w:val="000000"/>
              </w:rPr>
              <w:t>M</w:t>
            </w:r>
            <w:r w:rsidRPr="00C75908" w:rsidR="00C75908">
              <w:rPr>
                <w:rFonts w:ascii="Calibri" w:hAnsi="Calibri" w:cs="Calibri"/>
                <w:color w:val="000000"/>
              </w:rPr>
              <w:t xml:space="preserve">eerjarig </w:t>
            </w:r>
            <w:r>
              <w:rPr>
                <w:rFonts w:ascii="Calibri" w:hAnsi="Calibri" w:cs="Calibri"/>
                <w:color w:val="000000"/>
              </w:rPr>
              <w:t>Financieel K</w:t>
            </w:r>
            <w:r w:rsidRPr="00C75908" w:rsidR="00C75908">
              <w:rPr>
                <w:rFonts w:ascii="Calibri" w:hAnsi="Calibri" w:cs="Calibri"/>
                <w:color w:val="000000"/>
              </w:rPr>
              <w:t>ader voor 2021-2027, waaronder</w:t>
            </w:r>
            <w:r w:rsidR="00C75908">
              <w:rPr>
                <w:rFonts w:ascii="Calibri" w:hAnsi="Calibri" w:cs="Calibri"/>
                <w:color w:val="000000"/>
              </w:rPr>
              <w:t xml:space="preserve"> voor het ELFPO. De voorgestelde wijzigingen moeten dit mogelijk maken. </w:t>
            </w:r>
            <w:r w:rsidR="00462B96">
              <w:rPr>
                <w:rFonts w:ascii="Calibri" w:hAnsi="Calibri" w:cs="Calibri"/>
                <w:color w:val="000000"/>
              </w:rPr>
              <w:t>Het betreft 15 miljard euro</w:t>
            </w:r>
            <w:r w:rsidR="00B520C3">
              <w:rPr>
                <w:rFonts w:ascii="Calibri" w:hAnsi="Calibri" w:cs="Calibri"/>
                <w:color w:val="000000"/>
              </w:rPr>
              <w:t xml:space="preserve"> </w:t>
            </w:r>
            <w:r w:rsidR="00462B96">
              <w:rPr>
                <w:rFonts w:ascii="Calibri" w:hAnsi="Calibri" w:cs="Calibri"/>
                <w:color w:val="000000"/>
              </w:rPr>
              <w:t>(in 2018 prijzen) die</w:t>
            </w:r>
            <w:r w:rsidR="00E16EC6">
              <w:rPr>
                <w:rFonts w:ascii="Calibri" w:hAnsi="Calibri" w:cs="Calibri"/>
                <w:color w:val="000000"/>
              </w:rPr>
              <w:t xml:space="preserve"> </w:t>
            </w:r>
            <w:r>
              <w:rPr>
                <w:rFonts w:ascii="Calibri" w:hAnsi="Calibri" w:cs="Calibri"/>
                <w:color w:val="000000"/>
              </w:rPr>
              <w:t xml:space="preserve">via </w:t>
            </w:r>
            <w:r w:rsidR="003D55F7">
              <w:rPr>
                <w:rFonts w:ascii="Calibri" w:hAnsi="Calibri" w:cs="Calibri"/>
                <w:color w:val="000000"/>
              </w:rPr>
              <w:t>het herstelprogramma</w:t>
            </w:r>
            <w:r w:rsidR="00E16EC6">
              <w:rPr>
                <w:rFonts w:ascii="Calibri" w:hAnsi="Calibri" w:cs="Calibri"/>
                <w:color w:val="000000"/>
              </w:rPr>
              <w:t xml:space="preserve"> </w:t>
            </w:r>
            <w:r w:rsidR="00B520C3">
              <w:rPr>
                <w:rFonts w:ascii="Calibri" w:hAnsi="Calibri" w:cs="Calibri"/>
                <w:color w:val="000000"/>
              </w:rPr>
              <w:t xml:space="preserve">extra </w:t>
            </w:r>
            <w:r w:rsidR="00DF0243">
              <w:rPr>
                <w:rFonts w:ascii="Calibri" w:hAnsi="Calibri" w:cs="Calibri"/>
                <w:color w:val="000000"/>
              </w:rPr>
              <w:t xml:space="preserve">beschikbaar komt </w:t>
            </w:r>
            <w:r w:rsidR="00462B96">
              <w:rPr>
                <w:rFonts w:ascii="Calibri" w:hAnsi="Calibri" w:cs="Calibri"/>
                <w:color w:val="000000"/>
              </w:rPr>
              <w:t>voor het ELFPO-</w:t>
            </w:r>
            <w:r w:rsidR="00B520C3">
              <w:rPr>
                <w:rFonts w:ascii="Calibri" w:hAnsi="Calibri" w:cs="Calibri"/>
                <w:color w:val="000000"/>
              </w:rPr>
              <w:t>programma</w:t>
            </w:r>
            <w:r w:rsidR="004E39E4">
              <w:rPr>
                <w:rFonts w:ascii="Calibri" w:hAnsi="Calibri" w:cs="Calibri"/>
                <w:color w:val="000000"/>
              </w:rPr>
              <w:t xml:space="preserve"> en het uitvoeren van herstel- en vee</w:t>
            </w:r>
            <w:bookmarkStart w:name="_GoBack" w:id="0"/>
            <w:bookmarkEnd w:id="0"/>
            <w:r w:rsidR="004E39E4">
              <w:rPr>
                <w:rFonts w:ascii="Calibri" w:hAnsi="Calibri" w:cs="Calibri"/>
                <w:color w:val="000000"/>
              </w:rPr>
              <w:t>rkrachtmaatregelen</w:t>
            </w:r>
            <w:r w:rsidR="00B520C3">
              <w:rPr>
                <w:rFonts w:ascii="Calibri" w:hAnsi="Calibri" w:cs="Calibri"/>
                <w:color w:val="000000"/>
              </w:rPr>
              <w:t xml:space="preserve">. </w:t>
            </w:r>
            <w:r w:rsidR="00983D2E">
              <w:rPr>
                <w:rFonts w:ascii="Calibri" w:hAnsi="Calibri" w:cs="Calibri"/>
                <w:color w:val="000000"/>
              </w:rPr>
              <w:t>Het budget wordt gealloceerd op dezelfde</w:t>
            </w:r>
            <w:r w:rsidR="00462B96">
              <w:rPr>
                <w:rFonts w:ascii="Calibri" w:hAnsi="Calibri" w:cs="Calibri"/>
                <w:color w:val="000000"/>
              </w:rPr>
              <w:t xml:space="preserve"> manier als het reguliere ELFPO-</w:t>
            </w:r>
            <w:r w:rsidR="00983D2E">
              <w:rPr>
                <w:rFonts w:ascii="Calibri" w:hAnsi="Calibri" w:cs="Calibri"/>
                <w:color w:val="000000"/>
              </w:rPr>
              <w:t>budget.</w:t>
            </w:r>
          </w:p>
          <w:p w:rsidR="009F713B" w:rsidP="00880032" w:rsidRDefault="009815F6" w14:paraId="17D47191" w14:textId="09268883">
            <w:pPr>
              <w:pBdr>
                <w:top w:val="nil"/>
                <w:left w:val="nil"/>
                <w:bottom w:val="nil"/>
                <w:right w:val="nil"/>
                <w:between w:val="nil"/>
                <w:bar w:val="nil"/>
              </w:pBdr>
              <w:spacing w:after="240"/>
              <w:rPr>
                <w:rFonts w:ascii="Calibri" w:hAnsi="Calibri" w:cs="Calibri"/>
                <w:color w:val="000000"/>
              </w:rPr>
            </w:pPr>
            <w:r>
              <w:rPr>
                <w:rFonts w:ascii="Calibri" w:hAnsi="Calibri" w:cs="Calibri"/>
                <w:color w:val="000000"/>
              </w:rPr>
              <w:t>N.B. D</w:t>
            </w:r>
            <w:r w:rsidR="009F713B">
              <w:rPr>
                <w:rFonts w:ascii="Calibri" w:hAnsi="Calibri" w:cs="Calibri"/>
                <w:color w:val="000000"/>
              </w:rPr>
              <w:t>it voorstel is onderdeel van de sectorale voorstellen onder het voorstel voor een aangepast</w:t>
            </w:r>
            <w:r>
              <w:rPr>
                <w:rFonts w:ascii="Calibri" w:hAnsi="Calibri" w:cs="Calibri"/>
                <w:color w:val="000000"/>
              </w:rPr>
              <w:t xml:space="preserve"> MFK en EU-herstelpakket </w:t>
            </w:r>
            <w:r w:rsidR="009F713B">
              <w:rPr>
                <w:rFonts w:ascii="Calibri" w:hAnsi="Calibri" w:cs="Calibri"/>
                <w:color w:val="000000"/>
              </w:rPr>
              <w:t>dat op 27 mei jl. is gepresenteerd door de Europese Commissie. Na een eerste kabinetsappreciatie over de zeven belangrijkste</w:t>
            </w:r>
            <w:r w:rsidR="00B520C3">
              <w:rPr>
                <w:rFonts w:ascii="Calibri" w:hAnsi="Calibri" w:cs="Calibri"/>
                <w:color w:val="000000"/>
              </w:rPr>
              <w:t>/overkoepelende</w:t>
            </w:r>
            <w:r>
              <w:rPr>
                <w:rFonts w:ascii="Calibri" w:hAnsi="Calibri" w:cs="Calibri"/>
                <w:color w:val="000000"/>
              </w:rPr>
              <w:t xml:space="preserve"> voorstellen</w:t>
            </w:r>
            <w:r w:rsidR="009F713B">
              <w:rPr>
                <w:rFonts w:ascii="Calibri" w:hAnsi="Calibri" w:cs="Calibri"/>
                <w:color w:val="000000"/>
              </w:rPr>
              <w:t xml:space="preserve"> volgt nog een tweede kabinetsappreciatie over de sectorale voorstellen, waaron</w:t>
            </w:r>
            <w:r>
              <w:rPr>
                <w:rFonts w:ascii="Calibri" w:hAnsi="Calibri" w:cs="Calibri"/>
                <w:color w:val="000000"/>
              </w:rPr>
              <w:t>der het voorliggende voorstel. Deze</w:t>
            </w:r>
            <w:r w:rsidR="00B155A7">
              <w:rPr>
                <w:rFonts w:ascii="Calibri" w:hAnsi="Calibri" w:cs="Calibri"/>
                <w:color w:val="000000"/>
              </w:rPr>
              <w:t xml:space="preserve"> wordt uiterlijk 8 juli verwacht.</w:t>
            </w:r>
          </w:p>
          <w:p w:rsidRPr="003538A0" w:rsidR="003538A0" w:rsidP="004E406F" w:rsidRDefault="003538A0" w14:paraId="736B71ED" w14:textId="7F208BD1">
            <w:pPr>
              <w:pBdr>
                <w:top w:val="nil"/>
                <w:left w:val="nil"/>
                <w:bottom w:val="nil"/>
                <w:right w:val="nil"/>
                <w:between w:val="nil"/>
                <w:bar w:val="nil"/>
              </w:pBdr>
              <w:spacing w:after="240"/>
              <w:rPr>
                <w:rFonts w:ascii="Calibri" w:hAnsi="Calibri" w:cs="Calibri"/>
                <w:color w:val="000000"/>
              </w:rPr>
            </w:pPr>
            <w:r>
              <w:rPr>
                <w:rFonts w:ascii="Calibri" w:hAnsi="Calibri" w:cs="Calibri"/>
                <w:b/>
                <w:color w:val="000000"/>
              </w:rPr>
              <w:t>Behandelvoorstel</w:t>
            </w:r>
            <w:r>
              <w:rPr>
                <w:rFonts w:ascii="Calibri" w:hAnsi="Calibri" w:cs="Calibri"/>
                <w:color w:val="000000"/>
              </w:rPr>
              <w:t>:</w:t>
            </w:r>
            <w:r w:rsidR="00232130">
              <w:rPr>
                <w:rFonts w:ascii="Calibri" w:hAnsi="Calibri" w:cs="Calibri"/>
                <w:color w:val="000000"/>
              </w:rPr>
              <w:t xml:space="preserve"> </w:t>
            </w:r>
            <w:r w:rsidR="00B520C3">
              <w:rPr>
                <w:rFonts w:ascii="Calibri" w:hAnsi="Calibri" w:cs="Calibri"/>
                <w:color w:val="000000"/>
              </w:rPr>
              <w:t xml:space="preserve">het voorstel betrekken bij het </w:t>
            </w:r>
            <w:r w:rsidR="00232130">
              <w:rPr>
                <w:rFonts w:ascii="Calibri" w:hAnsi="Calibri" w:cs="Calibri"/>
                <w:color w:val="000000"/>
              </w:rPr>
              <w:t>AO L&amp;V Raad op 24 juni</w:t>
            </w:r>
            <w:r w:rsidR="009815F6">
              <w:rPr>
                <w:rFonts w:ascii="Calibri" w:hAnsi="Calibri" w:cs="Calibri"/>
                <w:color w:val="000000"/>
              </w:rPr>
              <w:t xml:space="preserve"> 2020</w:t>
            </w:r>
            <w:r w:rsidR="00232130">
              <w:rPr>
                <w:rFonts w:ascii="Calibri" w:hAnsi="Calibri" w:cs="Calibri"/>
                <w:color w:val="000000"/>
              </w:rPr>
              <w:t xml:space="preserve">. </w:t>
            </w:r>
            <w:r w:rsidR="009815F6">
              <w:rPr>
                <w:rFonts w:ascii="Calibri" w:hAnsi="Calibri" w:cs="Calibri"/>
                <w:color w:val="000000"/>
              </w:rPr>
              <w:t>Na ontvang</w:t>
            </w:r>
            <w:r w:rsidR="00462B96">
              <w:rPr>
                <w:rFonts w:ascii="Calibri" w:hAnsi="Calibri" w:cs="Calibri"/>
                <w:color w:val="000000"/>
              </w:rPr>
              <w:t>s</w:t>
            </w:r>
            <w:r w:rsidR="009815F6">
              <w:rPr>
                <w:rFonts w:ascii="Calibri" w:hAnsi="Calibri" w:cs="Calibri"/>
                <w:color w:val="000000"/>
              </w:rPr>
              <w:t>t kan de</w:t>
            </w:r>
            <w:r w:rsidR="004E406F">
              <w:rPr>
                <w:rFonts w:ascii="Calibri" w:hAnsi="Calibri" w:cs="Calibri"/>
                <w:color w:val="000000"/>
              </w:rPr>
              <w:t xml:space="preserve"> appreciatie</w:t>
            </w:r>
            <w:r w:rsidR="009815F6">
              <w:rPr>
                <w:rFonts w:ascii="Calibri" w:hAnsi="Calibri" w:cs="Calibri"/>
                <w:color w:val="000000"/>
              </w:rPr>
              <w:t xml:space="preserve"> vervolgens worden geagendeerd voor het </w:t>
            </w:r>
            <w:r w:rsidR="004E406F">
              <w:rPr>
                <w:rFonts w:ascii="Calibri" w:hAnsi="Calibri" w:cs="Calibri"/>
                <w:color w:val="000000"/>
              </w:rPr>
              <w:t xml:space="preserve">AO of SO </w:t>
            </w:r>
            <w:r w:rsidR="009815F6">
              <w:rPr>
                <w:rFonts w:ascii="Calibri" w:hAnsi="Calibri" w:cs="Calibri"/>
                <w:color w:val="000000"/>
              </w:rPr>
              <w:t xml:space="preserve">over de eerstvolgende </w:t>
            </w:r>
            <w:r w:rsidR="004E406F">
              <w:rPr>
                <w:rFonts w:ascii="Calibri" w:hAnsi="Calibri" w:cs="Calibri"/>
                <w:color w:val="000000"/>
              </w:rPr>
              <w:t>L&amp;</w:t>
            </w:r>
            <w:r w:rsidR="009815F6">
              <w:rPr>
                <w:rFonts w:ascii="Calibri" w:hAnsi="Calibri" w:cs="Calibri"/>
                <w:color w:val="000000"/>
              </w:rPr>
              <w:t>V Raad</w:t>
            </w:r>
            <w:r w:rsidR="004E406F">
              <w:rPr>
                <w:rFonts w:ascii="Calibri" w:hAnsi="Calibri" w:cs="Calibri"/>
                <w:color w:val="000000"/>
              </w:rPr>
              <w:t>.</w:t>
            </w:r>
          </w:p>
        </w:tc>
      </w:tr>
    </w:tbl>
    <w:p w:rsidRPr="00CE2E34" w:rsidR="00614A1B" w:rsidP="00C00215" w:rsidRDefault="00614A1B" w14:paraId="3B05FD17" w14:textId="77777777">
      <w:pPr>
        <w:spacing w:after="200" w:line="276" w:lineRule="auto"/>
        <w:rPr>
          <w:rFonts w:asciiTheme="minorHAnsi" w:hAnsiTheme="minorHAnsi"/>
          <w:b/>
          <w:sz w:val="22"/>
          <w:szCs w:val="22"/>
        </w:rPr>
      </w:pPr>
    </w:p>
    <w:p w:rsidRPr="00221383" w:rsidR="00C00215" w:rsidP="00C00215" w:rsidRDefault="00C00215" w14:paraId="6FCB277B" w14:textId="77777777">
      <w:pPr>
        <w:spacing w:after="200" w:line="276" w:lineRule="auto"/>
        <w:rPr>
          <w:rFonts w:asciiTheme="minorHAnsi" w:hAnsiTheme="minorHAnsi"/>
          <w:b/>
          <w:sz w:val="22"/>
          <w:szCs w:val="22"/>
        </w:rPr>
      </w:pPr>
      <w:r w:rsidRPr="00221383">
        <w:rPr>
          <w:rFonts w:asciiTheme="minorHAnsi" w:hAnsiTheme="minorHAnsi"/>
          <w:b/>
          <w:sz w:val="22"/>
          <w:szCs w:val="22"/>
        </w:rPr>
        <w:t>Bijlage: behandelmogelijkheden EU-voorstellen</w:t>
      </w:r>
    </w:p>
    <w:p w:rsidRPr="00221383" w:rsidR="00C00215" w:rsidP="00C00215" w:rsidRDefault="00C00215" w14:paraId="5FB68880" w14:textId="77777777">
      <w:pPr>
        <w:rPr>
          <w:rFonts w:asciiTheme="minorHAnsi" w:hAnsiTheme="minorHAnsi"/>
          <w:sz w:val="20"/>
          <w:szCs w:val="20"/>
        </w:rPr>
      </w:pPr>
      <w:r w:rsidRPr="00221383">
        <w:rPr>
          <w:rFonts w:asciiTheme="minorHAnsi" w:hAnsiTheme="minorHAnsi"/>
          <w:sz w:val="20"/>
          <w:szCs w:val="20"/>
        </w:rPr>
        <w:t xml:space="preserve">Hieronder treft u een overzicht aan van vaak voorkomende EU-instrumenten en een (niet uitputtend) overzicht van momenten waarop u als commissie of als fractie invloed kunt uitoefenen op de vorming van EU beleid: hetzij via het kabinet; hetzij zelf in Brussel. </w:t>
      </w:r>
    </w:p>
    <w:p w:rsidRPr="00221383" w:rsidR="00C00215" w:rsidP="00C00215" w:rsidRDefault="00C00215" w14:paraId="789F8936" w14:textId="77777777">
      <w:pPr>
        <w:rPr>
          <w:rFonts w:asciiTheme="minorHAnsi" w:hAnsiTheme="minorHAnsi"/>
          <w:sz w:val="20"/>
          <w:szCs w:val="20"/>
        </w:rPr>
      </w:pPr>
      <w:r w:rsidRPr="00221383">
        <w:rPr>
          <w:rFonts w:asciiTheme="minorHAnsi" w:hAnsiTheme="minorHAnsi"/>
          <w:sz w:val="20"/>
          <w:szCs w:val="20"/>
        </w:rPr>
        <w:t xml:space="preserve">Indien de Europese Commissie een als prioritair aangemerkt EU-voorstel publiceert, wordt dit met een behandelvoorstel op de agenda van een procedurevergadering geagendeerd. In EU-notities en EU-signaleringen, bijvoorbeeld ter voorbereiding op bijeenkomsten van Europese Raden, wordt ook ingegaan op parlementaire beïnvloedingsmomenten in het EU-proces. </w:t>
      </w:r>
    </w:p>
    <w:p w:rsidRPr="00221383" w:rsidR="00C00215" w:rsidP="00C00215" w:rsidRDefault="00C00215" w14:paraId="1B5FE058" w14:textId="77777777">
      <w:pPr>
        <w:pStyle w:val="Voetnoottekst"/>
        <w:rPr>
          <w:rFonts w:asciiTheme="minorHAnsi" w:hAnsiTheme="minorHAnsi"/>
        </w:rPr>
      </w:pPr>
    </w:p>
    <w:tbl>
      <w:tblPr>
        <w:tblStyle w:val="Tabelraster"/>
        <w:tblW w:w="14142" w:type="dxa"/>
        <w:tblLayout w:type="fixed"/>
        <w:tblLook w:val="04A0" w:firstRow="1" w:lastRow="0" w:firstColumn="1" w:lastColumn="0" w:noHBand="0" w:noVBand="1"/>
      </w:tblPr>
      <w:tblGrid>
        <w:gridCol w:w="2093"/>
        <w:gridCol w:w="6946"/>
        <w:gridCol w:w="5103"/>
      </w:tblGrid>
      <w:tr w:rsidRPr="00221383" w:rsidR="00C00215" w:rsidTr="00014FF3" w14:paraId="7CD03EE3" w14:textId="77777777">
        <w:tc>
          <w:tcPr>
            <w:tcW w:w="2093" w:type="dxa"/>
          </w:tcPr>
          <w:p w:rsidRPr="00221383" w:rsidR="00C00215" w:rsidP="00014FF3" w:rsidRDefault="00C00215" w14:paraId="482E5008" w14:textId="77777777">
            <w:pPr>
              <w:pStyle w:val="Voetnoottekst"/>
              <w:rPr>
                <w:rFonts w:asciiTheme="minorHAnsi" w:hAnsiTheme="minorHAnsi"/>
                <w:b/>
              </w:rPr>
            </w:pPr>
            <w:r w:rsidRPr="00221383">
              <w:rPr>
                <w:rFonts w:asciiTheme="minorHAnsi" w:hAnsiTheme="minorHAnsi"/>
                <w:b/>
              </w:rPr>
              <w:t>Soort Instrument</w:t>
            </w:r>
          </w:p>
        </w:tc>
        <w:tc>
          <w:tcPr>
            <w:tcW w:w="6946" w:type="dxa"/>
          </w:tcPr>
          <w:p w:rsidRPr="00221383" w:rsidR="00C00215" w:rsidP="00014FF3" w:rsidRDefault="00C00215" w14:paraId="33C1285C" w14:textId="77777777">
            <w:pPr>
              <w:pStyle w:val="Voetnoottekst"/>
              <w:rPr>
                <w:rFonts w:asciiTheme="minorHAnsi" w:hAnsiTheme="minorHAnsi"/>
                <w:b/>
              </w:rPr>
            </w:pPr>
            <w:r w:rsidRPr="00221383">
              <w:rPr>
                <w:rFonts w:asciiTheme="minorHAnsi" w:hAnsiTheme="minorHAnsi"/>
                <w:b/>
              </w:rPr>
              <w:t>Toelichting</w:t>
            </w:r>
          </w:p>
        </w:tc>
        <w:tc>
          <w:tcPr>
            <w:tcW w:w="5103" w:type="dxa"/>
          </w:tcPr>
          <w:p w:rsidRPr="00221383" w:rsidR="00C00215" w:rsidP="00014FF3" w:rsidRDefault="00C00215" w14:paraId="14362904" w14:textId="77777777">
            <w:pPr>
              <w:pStyle w:val="Voetnoottekst"/>
              <w:rPr>
                <w:rFonts w:asciiTheme="minorHAnsi" w:hAnsiTheme="minorHAnsi"/>
                <w:b/>
              </w:rPr>
            </w:pPr>
            <w:r w:rsidRPr="00221383">
              <w:rPr>
                <w:rFonts w:asciiTheme="minorHAnsi" w:hAnsiTheme="minorHAnsi"/>
                <w:b/>
              </w:rPr>
              <w:t xml:space="preserve">Mogelijke beïnvloedingsmomenten </w:t>
            </w:r>
          </w:p>
        </w:tc>
      </w:tr>
      <w:tr w:rsidRPr="00221383" w:rsidR="00C00215" w:rsidTr="00014FF3" w14:paraId="76FF3832" w14:textId="77777777">
        <w:tc>
          <w:tcPr>
            <w:tcW w:w="14142" w:type="dxa"/>
            <w:gridSpan w:val="3"/>
          </w:tcPr>
          <w:p w:rsidRPr="00221383" w:rsidR="00C00215" w:rsidP="00014FF3" w:rsidRDefault="00C00215" w14:paraId="5C0992C2" w14:textId="77777777">
            <w:pPr>
              <w:pStyle w:val="Voetnoottekst"/>
              <w:rPr>
                <w:rFonts w:asciiTheme="minorHAnsi" w:hAnsiTheme="minorHAnsi"/>
                <w:i/>
              </w:rPr>
            </w:pPr>
          </w:p>
          <w:p w:rsidRPr="00221383" w:rsidR="00C00215" w:rsidP="00014FF3" w:rsidRDefault="00C00215" w14:paraId="765005E6" w14:textId="77777777">
            <w:pPr>
              <w:pStyle w:val="Voetnoottekst"/>
              <w:rPr>
                <w:rFonts w:asciiTheme="minorHAnsi" w:hAnsiTheme="minorHAnsi"/>
                <w:i/>
              </w:rPr>
            </w:pPr>
            <w:r w:rsidRPr="00221383">
              <w:rPr>
                <w:rFonts w:asciiTheme="minorHAnsi" w:hAnsiTheme="minorHAnsi"/>
                <w:i/>
              </w:rPr>
              <w:t>Wetgevende, bindende rechtshandelingen</w:t>
            </w:r>
            <w:r w:rsidRPr="00221383">
              <w:rPr>
                <w:rStyle w:val="Voetnootmarkering"/>
                <w:rFonts w:asciiTheme="minorHAnsi" w:hAnsiTheme="minorHAnsi"/>
                <w:i/>
              </w:rPr>
              <w:footnoteReference w:id="1"/>
            </w:r>
            <w:r w:rsidRPr="00221383">
              <w:rPr>
                <w:rFonts w:asciiTheme="minorHAnsi" w:hAnsiTheme="minorHAnsi"/>
                <w:i/>
              </w:rPr>
              <w:t xml:space="preserve"> </w:t>
            </w:r>
          </w:p>
        </w:tc>
      </w:tr>
      <w:tr w:rsidRPr="00221383" w:rsidR="00C00215" w:rsidTr="00014FF3" w14:paraId="43E5C4BB" w14:textId="77777777">
        <w:tc>
          <w:tcPr>
            <w:tcW w:w="2093" w:type="dxa"/>
          </w:tcPr>
          <w:p w:rsidRPr="00221383" w:rsidR="00C00215" w:rsidP="00014FF3" w:rsidRDefault="00C00215" w14:paraId="381BC8E1" w14:textId="77777777">
            <w:pPr>
              <w:pStyle w:val="Voetnoottekst"/>
              <w:rPr>
                <w:rFonts w:asciiTheme="minorHAnsi" w:hAnsiTheme="minorHAnsi"/>
              </w:rPr>
            </w:pPr>
            <w:r w:rsidRPr="00221383">
              <w:rPr>
                <w:rFonts w:asciiTheme="minorHAnsi" w:hAnsiTheme="minorHAnsi"/>
              </w:rPr>
              <w:t>Verordening</w:t>
            </w:r>
          </w:p>
        </w:tc>
        <w:tc>
          <w:tcPr>
            <w:tcW w:w="6946" w:type="dxa"/>
          </w:tcPr>
          <w:p w:rsidRPr="00221383" w:rsidR="00C00215" w:rsidP="00014FF3" w:rsidRDefault="00C00215" w14:paraId="1CF63D2D" w14:textId="77777777">
            <w:pPr>
              <w:pStyle w:val="Voetnoottekst"/>
              <w:rPr>
                <w:rFonts w:asciiTheme="minorHAnsi" w:hAnsiTheme="minorHAnsi"/>
              </w:rPr>
            </w:pPr>
            <w:r w:rsidRPr="00221383">
              <w:rPr>
                <w:rFonts w:asciiTheme="minorHAnsi" w:hAnsiTheme="minorHAnsi"/>
              </w:rPr>
              <w:t xml:space="preserve">Een verordening heeft een algemene strekking, is verbindend in al haar onderdelen en is rechtstreeks toepasselijk in elke lidstaat. Dit betekent dat een verordening algemene regels stelt die voor een ieder gelden, direct van toepassing zijn in de nationale rechtsorde en voorrang hebben op (eventueel strijdig) nationaal recht. Soms is aanvullende wetgeving nodig om de verordening volledig te operationaliseren (bijvoorbeeld bij het aanwijzen van een nationale toezichthouder). Een door de EU wetgever (Raad en/of Europees Parlement) aangenomen verordening komt niet terug in de Kamer voor behandeling. </w:t>
            </w:r>
          </w:p>
        </w:tc>
        <w:tc>
          <w:tcPr>
            <w:tcW w:w="5103" w:type="dxa"/>
            <w:vMerge w:val="restart"/>
          </w:tcPr>
          <w:p w:rsidRPr="00221383" w:rsidR="00C00215" w:rsidP="00014FF3" w:rsidRDefault="00C00215" w14:paraId="2D95AE3B" w14:textId="77777777">
            <w:pPr>
              <w:pStyle w:val="Voetnoottekst"/>
              <w:numPr>
                <w:ilvl w:val="0"/>
                <w:numId w:val="1"/>
              </w:numPr>
              <w:rPr>
                <w:rFonts w:asciiTheme="minorHAnsi" w:hAnsiTheme="minorHAnsi"/>
              </w:rPr>
            </w:pPr>
            <w:r w:rsidRPr="00221383">
              <w:rPr>
                <w:rFonts w:asciiTheme="minorHAnsi" w:hAnsiTheme="minorHAnsi"/>
              </w:rPr>
              <w:t>ambtenaren of Commissaris Europese Commissie (de ‘auteurs’) uitnodigen voor briefing/gesprek, evt. via videoconferentie.</w:t>
            </w:r>
          </w:p>
          <w:p w:rsidRPr="00221383" w:rsidR="00C00215" w:rsidP="00014FF3" w:rsidRDefault="00C00215" w14:paraId="6249E0D4" w14:textId="77777777">
            <w:pPr>
              <w:pStyle w:val="Voetnoottekst"/>
              <w:numPr>
                <w:ilvl w:val="0"/>
                <w:numId w:val="1"/>
              </w:numPr>
              <w:rPr>
                <w:rFonts w:asciiTheme="minorHAnsi" w:hAnsiTheme="minorHAnsi"/>
              </w:rPr>
            </w:pPr>
            <w:r w:rsidRPr="00221383">
              <w:rPr>
                <w:rFonts w:asciiTheme="minorHAnsi" w:hAnsiTheme="minorHAnsi"/>
              </w:rPr>
              <w:t>subsidiariteitstoets overwegen: let op termijn (zie hieronder).</w:t>
            </w:r>
          </w:p>
          <w:p w:rsidRPr="00221383" w:rsidR="00C00215" w:rsidP="00014FF3" w:rsidRDefault="00C00215" w14:paraId="47430539" w14:textId="77777777">
            <w:pPr>
              <w:pStyle w:val="Voetnoottekst"/>
              <w:numPr>
                <w:ilvl w:val="0"/>
                <w:numId w:val="1"/>
              </w:numPr>
              <w:rPr>
                <w:rFonts w:asciiTheme="minorHAnsi" w:hAnsiTheme="minorHAnsi"/>
              </w:rPr>
            </w:pPr>
            <w:r w:rsidRPr="00221383">
              <w:rPr>
                <w:rFonts w:asciiTheme="minorHAnsi" w:hAnsiTheme="minorHAnsi"/>
              </w:rPr>
              <w:t>behandelvoorbehoud overwegen: let op termijn (zie hieronder).</w:t>
            </w:r>
          </w:p>
          <w:p w:rsidRPr="00221383" w:rsidR="00C00215" w:rsidP="00014FF3" w:rsidRDefault="00C00215" w14:paraId="712C3E3C" w14:textId="77777777">
            <w:pPr>
              <w:pStyle w:val="Voetnoottekst"/>
              <w:numPr>
                <w:ilvl w:val="0"/>
                <w:numId w:val="1"/>
              </w:numPr>
              <w:rPr>
                <w:rFonts w:asciiTheme="minorHAnsi" w:hAnsiTheme="minorHAnsi"/>
              </w:rPr>
            </w:pPr>
            <w:r w:rsidRPr="00221383">
              <w:rPr>
                <w:rFonts w:asciiTheme="minorHAnsi" w:hAnsiTheme="minorHAnsi"/>
              </w:rPr>
              <w:t>ad-hoc rapporteur(s) binnen de commissie(s) benoemen.</w:t>
            </w:r>
          </w:p>
          <w:p w:rsidRPr="00221383" w:rsidR="00C00215" w:rsidP="00014FF3" w:rsidRDefault="00C00215" w14:paraId="495C7E87" w14:textId="77777777">
            <w:pPr>
              <w:pStyle w:val="Voetnoottekst"/>
              <w:numPr>
                <w:ilvl w:val="0"/>
                <w:numId w:val="1"/>
              </w:numPr>
              <w:rPr>
                <w:rFonts w:asciiTheme="minorHAnsi" w:hAnsiTheme="minorHAnsi"/>
              </w:rPr>
            </w:pPr>
            <w:r w:rsidRPr="00221383">
              <w:rPr>
                <w:rFonts w:asciiTheme="minorHAnsi" w:hAnsiTheme="minorHAnsi"/>
              </w:rPr>
              <w:t>tijdens overleg met kabinet NL onderhandelingsinzet aan de orde stellen, evt. aan de hand van het “BNC-fiche”.</w:t>
            </w:r>
            <w:r w:rsidRPr="00221383">
              <w:rPr>
                <w:rStyle w:val="Voetnootmarkering"/>
                <w:rFonts w:asciiTheme="minorHAnsi" w:hAnsiTheme="minorHAnsi"/>
              </w:rPr>
              <w:footnoteReference w:id="2"/>
            </w:r>
            <w:r w:rsidRPr="00221383">
              <w:rPr>
                <w:rFonts w:asciiTheme="minorHAnsi" w:hAnsiTheme="minorHAnsi"/>
              </w:rPr>
              <w:t xml:space="preserve"> </w:t>
            </w:r>
          </w:p>
          <w:p w:rsidRPr="00221383" w:rsidR="00C00215" w:rsidP="00014FF3" w:rsidRDefault="00C00215" w14:paraId="7C6EEF42" w14:textId="77777777">
            <w:pPr>
              <w:pStyle w:val="Voetnoottekst"/>
              <w:numPr>
                <w:ilvl w:val="0"/>
                <w:numId w:val="1"/>
              </w:numPr>
              <w:rPr>
                <w:rFonts w:asciiTheme="minorHAnsi" w:hAnsiTheme="minorHAnsi"/>
              </w:rPr>
            </w:pPr>
            <w:r w:rsidRPr="00221383">
              <w:rPr>
                <w:rFonts w:asciiTheme="minorHAnsi" w:hAnsiTheme="minorHAnsi"/>
              </w:rPr>
              <w:t>EP-rapporteur uitnodigen, evt. via videoconferentie.</w:t>
            </w:r>
            <w:r w:rsidRPr="00221383">
              <w:rPr>
                <w:rFonts w:asciiTheme="minorHAnsi" w:hAnsiTheme="minorHAnsi"/>
              </w:rPr>
              <w:br/>
            </w:r>
            <w:r w:rsidRPr="00221383">
              <w:rPr>
                <w:rFonts w:asciiTheme="minorHAnsi" w:hAnsiTheme="minorHAnsi"/>
              </w:rPr>
              <w:br/>
            </w:r>
          </w:p>
          <w:p w:rsidRPr="00221383" w:rsidR="00C00215" w:rsidP="00014FF3" w:rsidRDefault="00C00215" w14:paraId="46DDBE99" w14:textId="77777777">
            <w:pPr>
              <w:pStyle w:val="Voetnoottekst"/>
              <w:numPr>
                <w:ilvl w:val="0"/>
                <w:numId w:val="1"/>
              </w:numPr>
              <w:rPr>
                <w:rFonts w:asciiTheme="minorHAnsi" w:hAnsiTheme="minorHAnsi"/>
              </w:rPr>
            </w:pPr>
            <w:r w:rsidRPr="00221383">
              <w:rPr>
                <w:rFonts w:asciiTheme="minorHAnsi" w:hAnsiTheme="minorHAnsi"/>
              </w:rPr>
              <w:lastRenderedPageBreak/>
              <w:t>NB: Pas na afronding van het onderhandelingstraject: nationale wetgevingstraject monitoren (</w:t>
            </w:r>
            <w:proofErr w:type="spellStart"/>
            <w:r w:rsidRPr="00221383">
              <w:rPr>
                <w:rFonts w:asciiTheme="minorHAnsi" w:hAnsiTheme="minorHAnsi"/>
              </w:rPr>
              <w:t>i.h.k.v</w:t>
            </w:r>
            <w:proofErr w:type="spellEnd"/>
            <w:r w:rsidRPr="00221383">
              <w:rPr>
                <w:rFonts w:asciiTheme="minorHAnsi" w:hAnsiTheme="minorHAnsi"/>
              </w:rPr>
              <w:t>. omzetting naar nationale wetgeving).</w:t>
            </w:r>
          </w:p>
        </w:tc>
      </w:tr>
      <w:tr w:rsidRPr="00221383" w:rsidR="00C00215" w:rsidTr="00014FF3" w14:paraId="0735E112" w14:textId="77777777">
        <w:tc>
          <w:tcPr>
            <w:tcW w:w="2093" w:type="dxa"/>
          </w:tcPr>
          <w:p w:rsidRPr="00221383" w:rsidR="00C00215" w:rsidP="00014FF3" w:rsidRDefault="00C00215" w14:paraId="60B908E8" w14:textId="77777777">
            <w:pPr>
              <w:pStyle w:val="Voetnoottekst"/>
              <w:rPr>
                <w:rFonts w:asciiTheme="minorHAnsi" w:hAnsiTheme="minorHAnsi"/>
              </w:rPr>
            </w:pPr>
            <w:r w:rsidRPr="00221383">
              <w:rPr>
                <w:rFonts w:asciiTheme="minorHAnsi" w:hAnsiTheme="minorHAnsi"/>
              </w:rPr>
              <w:t xml:space="preserve">Richtlijn </w:t>
            </w:r>
          </w:p>
        </w:tc>
        <w:tc>
          <w:tcPr>
            <w:tcW w:w="6946" w:type="dxa"/>
          </w:tcPr>
          <w:p w:rsidRPr="00221383" w:rsidR="00C00215" w:rsidP="00014FF3" w:rsidRDefault="00C00215" w14:paraId="3597975B" w14:textId="77777777">
            <w:pPr>
              <w:pStyle w:val="Voetnoottekst"/>
              <w:rPr>
                <w:rFonts w:asciiTheme="minorHAnsi" w:hAnsiTheme="minorHAnsi"/>
              </w:rPr>
            </w:pPr>
            <w:r w:rsidRPr="00221383">
              <w:rPr>
                <w:rFonts w:asciiTheme="minorHAnsi" w:hAnsiTheme="minorHAnsi"/>
              </w:rPr>
              <w:t xml:space="preserve">Een richtlijn is verbindend ten aanzien van het te bereiken resultaat - aan de nationale instanties wordt de bevoegdheid gelaten vorm en middelen te kiezen. Lidstaten dienen richtlijnen om te zetten in nationaal recht - pas dan treden de regels in werking. Een richtlijn laat zo ruimte aan lidstaten om zelf invulling te geven aan het verwezenlijken van een gemeenschappelijk vastgesteld doel. In de praktijk kunnen richtlijnen zeer gedetailleerde bepalingen bevatten. Daarnaast bieden richtlijnen geen soms geen enkele ruimte om andere regels te stellen. Een </w:t>
            </w:r>
            <w:r w:rsidRPr="00221383">
              <w:rPr>
                <w:rFonts w:asciiTheme="minorHAnsi" w:hAnsiTheme="minorHAnsi"/>
              </w:rPr>
              <w:lastRenderedPageBreak/>
              <w:t xml:space="preserve">aangenomen richtlijn komt terug in de Kamer indien er implementatiewetgeving wordt voorgesteld. </w:t>
            </w:r>
          </w:p>
        </w:tc>
        <w:tc>
          <w:tcPr>
            <w:tcW w:w="5103" w:type="dxa"/>
            <w:vMerge/>
          </w:tcPr>
          <w:p w:rsidRPr="00221383" w:rsidR="00C00215" w:rsidP="00014FF3" w:rsidRDefault="00C00215" w14:paraId="13964731" w14:textId="77777777">
            <w:pPr>
              <w:pStyle w:val="Voetnoottekst"/>
              <w:numPr>
                <w:ilvl w:val="0"/>
                <w:numId w:val="2"/>
              </w:numPr>
              <w:ind w:left="317" w:hanging="283"/>
              <w:rPr>
                <w:rFonts w:asciiTheme="minorHAnsi" w:hAnsiTheme="minorHAnsi"/>
              </w:rPr>
            </w:pPr>
          </w:p>
        </w:tc>
      </w:tr>
      <w:tr w:rsidRPr="00221383" w:rsidR="00C00215" w:rsidTr="00014FF3" w14:paraId="7B57F4CB" w14:textId="77777777">
        <w:tc>
          <w:tcPr>
            <w:tcW w:w="2093" w:type="dxa"/>
          </w:tcPr>
          <w:p w:rsidRPr="00221383" w:rsidR="00C00215" w:rsidP="00014FF3" w:rsidRDefault="00C00215" w14:paraId="390820D8" w14:textId="77777777">
            <w:pPr>
              <w:pStyle w:val="Voetnoottekst"/>
              <w:rPr>
                <w:rFonts w:asciiTheme="minorHAnsi" w:hAnsiTheme="minorHAnsi"/>
              </w:rPr>
            </w:pPr>
            <w:r w:rsidRPr="00221383">
              <w:rPr>
                <w:rFonts w:asciiTheme="minorHAnsi" w:hAnsiTheme="minorHAnsi"/>
              </w:rPr>
              <w:t>(Besluit)</w:t>
            </w:r>
          </w:p>
        </w:tc>
        <w:tc>
          <w:tcPr>
            <w:tcW w:w="6946" w:type="dxa"/>
          </w:tcPr>
          <w:p w:rsidRPr="00221383" w:rsidR="00C00215" w:rsidP="00014FF3" w:rsidRDefault="00C00215" w14:paraId="07E0C5E1" w14:textId="77777777">
            <w:pPr>
              <w:pStyle w:val="Voetnoottekst"/>
              <w:rPr>
                <w:rFonts w:asciiTheme="minorHAnsi" w:hAnsiTheme="minorHAnsi"/>
              </w:rPr>
            </w:pPr>
            <w:r w:rsidRPr="00221383">
              <w:rPr>
                <w:rFonts w:asciiTheme="minorHAnsi" w:hAnsiTheme="minorHAnsi"/>
              </w:rPr>
              <w:t xml:space="preserve">Een besluit is verbindend in al zijn onderdelen. Indien de adressanten worden vermeld, is zij alleen voor hen verbindend. Met besluiten kunnen algemeen verbindende voorschriften worden toegepast op een concreet geval. Daarnaast kunnen besluiten ook algemeen verbindende voorschriften bevatten. In dat laatste geval is sprake van een wetgevende handeling, in dat eerste geval niet. </w:t>
            </w:r>
            <w:r w:rsidRPr="00221383">
              <w:rPr>
                <w:rFonts w:asciiTheme="minorHAnsi" w:hAnsiTheme="minorHAnsi"/>
              </w:rPr>
              <w:br/>
              <w:t xml:space="preserve">Voor wetgevende besluiten kan gekozen worden als richtlijnen en verordeningen niet geschikt zijn als instrument. Niet-wetgevende besluiten kunnen gericht zijn tot individuele of alle lidstaten (bv. maatregelen tegen onrechtmatige staatssteun) of individuen (natuurlijke personen en rechtspersonen) (bv in mededingingszaken). Verder is er nog een aantal bijzondere besluiten, zoals direct op de Verdragen gebaseerde uitvoeringsbepalingen; besluiten van de Europese Raad (bv het meerjarenplan op JBZ-gebied); en besluiten op het terrein van het Gemeenschappelijk Buitenlands- en Veiligheidsbeleid  en besluiten tot het sluiten van internationale verdragen. Deze zijn in de regel niet wetgevend. Indien een besluit alleen door de Commissie wordt genomen, is het een niet-wetgevend besluit. Besluiten op voorstel van de Europese Commissie, genomen door de Raad en het Parlement zullen in de regel wetgevend zijn. Dit zal van geval tot geval moeten worden beoordeeld. </w:t>
            </w:r>
          </w:p>
        </w:tc>
        <w:tc>
          <w:tcPr>
            <w:tcW w:w="5103" w:type="dxa"/>
            <w:vMerge/>
          </w:tcPr>
          <w:p w:rsidRPr="00221383" w:rsidR="00C00215" w:rsidP="00014FF3" w:rsidRDefault="00C00215" w14:paraId="5514002F" w14:textId="77777777">
            <w:pPr>
              <w:pStyle w:val="Voetnoottekst"/>
              <w:numPr>
                <w:ilvl w:val="0"/>
                <w:numId w:val="2"/>
              </w:numPr>
              <w:ind w:left="317" w:hanging="283"/>
              <w:rPr>
                <w:rFonts w:asciiTheme="minorHAnsi" w:hAnsiTheme="minorHAnsi"/>
              </w:rPr>
            </w:pPr>
          </w:p>
        </w:tc>
      </w:tr>
      <w:tr w:rsidRPr="00221383" w:rsidR="00C00215" w:rsidTr="00014FF3" w14:paraId="40BDBB92" w14:textId="77777777">
        <w:tc>
          <w:tcPr>
            <w:tcW w:w="14142" w:type="dxa"/>
            <w:gridSpan w:val="3"/>
          </w:tcPr>
          <w:p w:rsidRPr="00221383" w:rsidR="00C00215" w:rsidP="00014FF3" w:rsidRDefault="00C00215" w14:paraId="78571B42" w14:textId="77777777">
            <w:pPr>
              <w:pStyle w:val="Voetnoottekst"/>
              <w:rPr>
                <w:rFonts w:asciiTheme="minorHAnsi" w:hAnsiTheme="minorHAnsi"/>
                <w:i/>
              </w:rPr>
            </w:pPr>
            <w:r w:rsidRPr="00221383">
              <w:rPr>
                <w:rFonts w:asciiTheme="minorHAnsi" w:hAnsiTheme="minorHAnsi"/>
                <w:i/>
              </w:rPr>
              <w:t>Niet-wetgevende bindende rechtshandelingen</w:t>
            </w:r>
          </w:p>
        </w:tc>
      </w:tr>
      <w:tr w:rsidRPr="00221383" w:rsidR="00C00215" w:rsidTr="00014FF3" w14:paraId="4732BB7B" w14:textId="77777777">
        <w:tc>
          <w:tcPr>
            <w:tcW w:w="2093" w:type="dxa"/>
          </w:tcPr>
          <w:p w:rsidRPr="00221383" w:rsidR="00C00215" w:rsidP="00014FF3" w:rsidRDefault="00C00215" w14:paraId="49D1AEF9" w14:textId="77777777">
            <w:pPr>
              <w:pStyle w:val="Voetnoottekst"/>
              <w:rPr>
                <w:rFonts w:asciiTheme="minorHAnsi" w:hAnsiTheme="minorHAnsi"/>
              </w:rPr>
            </w:pPr>
            <w:r w:rsidRPr="00221383">
              <w:rPr>
                <w:rFonts w:asciiTheme="minorHAnsi" w:hAnsiTheme="minorHAnsi"/>
              </w:rPr>
              <w:t>Gedelegeerde handeling</w:t>
            </w:r>
          </w:p>
        </w:tc>
        <w:tc>
          <w:tcPr>
            <w:tcW w:w="6946" w:type="dxa"/>
          </w:tcPr>
          <w:p w:rsidRPr="00221383" w:rsidR="00C00215" w:rsidP="00014FF3" w:rsidRDefault="00C00215" w14:paraId="0C32659F" w14:textId="77777777">
            <w:pPr>
              <w:pStyle w:val="Voetnoottekst"/>
              <w:rPr>
                <w:rFonts w:asciiTheme="minorHAnsi" w:hAnsiTheme="minorHAnsi"/>
              </w:rPr>
            </w:pPr>
            <w:r w:rsidRPr="00221383">
              <w:rPr>
                <w:rFonts w:asciiTheme="minorHAnsi" w:hAnsiTheme="minorHAnsi"/>
              </w:rPr>
              <w:t xml:space="preserve">In een wetgevingshandeling (richtlijn, verordening) kan aan de Europese Commissie de bevoegdheid worden overgedragen om niet-wetgevingshandelingen van algemene strekking vast te stellen ter aanvulling of wijziging van bepaalde niet-essentiële onderdelen van de wetgevingshandeling. Essentiële onderdelen van een gebied worden uitsluitend bij een wetgevingshandeling geregeld en kunnen derhalve niet het voorwerp zijn van bevoegdheidsdelegatie. Experts, o.a. uit nationale lidstaten geven in een expertgroep advies over een voorstel tot gedelegeerde handeling. De Commissie stelt de handeling vast. Raad en Europees Parlement kunnen bezwaar maken of de bevoegdheid van de Commissie om de gedelegeerde handeling vast te stellen intrekken. </w:t>
            </w:r>
          </w:p>
        </w:tc>
        <w:tc>
          <w:tcPr>
            <w:tcW w:w="5103" w:type="dxa"/>
          </w:tcPr>
          <w:p w:rsidRPr="00221383" w:rsidR="00C00215" w:rsidP="00014FF3" w:rsidRDefault="00C00215" w14:paraId="04712C1A" w14:textId="77777777">
            <w:pPr>
              <w:pStyle w:val="Voetnoottekst"/>
              <w:numPr>
                <w:ilvl w:val="0"/>
                <w:numId w:val="1"/>
              </w:numPr>
              <w:rPr>
                <w:rFonts w:asciiTheme="minorHAnsi" w:hAnsiTheme="minorHAnsi"/>
              </w:rPr>
            </w:pPr>
            <w:r w:rsidRPr="00221383">
              <w:rPr>
                <w:rFonts w:asciiTheme="minorHAnsi" w:hAnsiTheme="minorHAnsi"/>
              </w:rPr>
              <w:t>kabinet per brief of tijdens overleg bevragen over stand van zaken en appreciatie EU onderhandelingen en NL inzet, inclusief het voornemen van NL of andere lidstaten om binnen de Raad een bezwaarprocedure te initiëren of een procedure tot intrekking van de delegatie.</w:t>
            </w:r>
          </w:p>
          <w:p w:rsidRPr="00221383" w:rsidR="00C00215" w:rsidP="00014FF3" w:rsidRDefault="00C00215" w14:paraId="04B5A2C9" w14:textId="77777777">
            <w:pPr>
              <w:pStyle w:val="Voetnoottekst"/>
              <w:ind w:left="360"/>
              <w:rPr>
                <w:rFonts w:asciiTheme="minorHAnsi" w:hAnsiTheme="minorHAnsi"/>
              </w:rPr>
            </w:pPr>
          </w:p>
        </w:tc>
      </w:tr>
      <w:tr w:rsidRPr="00221383" w:rsidR="00C00215" w:rsidTr="00014FF3" w14:paraId="0D51170A" w14:textId="77777777">
        <w:tc>
          <w:tcPr>
            <w:tcW w:w="2093" w:type="dxa"/>
          </w:tcPr>
          <w:p w:rsidRPr="00221383" w:rsidR="00C00215" w:rsidP="00014FF3" w:rsidRDefault="00C00215" w14:paraId="004F3BF3" w14:textId="77777777">
            <w:pPr>
              <w:pStyle w:val="Voetnoottekst"/>
              <w:rPr>
                <w:rFonts w:asciiTheme="minorHAnsi" w:hAnsiTheme="minorHAnsi"/>
              </w:rPr>
            </w:pPr>
            <w:proofErr w:type="spellStart"/>
            <w:r w:rsidRPr="00221383">
              <w:rPr>
                <w:rFonts w:asciiTheme="minorHAnsi" w:hAnsiTheme="minorHAnsi"/>
              </w:rPr>
              <w:t>Uitvoerings-handeling</w:t>
            </w:r>
            <w:proofErr w:type="spellEnd"/>
          </w:p>
        </w:tc>
        <w:tc>
          <w:tcPr>
            <w:tcW w:w="6946" w:type="dxa"/>
          </w:tcPr>
          <w:p w:rsidRPr="00221383" w:rsidR="00C00215" w:rsidP="00014FF3" w:rsidRDefault="00C00215" w14:paraId="7ABB79B8" w14:textId="77777777">
            <w:pPr>
              <w:pStyle w:val="Voetnoottekst"/>
              <w:rPr>
                <w:rFonts w:asciiTheme="minorHAnsi" w:hAnsiTheme="minorHAnsi"/>
              </w:rPr>
            </w:pPr>
            <w:r w:rsidRPr="00221383">
              <w:rPr>
                <w:rFonts w:asciiTheme="minorHAnsi" w:hAnsiTheme="minorHAnsi"/>
              </w:rPr>
              <w:t xml:space="preserve">Indien de implementatie van Unierecht volgens uniforme standaarden van procedurele aard moeten plaatsvinden, kan de Europese Commissie de bevoegdheid worden overgedragen om uitvoeringshandelingen vast te stellen. Uitvoeringshandelingen gaan vaak om een nadere praktische of technische </w:t>
            </w:r>
            <w:r w:rsidRPr="00221383">
              <w:rPr>
                <w:rFonts w:asciiTheme="minorHAnsi" w:hAnsiTheme="minorHAnsi"/>
              </w:rPr>
              <w:lastRenderedPageBreak/>
              <w:t>uitwerking van regels die al bestaan, zoals templates, procedures, deadlines, etc. Er wordt over onderhandeld door comités van nationale ambtenaren, voorgezeten door de Europese Commissie. De Commissie stelt de uitvoeringshandeling vast.</w:t>
            </w:r>
          </w:p>
        </w:tc>
        <w:tc>
          <w:tcPr>
            <w:tcW w:w="5103" w:type="dxa"/>
          </w:tcPr>
          <w:p w:rsidRPr="00221383" w:rsidR="00C00215" w:rsidP="00014FF3" w:rsidRDefault="00C00215" w14:paraId="05397AA4" w14:textId="77777777">
            <w:pPr>
              <w:pStyle w:val="Voetnoottekst"/>
              <w:numPr>
                <w:ilvl w:val="0"/>
                <w:numId w:val="1"/>
              </w:numPr>
              <w:rPr>
                <w:rFonts w:asciiTheme="minorHAnsi" w:hAnsiTheme="minorHAnsi"/>
              </w:rPr>
            </w:pPr>
            <w:r w:rsidRPr="00221383">
              <w:rPr>
                <w:rFonts w:asciiTheme="minorHAnsi" w:hAnsiTheme="minorHAnsi"/>
              </w:rPr>
              <w:lastRenderedPageBreak/>
              <w:t>kabinet per brief of tijdens algemeen overleg/debat bevragen over stand van zaken en appreciatie EU onderhandelingen en NL inzet.</w:t>
            </w:r>
          </w:p>
          <w:p w:rsidRPr="00221383" w:rsidR="00C00215" w:rsidP="00014FF3" w:rsidRDefault="00C00215" w14:paraId="09228B92" w14:textId="77777777">
            <w:pPr>
              <w:numPr>
                <w:ilvl w:val="0"/>
                <w:numId w:val="1"/>
              </w:numPr>
              <w:rPr>
                <w:rFonts w:asciiTheme="minorHAnsi" w:hAnsiTheme="minorHAnsi"/>
                <w:sz w:val="20"/>
                <w:szCs w:val="20"/>
              </w:rPr>
            </w:pPr>
            <w:r w:rsidRPr="00221383">
              <w:rPr>
                <w:rFonts w:asciiTheme="minorHAnsi" w:hAnsiTheme="minorHAnsi"/>
                <w:color w:val="000000"/>
                <w:sz w:val="20"/>
                <w:szCs w:val="20"/>
              </w:rPr>
              <w:lastRenderedPageBreak/>
              <w:t xml:space="preserve">op basis van </w:t>
            </w:r>
            <w:r w:rsidRPr="00221383">
              <w:rPr>
                <w:rFonts w:asciiTheme="minorHAnsi" w:hAnsiTheme="minorHAnsi"/>
                <w:sz w:val="20"/>
                <w:szCs w:val="20"/>
              </w:rPr>
              <w:t xml:space="preserve">de </w:t>
            </w:r>
            <w:hyperlink w:history="1" r:id="rId12">
              <w:r w:rsidRPr="00221383">
                <w:rPr>
                  <w:rFonts w:asciiTheme="minorHAnsi" w:hAnsiTheme="minorHAnsi"/>
                  <w:sz w:val="20"/>
                  <w:szCs w:val="20"/>
                  <w:u w:val="single"/>
                </w:rPr>
                <w:t>(gewijzigde) motie Van Gent</w:t>
              </w:r>
            </w:hyperlink>
            <w:r w:rsidRPr="00221383">
              <w:rPr>
                <w:rFonts w:asciiTheme="minorHAnsi" w:hAnsiTheme="minorHAnsi"/>
                <w:color w:val="000000"/>
                <w:sz w:val="20"/>
                <w:szCs w:val="20"/>
              </w:rPr>
              <w:t xml:space="preserve"> dient het kabinet de Kamer afschriften te sturen van zijn correspondentie met de Europese Commissie over de uitvoering van Europese regelgeving.</w:t>
            </w:r>
          </w:p>
        </w:tc>
      </w:tr>
      <w:tr w:rsidRPr="00221383" w:rsidR="00C00215" w:rsidTr="00014FF3" w14:paraId="4E3E3ECF" w14:textId="77777777">
        <w:tc>
          <w:tcPr>
            <w:tcW w:w="2093" w:type="dxa"/>
          </w:tcPr>
          <w:p w:rsidRPr="00221383" w:rsidR="00C00215" w:rsidP="00014FF3" w:rsidRDefault="00C00215" w14:paraId="7AED9A8B" w14:textId="77777777">
            <w:pPr>
              <w:pStyle w:val="Voetnoottekst"/>
              <w:rPr>
                <w:rFonts w:asciiTheme="minorHAnsi" w:hAnsiTheme="minorHAnsi"/>
              </w:rPr>
            </w:pPr>
            <w:r w:rsidRPr="00221383">
              <w:rPr>
                <w:rFonts w:asciiTheme="minorHAnsi" w:hAnsiTheme="minorHAnsi"/>
              </w:rPr>
              <w:lastRenderedPageBreak/>
              <w:t>Handelingen vastgesteld volgens de regelgevingsprocedure met toetsing</w:t>
            </w:r>
          </w:p>
        </w:tc>
        <w:tc>
          <w:tcPr>
            <w:tcW w:w="6946" w:type="dxa"/>
          </w:tcPr>
          <w:p w:rsidRPr="00221383" w:rsidR="00C00215" w:rsidP="00014FF3" w:rsidRDefault="00C00215" w14:paraId="084EC461" w14:textId="77777777">
            <w:pPr>
              <w:rPr>
                <w:rFonts w:asciiTheme="minorHAnsi" w:hAnsiTheme="minorHAnsi"/>
                <w:sz w:val="20"/>
                <w:szCs w:val="20"/>
              </w:rPr>
            </w:pPr>
            <w:r w:rsidRPr="00221383">
              <w:rPr>
                <w:rFonts w:asciiTheme="minorHAnsi" w:hAnsiTheme="minorHAnsi"/>
                <w:sz w:val="20"/>
                <w:szCs w:val="20"/>
              </w:rPr>
              <w:t>Deze procedure komt nog voor in Europese wetgeving van voor 2009. Bij deze procedure wordt de Europese Commissie geadviseerd  door een zogeheten regelgevend comité met toetsing met  vertegenwoordigers van lidstaten. Dit comité spreekt zich met gekwalificeerde meerderheid van stemmen uit over het voorstel. EP en Raad kunnen bezwaar maken.</w:t>
            </w:r>
          </w:p>
        </w:tc>
        <w:tc>
          <w:tcPr>
            <w:tcW w:w="5103" w:type="dxa"/>
          </w:tcPr>
          <w:p w:rsidRPr="00221383" w:rsidR="00C00215" w:rsidP="00014FF3" w:rsidRDefault="00C00215" w14:paraId="50D076B5" w14:textId="77777777">
            <w:pPr>
              <w:pStyle w:val="Voetnoottekst"/>
              <w:numPr>
                <w:ilvl w:val="0"/>
                <w:numId w:val="1"/>
              </w:numPr>
              <w:rPr>
                <w:rFonts w:asciiTheme="minorHAnsi" w:hAnsiTheme="minorHAnsi"/>
              </w:rPr>
            </w:pPr>
            <w:r w:rsidRPr="00221383">
              <w:rPr>
                <w:rFonts w:asciiTheme="minorHAnsi" w:hAnsiTheme="minorHAnsi"/>
              </w:rPr>
              <w:t>kabinet per brief of tijdens overleg bevragen over stand van zaken en appreciatie EU onderhandelingen en NL inzet, inclusief het voornemen van NL of andere lidstaten om binnen de Raad een bezwaarprocedure te initiëren.</w:t>
            </w:r>
          </w:p>
          <w:p w:rsidRPr="00221383" w:rsidR="00C00215" w:rsidP="00014FF3" w:rsidRDefault="00C00215" w14:paraId="6866E3CE" w14:textId="77777777">
            <w:pPr>
              <w:pStyle w:val="Voetnoottekst"/>
              <w:numPr>
                <w:ilvl w:val="0"/>
                <w:numId w:val="1"/>
              </w:numPr>
              <w:rPr>
                <w:rFonts w:asciiTheme="minorHAnsi" w:hAnsiTheme="minorHAnsi"/>
              </w:rPr>
            </w:pPr>
          </w:p>
        </w:tc>
      </w:tr>
      <w:tr w:rsidRPr="00221383" w:rsidR="00C00215" w:rsidTr="00014FF3" w14:paraId="7409838C" w14:textId="77777777">
        <w:tc>
          <w:tcPr>
            <w:tcW w:w="2093" w:type="dxa"/>
          </w:tcPr>
          <w:p w:rsidRPr="00221383" w:rsidR="00C00215" w:rsidP="00014FF3" w:rsidRDefault="00C00215" w14:paraId="44FC7765" w14:textId="77777777">
            <w:pPr>
              <w:pStyle w:val="Voetnoottekst"/>
              <w:rPr>
                <w:rFonts w:asciiTheme="minorHAnsi" w:hAnsiTheme="minorHAnsi"/>
              </w:rPr>
            </w:pPr>
            <w:r w:rsidRPr="00221383">
              <w:rPr>
                <w:rFonts w:asciiTheme="minorHAnsi" w:hAnsiTheme="minorHAnsi"/>
              </w:rPr>
              <w:t>Bijzondere rechtshandelingen</w:t>
            </w:r>
          </w:p>
        </w:tc>
        <w:tc>
          <w:tcPr>
            <w:tcW w:w="6946" w:type="dxa"/>
          </w:tcPr>
          <w:p w:rsidRPr="00221383" w:rsidR="00C00215" w:rsidP="00014FF3" w:rsidRDefault="00C00215" w14:paraId="247D429F" w14:textId="77777777">
            <w:pPr>
              <w:pStyle w:val="Voetnoottekst"/>
              <w:rPr>
                <w:rFonts w:asciiTheme="minorHAnsi" w:hAnsiTheme="minorHAnsi"/>
              </w:rPr>
            </w:pPr>
            <w:r w:rsidRPr="00221383">
              <w:rPr>
                <w:rFonts w:asciiTheme="minorHAnsi" w:hAnsiTheme="minorHAnsi"/>
              </w:rPr>
              <w:t>Er bestaan nog andere typen niet-wetgevende rechtshandelingen waarvan op voorhand niet te zeggen zijn of zij bindend zijn of niet. Bijvoorbeeld meerjarige kaderprogramma’s of actieprogramma’s. Deze programma’s worden vastgesteld volgens dezelfde wetgevingsprocedures als richtlijnen en verordeningen. Het is zaak goed in de teksten te bezien wat de voorgestelde rechtskracht is.</w:t>
            </w:r>
          </w:p>
          <w:p w:rsidRPr="00221383" w:rsidR="00C00215" w:rsidP="00014FF3" w:rsidRDefault="00C00215" w14:paraId="74719AEF" w14:textId="77777777">
            <w:pPr>
              <w:pStyle w:val="Voetnoottekst"/>
              <w:rPr>
                <w:rFonts w:asciiTheme="minorHAnsi" w:hAnsiTheme="minorHAnsi"/>
              </w:rPr>
            </w:pPr>
          </w:p>
        </w:tc>
        <w:tc>
          <w:tcPr>
            <w:tcW w:w="5103" w:type="dxa"/>
          </w:tcPr>
          <w:p w:rsidRPr="00221383" w:rsidR="00C00215" w:rsidP="00014FF3" w:rsidRDefault="00C00215" w14:paraId="4551C679" w14:textId="77777777">
            <w:pPr>
              <w:pStyle w:val="Voetnoottekst"/>
              <w:numPr>
                <w:ilvl w:val="0"/>
                <w:numId w:val="1"/>
              </w:numPr>
              <w:rPr>
                <w:rFonts w:asciiTheme="minorHAnsi" w:hAnsiTheme="minorHAnsi"/>
              </w:rPr>
            </w:pPr>
            <w:r w:rsidRPr="00221383">
              <w:rPr>
                <w:rFonts w:asciiTheme="minorHAnsi" w:hAnsiTheme="minorHAnsi"/>
              </w:rPr>
              <w:t>kabinetsappreciatie (‘BNC-fiche’) vragen, bespreken.</w:t>
            </w:r>
          </w:p>
          <w:p w:rsidRPr="00221383" w:rsidR="00C00215" w:rsidP="00014FF3" w:rsidRDefault="00C00215" w14:paraId="6D37EF57" w14:textId="77777777">
            <w:pPr>
              <w:pStyle w:val="Voetnoottekst"/>
              <w:numPr>
                <w:ilvl w:val="0"/>
                <w:numId w:val="1"/>
              </w:numPr>
              <w:rPr>
                <w:rFonts w:asciiTheme="minorHAnsi" w:hAnsiTheme="minorHAnsi"/>
              </w:rPr>
            </w:pPr>
            <w:r w:rsidRPr="00221383">
              <w:rPr>
                <w:rFonts w:asciiTheme="minorHAnsi" w:hAnsiTheme="minorHAnsi"/>
              </w:rPr>
              <w:t>ambtenaren of Commissaris van Europese Commissie (de ‘auteurs’) uitnodigen voor briefing/gesprek, evt. via videoconferentie</w:t>
            </w:r>
          </w:p>
          <w:p w:rsidRPr="00221383" w:rsidR="00C00215" w:rsidP="00014FF3" w:rsidRDefault="00C00215" w14:paraId="15E5BF37" w14:textId="77777777">
            <w:pPr>
              <w:pStyle w:val="Voetnoottekst"/>
              <w:numPr>
                <w:ilvl w:val="0"/>
                <w:numId w:val="1"/>
              </w:numPr>
              <w:rPr>
                <w:rFonts w:asciiTheme="minorHAnsi" w:hAnsiTheme="minorHAnsi"/>
              </w:rPr>
            </w:pPr>
            <w:r w:rsidRPr="00221383">
              <w:rPr>
                <w:rFonts w:asciiTheme="minorHAnsi" w:hAnsiTheme="minorHAnsi"/>
              </w:rPr>
              <w:t>indien het Europees Parlement een rapporteur heeft aangesteld kan deze desgewenst worden uitgenodigd voor een gesprek.</w:t>
            </w:r>
          </w:p>
          <w:p w:rsidRPr="00221383" w:rsidR="00C00215" w:rsidP="00014FF3" w:rsidRDefault="00C00215" w14:paraId="29E555F5" w14:textId="77777777">
            <w:pPr>
              <w:pStyle w:val="Voetnoottekst"/>
              <w:numPr>
                <w:ilvl w:val="0"/>
                <w:numId w:val="1"/>
              </w:numPr>
              <w:rPr>
                <w:rFonts w:asciiTheme="minorHAnsi" w:hAnsiTheme="minorHAnsi"/>
              </w:rPr>
            </w:pPr>
            <w:r w:rsidRPr="00221383">
              <w:rPr>
                <w:rFonts w:asciiTheme="minorHAnsi" w:hAnsiTheme="minorHAnsi"/>
              </w:rPr>
              <w:t>uw commissie kan op dit onderwerp een ad-hoc rapporteur benoemen</w:t>
            </w:r>
          </w:p>
          <w:p w:rsidRPr="00221383" w:rsidR="00C00215" w:rsidP="00014FF3" w:rsidRDefault="00C00215" w14:paraId="5E1F5B96" w14:textId="77777777">
            <w:pPr>
              <w:pStyle w:val="Voetnoottekst"/>
              <w:ind w:left="360"/>
              <w:rPr>
                <w:rFonts w:asciiTheme="minorHAnsi" w:hAnsiTheme="minorHAnsi"/>
              </w:rPr>
            </w:pPr>
            <w:r w:rsidRPr="00221383">
              <w:rPr>
                <w:rFonts w:asciiTheme="minorHAnsi" w:hAnsiTheme="minorHAnsi"/>
              </w:rPr>
              <w:t>nationale wetgevingstraject (</w:t>
            </w:r>
            <w:proofErr w:type="spellStart"/>
            <w:r w:rsidRPr="00221383">
              <w:rPr>
                <w:rFonts w:asciiTheme="minorHAnsi" w:hAnsiTheme="minorHAnsi"/>
              </w:rPr>
              <w:t>i.h.k.v</w:t>
            </w:r>
            <w:proofErr w:type="spellEnd"/>
            <w:r w:rsidRPr="00221383">
              <w:rPr>
                <w:rFonts w:asciiTheme="minorHAnsi" w:hAnsiTheme="minorHAnsi"/>
              </w:rPr>
              <w:t>. omzetting van richtlijn naar nationale wetgeving).</w:t>
            </w:r>
          </w:p>
        </w:tc>
      </w:tr>
      <w:tr w:rsidRPr="00221383" w:rsidR="00C00215" w:rsidTr="00014FF3" w14:paraId="5F3A2898" w14:textId="77777777">
        <w:tc>
          <w:tcPr>
            <w:tcW w:w="14142" w:type="dxa"/>
            <w:gridSpan w:val="3"/>
          </w:tcPr>
          <w:p w:rsidRPr="00221383" w:rsidR="00C00215" w:rsidP="00014FF3" w:rsidRDefault="00C00215" w14:paraId="2C088DF1" w14:textId="77777777">
            <w:pPr>
              <w:pStyle w:val="Voetnoottekst"/>
              <w:rPr>
                <w:rFonts w:asciiTheme="minorHAnsi" w:hAnsiTheme="minorHAnsi"/>
                <w:i/>
              </w:rPr>
            </w:pPr>
            <w:r w:rsidRPr="00221383">
              <w:rPr>
                <w:rFonts w:asciiTheme="minorHAnsi" w:hAnsiTheme="minorHAnsi"/>
                <w:i/>
              </w:rPr>
              <w:t>Niet-bindende handelingen (soft-</w:t>
            </w:r>
            <w:proofErr w:type="spellStart"/>
            <w:r w:rsidRPr="00221383">
              <w:rPr>
                <w:rFonts w:asciiTheme="minorHAnsi" w:hAnsiTheme="minorHAnsi"/>
                <w:i/>
              </w:rPr>
              <w:t>law</w:t>
            </w:r>
            <w:proofErr w:type="spellEnd"/>
            <w:r w:rsidRPr="00221383">
              <w:rPr>
                <w:rFonts w:asciiTheme="minorHAnsi" w:hAnsiTheme="minorHAnsi"/>
                <w:i/>
              </w:rPr>
              <w:t>)</w:t>
            </w:r>
          </w:p>
        </w:tc>
      </w:tr>
      <w:tr w:rsidRPr="00221383" w:rsidR="00C00215" w:rsidTr="00014FF3" w14:paraId="5D69464D" w14:textId="77777777">
        <w:tc>
          <w:tcPr>
            <w:tcW w:w="2093" w:type="dxa"/>
          </w:tcPr>
          <w:p w:rsidRPr="00221383" w:rsidR="00C00215" w:rsidP="00014FF3" w:rsidRDefault="00C00215" w14:paraId="55344B73" w14:textId="77777777">
            <w:pPr>
              <w:pStyle w:val="Voetnoottekst"/>
              <w:rPr>
                <w:rFonts w:asciiTheme="minorHAnsi" w:hAnsiTheme="minorHAnsi"/>
              </w:rPr>
            </w:pPr>
            <w:r w:rsidRPr="00221383">
              <w:rPr>
                <w:rFonts w:asciiTheme="minorHAnsi" w:hAnsiTheme="minorHAnsi"/>
              </w:rPr>
              <w:t>Advies, aanbeveling, mededeling</w:t>
            </w:r>
          </w:p>
          <w:p w:rsidRPr="00221383" w:rsidR="00C00215" w:rsidP="00014FF3" w:rsidRDefault="00C00215" w14:paraId="523F5AC2" w14:textId="77777777">
            <w:pPr>
              <w:jc w:val="right"/>
              <w:rPr>
                <w:rFonts w:asciiTheme="minorHAnsi" w:hAnsiTheme="minorHAnsi"/>
                <w:sz w:val="20"/>
                <w:szCs w:val="20"/>
              </w:rPr>
            </w:pPr>
          </w:p>
          <w:p w:rsidRPr="00221383" w:rsidR="00C00215" w:rsidP="00014FF3" w:rsidRDefault="00C00215" w14:paraId="6389B877" w14:textId="77777777">
            <w:pPr>
              <w:jc w:val="right"/>
              <w:rPr>
                <w:rFonts w:asciiTheme="minorHAnsi" w:hAnsiTheme="minorHAnsi"/>
                <w:sz w:val="20"/>
                <w:szCs w:val="20"/>
              </w:rPr>
            </w:pPr>
          </w:p>
          <w:p w:rsidRPr="00221383" w:rsidR="00C00215" w:rsidP="00014FF3" w:rsidRDefault="00C00215" w14:paraId="35768DF7" w14:textId="77777777">
            <w:pPr>
              <w:jc w:val="right"/>
              <w:rPr>
                <w:rFonts w:asciiTheme="minorHAnsi" w:hAnsiTheme="minorHAnsi"/>
                <w:sz w:val="20"/>
                <w:szCs w:val="20"/>
              </w:rPr>
            </w:pPr>
          </w:p>
          <w:p w:rsidRPr="00221383" w:rsidR="00C00215" w:rsidP="00014FF3" w:rsidRDefault="00C00215" w14:paraId="20310351" w14:textId="77777777">
            <w:pPr>
              <w:jc w:val="right"/>
              <w:rPr>
                <w:rFonts w:asciiTheme="minorHAnsi" w:hAnsiTheme="minorHAnsi"/>
                <w:sz w:val="20"/>
                <w:szCs w:val="20"/>
              </w:rPr>
            </w:pPr>
          </w:p>
          <w:p w:rsidRPr="00221383" w:rsidR="00C00215" w:rsidP="00014FF3" w:rsidRDefault="00C00215" w14:paraId="1358F1F3" w14:textId="77777777">
            <w:pPr>
              <w:jc w:val="right"/>
              <w:rPr>
                <w:rFonts w:asciiTheme="minorHAnsi" w:hAnsiTheme="minorHAnsi"/>
                <w:sz w:val="20"/>
                <w:szCs w:val="20"/>
              </w:rPr>
            </w:pPr>
          </w:p>
        </w:tc>
        <w:tc>
          <w:tcPr>
            <w:tcW w:w="6946" w:type="dxa"/>
          </w:tcPr>
          <w:p w:rsidRPr="00221383" w:rsidR="00C00215" w:rsidP="00014FF3" w:rsidRDefault="00C00215" w14:paraId="5646C19B" w14:textId="77777777">
            <w:pPr>
              <w:pStyle w:val="Voetnoottekst"/>
              <w:spacing w:before="100" w:beforeAutospacing="1" w:after="100" w:afterAutospacing="1"/>
              <w:rPr>
                <w:rFonts w:asciiTheme="minorHAnsi" w:hAnsiTheme="minorHAnsi"/>
              </w:rPr>
            </w:pPr>
            <w:r w:rsidRPr="00221383">
              <w:rPr>
                <w:rFonts w:asciiTheme="minorHAnsi" w:hAnsiTheme="minorHAnsi"/>
              </w:rPr>
              <w:t xml:space="preserve">De EU kent een grote hoeveelheid uiteenlopende typen beleid (‘soft </w:t>
            </w:r>
            <w:proofErr w:type="spellStart"/>
            <w:r w:rsidRPr="00221383">
              <w:rPr>
                <w:rFonts w:asciiTheme="minorHAnsi" w:hAnsiTheme="minorHAnsi"/>
              </w:rPr>
              <w:t>law</w:t>
            </w:r>
            <w:proofErr w:type="spellEnd"/>
            <w:r w:rsidRPr="00221383">
              <w:rPr>
                <w:rFonts w:asciiTheme="minorHAnsi" w:hAnsiTheme="minorHAnsi"/>
              </w:rPr>
              <w:t>’) zonder bindende rechtskracht, maar soms met juridische effecten, zoals aanbevelingen en adviezen, resoluties, verklaringen, notificaties, mededelingen, handboeken, gedragscodes, etc. Zij kunnen op verschillende manieren toch effect hebben: zo is bijvoorbeeld de Europese Commissie (en soms ook de lidstaten) gebonden aan het eigen beleid. Daarnaast moet bij de toepassing van het ‘harde’ Unierecht gekeken worden naar soft-</w:t>
            </w:r>
            <w:proofErr w:type="spellStart"/>
            <w:r w:rsidRPr="00221383">
              <w:rPr>
                <w:rFonts w:asciiTheme="minorHAnsi" w:hAnsiTheme="minorHAnsi"/>
              </w:rPr>
              <w:t>law</w:t>
            </w:r>
            <w:proofErr w:type="spellEnd"/>
            <w:r w:rsidRPr="00221383">
              <w:rPr>
                <w:rFonts w:asciiTheme="minorHAnsi" w:hAnsiTheme="minorHAnsi"/>
              </w:rPr>
              <w:t xml:space="preserve">. </w:t>
            </w:r>
          </w:p>
        </w:tc>
        <w:tc>
          <w:tcPr>
            <w:tcW w:w="5103" w:type="dxa"/>
          </w:tcPr>
          <w:p w:rsidRPr="00221383" w:rsidR="00C00215" w:rsidP="00014FF3" w:rsidRDefault="00C00215" w14:paraId="737E3857" w14:textId="77777777">
            <w:pPr>
              <w:pStyle w:val="Voetnoottekst"/>
              <w:numPr>
                <w:ilvl w:val="0"/>
                <w:numId w:val="1"/>
              </w:numPr>
              <w:rPr>
                <w:rFonts w:asciiTheme="minorHAnsi" w:hAnsiTheme="minorHAnsi"/>
              </w:rPr>
            </w:pPr>
            <w:r w:rsidRPr="00221383">
              <w:rPr>
                <w:rFonts w:asciiTheme="minorHAnsi" w:hAnsiTheme="minorHAnsi"/>
              </w:rPr>
              <w:t>kabinet om appreciatie in de vorm van BNC-fiche verzoeken aangezien over deze categorie niet standaard een fiche wordt gemaakt.</w:t>
            </w:r>
          </w:p>
          <w:p w:rsidRPr="00221383" w:rsidR="00C00215" w:rsidP="00014FF3" w:rsidRDefault="00C00215" w14:paraId="4C444410" w14:textId="77777777">
            <w:pPr>
              <w:pStyle w:val="Voetnoottekst"/>
              <w:rPr>
                <w:rFonts w:asciiTheme="minorHAnsi" w:hAnsiTheme="minorHAnsi"/>
              </w:rPr>
            </w:pPr>
          </w:p>
          <w:p w:rsidRPr="00221383" w:rsidR="00C00215" w:rsidP="00014FF3" w:rsidRDefault="00C00215" w14:paraId="71F3E75C" w14:textId="77777777">
            <w:pPr>
              <w:pStyle w:val="Voetnoottekst"/>
              <w:rPr>
                <w:rFonts w:asciiTheme="minorHAnsi" w:hAnsiTheme="minorHAnsi"/>
              </w:rPr>
            </w:pPr>
          </w:p>
          <w:p w:rsidRPr="00221383" w:rsidR="00C00215" w:rsidP="00014FF3" w:rsidRDefault="00C00215" w14:paraId="34FFB48D" w14:textId="77777777">
            <w:pPr>
              <w:pStyle w:val="Voetnoottekst"/>
              <w:rPr>
                <w:rFonts w:asciiTheme="minorHAnsi" w:hAnsiTheme="minorHAnsi"/>
              </w:rPr>
            </w:pPr>
          </w:p>
          <w:p w:rsidRPr="00221383" w:rsidR="00C00215" w:rsidP="00014FF3" w:rsidRDefault="00C00215" w14:paraId="50BE5013" w14:textId="77777777">
            <w:pPr>
              <w:pStyle w:val="Voetnoottekst"/>
              <w:rPr>
                <w:rFonts w:asciiTheme="minorHAnsi" w:hAnsiTheme="minorHAnsi"/>
              </w:rPr>
            </w:pPr>
          </w:p>
          <w:p w:rsidRPr="00221383" w:rsidR="00C00215" w:rsidP="00014FF3" w:rsidRDefault="00C00215" w14:paraId="3012D45A" w14:textId="77777777">
            <w:pPr>
              <w:pStyle w:val="Voetnoottekst"/>
              <w:rPr>
                <w:rFonts w:asciiTheme="minorHAnsi" w:hAnsiTheme="minorHAnsi"/>
              </w:rPr>
            </w:pPr>
          </w:p>
        </w:tc>
      </w:tr>
      <w:tr w:rsidRPr="00221383" w:rsidR="00C00215" w:rsidTr="00014FF3" w14:paraId="605718F6" w14:textId="77777777">
        <w:tc>
          <w:tcPr>
            <w:tcW w:w="14142" w:type="dxa"/>
            <w:gridSpan w:val="3"/>
          </w:tcPr>
          <w:p w:rsidRPr="00221383" w:rsidR="00C00215" w:rsidP="00014FF3" w:rsidRDefault="00C00215" w14:paraId="2ABAEE5C" w14:textId="77777777">
            <w:pPr>
              <w:pStyle w:val="Voetnoottekst"/>
              <w:rPr>
                <w:rFonts w:asciiTheme="minorHAnsi" w:hAnsiTheme="minorHAnsi"/>
                <w:i/>
              </w:rPr>
            </w:pPr>
            <w:r w:rsidRPr="00221383">
              <w:rPr>
                <w:rFonts w:asciiTheme="minorHAnsi" w:hAnsiTheme="minorHAnsi"/>
                <w:i/>
              </w:rPr>
              <w:t xml:space="preserve">Overige handelingen en instrumenten </w:t>
            </w:r>
          </w:p>
        </w:tc>
      </w:tr>
      <w:tr w:rsidRPr="00221383" w:rsidR="00C00215" w:rsidTr="00014FF3" w14:paraId="117C8069" w14:textId="77777777">
        <w:tc>
          <w:tcPr>
            <w:tcW w:w="2093" w:type="dxa"/>
          </w:tcPr>
          <w:p w:rsidRPr="00221383" w:rsidR="00C00215" w:rsidP="00014FF3" w:rsidRDefault="00C00215" w14:paraId="08657188" w14:textId="77777777">
            <w:pPr>
              <w:pStyle w:val="Voetnoottekst"/>
              <w:rPr>
                <w:rFonts w:asciiTheme="minorHAnsi" w:hAnsiTheme="minorHAnsi"/>
              </w:rPr>
            </w:pPr>
            <w:r w:rsidRPr="00221383">
              <w:rPr>
                <w:rFonts w:asciiTheme="minorHAnsi" w:hAnsiTheme="minorHAnsi"/>
              </w:rPr>
              <w:t xml:space="preserve">Routekaart, actieplannen, strategie, agenda </w:t>
            </w:r>
          </w:p>
        </w:tc>
        <w:tc>
          <w:tcPr>
            <w:tcW w:w="6946" w:type="dxa"/>
          </w:tcPr>
          <w:p w:rsidRPr="00221383" w:rsidR="00C00215" w:rsidP="00014FF3" w:rsidRDefault="00C00215" w14:paraId="36C131EB" w14:textId="77777777">
            <w:pPr>
              <w:pStyle w:val="Voetnoottekst"/>
              <w:rPr>
                <w:rFonts w:asciiTheme="minorHAnsi" w:hAnsiTheme="minorHAnsi"/>
              </w:rPr>
            </w:pPr>
            <w:r w:rsidRPr="00221383">
              <w:rPr>
                <w:rFonts w:cs="Arial" w:asciiTheme="minorHAnsi" w:hAnsiTheme="minorHAnsi"/>
              </w:rPr>
              <w:t xml:space="preserve">Via routekaarten, actieplannen, strategieën en agenda’s informeert de Europese Commissie belanghebbenden en burgers over nieuwe initiatieven, evaluaties en geschiktheidscontroles. In deze documenten </w:t>
            </w:r>
            <w:r w:rsidRPr="00221383">
              <w:rPr>
                <w:rStyle w:val="Zwaar"/>
                <w:rFonts w:cs="Arial" w:asciiTheme="minorHAnsi" w:hAnsiTheme="minorHAnsi"/>
                <w:b w:val="0"/>
              </w:rPr>
              <w:t>voor nieuwe initiatieven</w:t>
            </w:r>
            <w:r w:rsidRPr="00221383">
              <w:rPr>
                <w:rFonts w:cs="Arial" w:asciiTheme="minorHAnsi" w:hAnsiTheme="minorHAnsi"/>
              </w:rPr>
              <w:t xml:space="preserve"> wordt uitgelegd wat het probleem is, wat de Commissie wil bereiken, waarom juist de EU maatregelen moet nemen, wat de toegevoegde waarde is en welke alternatieven </w:t>
            </w:r>
            <w:r w:rsidRPr="00221383">
              <w:rPr>
                <w:rFonts w:cs="Arial" w:asciiTheme="minorHAnsi" w:hAnsiTheme="minorHAnsi"/>
              </w:rPr>
              <w:lastRenderedPageBreak/>
              <w:t>er zijn. In deze documenten</w:t>
            </w:r>
            <w:r w:rsidRPr="00221383">
              <w:rPr>
                <w:rStyle w:val="Zwaar"/>
                <w:rFonts w:cs="Arial" w:asciiTheme="minorHAnsi" w:hAnsiTheme="minorHAnsi"/>
              </w:rPr>
              <w:t xml:space="preserve"> </w:t>
            </w:r>
            <w:r w:rsidRPr="00221383">
              <w:rPr>
                <w:rStyle w:val="Zwaar"/>
                <w:rFonts w:cs="Arial" w:asciiTheme="minorHAnsi" w:hAnsiTheme="minorHAnsi"/>
                <w:b w:val="0"/>
              </w:rPr>
              <w:t>voor evaluaties en geschiktheidscontroles</w:t>
            </w:r>
            <w:r w:rsidRPr="00221383">
              <w:rPr>
                <w:rFonts w:cs="Arial" w:asciiTheme="minorHAnsi" w:hAnsiTheme="minorHAnsi"/>
              </w:rPr>
              <w:t xml:space="preserve"> wordt bepaald wat er geëvalueerd moet worden en welke aspecten moeten worden onderzocht. </w:t>
            </w:r>
          </w:p>
        </w:tc>
        <w:tc>
          <w:tcPr>
            <w:tcW w:w="5103" w:type="dxa"/>
          </w:tcPr>
          <w:p w:rsidRPr="00221383" w:rsidR="00C00215" w:rsidP="00014FF3" w:rsidRDefault="00C00215" w14:paraId="2CA4D119" w14:textId="77777777">
            <w:pPr>
              <w:pStyle w:val="Voetnoottekst"/>
              <w:numPr>
                <w:ilvl w:val="0"/>
                <w:numId w:val="1"/>
              </w:numPr>
              <w:rPr>
                <w:rFonts w:asciiTheme="minorHAnsi" w:hAnsiTheme="minorHAnsi"/>
              </w:rPr>
            </w:pPr>
            <w:r w:rsidRPr="00221383">
              <w:rPr>
                <w:rFonts w:asciiTheme="minorHAnsi" w:hAnsiTheme="minorHAnsi"/>
              </w:rPr>
              <w:lastRenderedPageBreak/>
              <w:t>kabinet om appreciatie in de vorm van BNC-fiche verzoeken aangezien over deze categorie niet standaard een fiche wordt gemaakt</w:t>
            </w:r>
          </w:p>
          <w:p w:rsidRPr="00221383" w:rsidR="00C00215" w:rsidP="00014FF3" w:rsidRDefault="00C00215" w14:paraId="49F685EC" w14:textId="77777777">
            <w:pPr>
              <w:pStyle w:val="Voetnoottekst"/>
              <w:numPr>
                <w:ilvl w:val="0"/>
                <w:numId w:val="1"/>
              </w:numPr>
              <w:rPr>
                <w:rFonts w:asciiTheme="minorHAnsi" w:hAnsiTheme="minorHAnsi"/>
              </w:rPr>
            </w:pPr>
            <w:r w:rsidRPr="00221383">
              <w:rPr>
                <w:rFonts w:asciiTheme="minorHAnsi" w:hAnsiTheme="minorHAnsi"/>
              </w:rPr>
              <w:t>en/of kabinet vragen om NL inzet (per commissiebrief of tijdens algemeen overleg/debat).</w:t>
            </w:r>
          </w:p>
        </w:tc>
      </w:tr>
      <w:tr w:rsidRPr="00221383" w:rsidR="00C00215" w:rsidTr="00014FF3" w14:paraId="6BFF3CA2" w14:textId="77777777">
        <w:tc>
          <w:tcPr>
            <w:tcW w:w="2093" w:type="dxa"/>
          </w:tcPr>
          <w:p w:rsidRPr="00221383" w:rsidR="00C00215" w:rsidP="00014FF3" w:rsidRDefault="00C00215" w14:paraId="7056EF2B" w14:textId="77777777">
            <w:pPr>
              <w:pStyle w:val="Voetnoottekst"/>
              <w:rPr>
                <w:rFonts w:asciiTheme="minorHAnsi" w:hAnsiTheme="minorHAnsi"/>
              </w:rPr>
            </w:pPr>
            <w:r w:rsidRPr="00221383">
              <w:rPr>
                <w:rFonts w:asciiTheme="minorHAnsi" w:hAnsiTheme="minorHAnsi"/>
              </w:rPr>
              <w:t>Groen- en witboek</w:t>
            </w:r>
          </w:p>
        </w:tc>
        <w:tc>
          <w:tcPr>
            <w:tcW w:w="6946" w:type="dxa"/>
          </w:tcPr>
          <w:p w:rsidRPr="00221383" w:rsidR="00C00215" w:rsidP="00014FF3" w:rsidRDefault="00C00215" w14:paraId="52223935" w14:textId="77777777">
            <w:pPr>
              <w:pStyle w:val="Voetnoottekst"/>
              <w:rPr>
                <w:rFonts w:asciiTheme="minorHAnsi" w:hAnsiTheme="minorHAnsi"/>
              </w:rPr>
            </w:pPr>
            <w:r w:rsidRPr="00221383">
              <w:rPr>
                <w:rFonts w:asciiTheme="minorHAnsi" w:hAnsiTheme="minorHAnsi"/>
              </w:rPr>
              <w:t xml:space="preserve">Groenboek: een discussiestuk, waarmee de Europese Commissie de stand van zaken inventariseert omtrent een onderwerp. Ook doet ze aanbevelingen voor nieuw beleid. </w:t>
            </w:r>
          </w:p>
          <w:p w:rsidRPr="00221383" w:rsidR="00C00215" w:rsidP="00014FF3" w:rsidRDefault="00C00215" w14:paraId="05F99860" w14:textId="77777777">
            <w:pPr>
              <w:pStyle w:val="Voetnoottekst"/>
              <w:rPr>
                <w:rFonts w:asciiTheme="minorHAnsi" w:hAnsiTheme="minorHAnsi"/>
              </w:rPr>
            </w:pPr>
          </w:p>
          <w:p w:rsidRPr="00221383" w:rsidR="00C00215" w:rsidP="00014FF3" w:rsidRDefault="00C00215" w14:paraId="5357407D" w14:textId="77777777">
            <w:pPr>
              <w:pStyle w:val="Voetnoottekst"/>
              <w:rPr>
                <w:rFonts w:asciiTheme="minorHAnsi" w:hAnsiTheme="minorHAnsi"/>
              </w:rPr>
            </w:pPr>
            <w:r w:rsidRPr="00221383">
              <w:rPr>
                <w:rFonts w:asciiTheme="minorHAnsi" w:hAnsiTheme="minorHAnsi"/>
              </w:rPr>
              <w:t>Witboek: hierin zet de Europese Commissie uiteen hoe zij bepaalde doelen wil bereiken. Vaak worden in een witboek al concrete voorstellen uitgewerkt en toegelicht.</w:t>
            </w:r>
          </w:p>
          <w:p w:rsidRPr="00221383" w:rsidR="00C00215" w:rsidP="00014FF3" w:rsidRDefault="00C00215" w14:paraId="5551DC4B" w14:textId="77777777">
            <w:pPr>
              <w:pStyle w:val="Voetnoottekst"/>
              <w:rPr>
                <w:rFonts w:asciiTheme="minorHAnsi" w:hAnsiTheme="minorHAnsi"/>
              </w:rPr>
            </w:pPr>
            <w:r w:rsidRPr="00221383">
              <w:rPr>
                <w:rFonts w:asciiTheme="minorHAnsi" w:hAnsiTheme="minorHAnsi"/>
              </w:rPr>
              <w:t xml:space="preserve">De Europese Commissie nodigt overheden, nationale parlementen en andere organisaties uit om binnen een bepaalde termijn op een Groen- of Witboek te reageren. </w:t>
            </w:r>
          </w:p>
        </w:tc>
        <w:tc>
          <w:tcPr>
            <w:tcW w:w="5103" w:type="dxa"/>
          </w:tcPr>
          <w:p w:rsidRPr="00221383" w:rsidR="00C00215" w:rsidP="00014FF3" w:rsidRDefault="00C00215" w14:paraId="407CFDC4" w14:textId="77777777">
            <w:pPr>
              <w:pStyle w:val="Voetnoottekst"/>
              <w:numPr>
                <w:ilvl w:val="0"/>
                <w:numId w:val="1"/>
              </w:numPr>
              <w:rPr>
                <w:rFonts w:asciiTheme="minorHAnsi" w:hAnsiTheme="minorHAnsi"/>
              </w:rPr>
            </w:pPr>
            <w:r w:rsidRPr="00221383">
              <w:rPr>
                <w:rFonts w:asciiTheme="minorHAnsi" w:hAnsiTheme="minorHAnsi"/>
              </w:rPr>
              <w:t>desgewenst ambtenaren EC of Europees Commissaris uitnodigen voor een toelichting.</w:t>
            </w:r>
          </w:p>
          <w:p w:rsidRPr="00221383" w:rsidR="00C00215" w:rsidP="00014FF3" w:rsidRDefault="00C00215" w14:paraId="16201DD9" w14:textId="77777777">
            <w:pPr>
              <w:pStyle w:val="Voetnoottekst"/>
              <w:numPr>
                <w:ilvl w:val="0"/>
                <w:numId w:val="1"/>
              </w:numPr>
              <w:rPr>
                <w:rFonts w:asciiTheme="minorHAnsi" w:hAnsiTheme="minorHAnsi"/>
              </w:rPr>
            </w:pPr>
            <w:r w:rsidRPr="00221383">
              <w:rPr>
                <w:rFonts w:asciiTheme="minorHAnsi" w:hAnsiTheme="minorHAnsi"/>
              </w:rPr>
              <w:t>in commissieverband (via schriftelijke inbreng in de vorm van een politieke dialoog) of als lid, burger of via fracties een reactie sturen aan de Europese Commissie.</w:t>
            </w:r>
          </w:p>
          <w:p w:rsidRPr="00221383" w:rsidR="00C00215" w:rsidP="00014FF3" w:rsidRDefault="00C00215" w14:paraId="6925D8E8" w14:textId="77777777">
            <w:pPr>
              <w:pStyle w:val="Voetnoottekst"/>
              <w:numPr>
                <w:ilvl w:val="0"/>
                <w:numId w:val="1"/>
              </w:numPr>
              <w:rPr>
                <w:rFonts w:asciiTheme="minorHAnsi" w:hAnsiTheme="minorHAnsi"/>
              </w:rPr>
            </w:pPr>
            <w:r w:rsidRPr="00221383">
              <w:rPr>
                <w:rFonts w:asciiTheme="minorHAnsi" w:hAnsiTheme="minorHAnsi"/>
              </w:rPr>
              <w:t>kabinet stuurt de Kamer het concept van haar reactie op Groen- en Witboeken tenminste dertig dagen voor het verstrijken van de reactietermijn bij de Europese Commissie. Ook de definitieve reactie wordt in afschrift aan de Kamer gezonden. Deze reactie kan in behandeling worden genomen, bv. door te agenderen voor een algemeen overleg/debat.</w:t>
            </w:r>
          </w:p>
        </w:tc>
      </w:tr>
      <w:tr w:rsidRPr="00221383" w:rsidR="00C00215" w:rsidTr="00014FF3" w14:paraId="28070499" w14:textId="77777777">
        <w:tc>
          <w:tcPr>
            <w:tcW w:w="2093" w:type="dxa"/>
          </w:tcPr>
          <w:p w:rsidRPr="00221383" w:rsidR="00C00215" w:rsidP="00014FF3" w:rsidRDefault="00C00215" w14:paraId="39C5F276" w14:textId="77777777">
            <w:pPr>
              <w:pStyle w:val="Voetnoottekst"/>
              <w:rPr>
                <w:rFonts w:asciiTheme="minorHAnsi" w:hAnsiTheme="minorHAnsi"/>
              </w:rPr>
            </w:pPr>
            <w:r w:rsidRPr="00221383">
              <w:rPr>
                <w:rFonts w:asciiTheme="minorHAnsi" w:hAnsiTheme="minorHAnsi"/>
              </w:rPr>
              <w:t>Openbare raadpleging (consultatie)</w:t>
            </w:r>
          </w:p>
        </w:tc>
        <w:tc>
          <w:tcPr>
            <w:tcW w:w="6946" w:type="dxa"/>
          </w:tcPr>
          <w:p w:rsidRPr="00221383" w:rsidR="00C00215" w:rsidP="00014FF3" w:rsidRDefault="00C00215" w14:paraId="79F36A03" w14:textId="77777777">
            <w:pPr>
              <w:pStyle w:val="Voetnoottekst"/>
              <w:spacing w:before="100" w:beforeAutospacing="1" w:after="100" w:afterAutospacing="1"/>
              <w:rPr>
                <w:rFonts w:asciiTheme="minorHAnsi" w:hAnsiTheme="minorHAnsi"/>
              </w:rPr>
            </w:pPr>
            <w:r w:rsidRPr="00221383">
              <w:rPr>
                <w:rFonts w:asciiTheme="minorHAnsi" w:hAnsiTheme="minorHAnsi"/>
              </w:rPr>
              <w:t xml:space="preserve">Als de Europese Commissie nieuw beleid ontwikkelt of bestaande wetgeving herziet, organiseert ze meestal een openbare raadpleging of consultatie. Particulieren, bedrijven en organisaties met belangen of expertise op het betrokken gebied kunnen de Commissie helpen om invulling te geven aan haar voorstellen, voordat ze die ter bespreking en goedkeuring naar de Raad en het Europees Parlement stuurt. </w:t>
            </w:r>
            <w:hyperlink w:history="1" r:id="rId13">
              <w:r w:rsidRPr="00221383">
                <w:rPr>
                  <w:rStyle w:val="Hyperlink"/>
                  <w:rFonts w:asciiTheme="minorHAnsi" w:hAnsiTheme="minorHAnsi"/>
                </w:rPr>
                <w:t>Bekijk alle openbare raadplegingen op "Uw stem in Europa"</w:t>
              </w:r>
            </w:hyperlink>
            <w:r w:rsidRPr="00221383">
              <w:rPr>
                <w:rFonts w:asciiTheme="minorHAnsi" w:hAnsiTheme="minorHAnsi"/>
              </w:rPr>
              <w:t xml:space="preserve"> . </w:t>
            </w:r>
          </w:p>
        </w:tc>
        <w:tc>
          <w:tcPr>
            <w:tcW w:w="5103" w:type="dxa"/>
          </w:tcPr>
          <w:p w:rsidRPr="00221383" w:rsidR="00C00215" w:rsidP="00014FF3" w:rsidRDefault="00C00215" w14:paraId="0A36EA6E" w14:textId="77777777">
            <w:pPr>
              <w:pStyle w:val="Voetnoottekst"/>
              <w:numPr>
                <w:ilvl w:val="0"/>
                <w:numId w:val="1"/>
              </w:numPr>
              <w:autoSpaceDE w:val="0"/>
              <w:autoSpaceDN w:val="0"/>
              <w:rPr>
                <w:rFonts w:asciiTheme="minorHAnsi" w:hAnsiTheme="minorHAnsi"/>
              </w:rPr>
            </w:pPr>
            <w:r w:rsidRPr="00221383">
              <w:rPr>
                <w:rFonts w:asciiTheme="minorHAnsi" w:hAnsiTheme="minorHAnsi"/>
              </w:rPr>
              <w:t>als burger, lid, fractie of in commissieverband (via schriftelijke inbreng in de vorm van een politieke dialoog). meedoen aan de openbare raadpleging.</w:t>
            </w:r>
          </w:p>
          <w:p w:rsidRPr="00221383" w:rsidR="00C00215" w:rsidP="00014FF3" w:rsidRDefault="00C00215" w14:paraId="77CC42D1" w14:textId="77777777">
            <w:pPr>
              <w:pStyle w:val="Voetnoottekst"/>
              <w:numPr>
                <w:ilvl w:val="0"/>
                <w:numId w:val="1"/>
              </w:numPr>
              <w:autoSpaceDE w:val="0"/>
              <w:autoSpaceDN w:val="0"/>
              <w:rPr>
                <w:rFonts w:asciiTheme="minorHAnsi" w:hAnsiTheme="minorHAnsi"/>
              </w:rPr>
            </w:pPr>
            <w:r w:rsidRPr="00221383">
              <w:rPr>
                <w:rFonts w:asciiTheme="minorHAnsi" w:hAnsiTheme="minorHAnsi"/>
              </w:rPr>
              <w:t>kabinet verzoeken om de concept-kabinetsreactie naar de Kamer te sturen voordat de definitieve versie naar de Europese Commissie wordt gestuurd, teneinde desgewenst hierover met de bewindspersoon in gesprek te treden.</w:t>
            </w:r>
          </w:p>
          <w:p w:rsidRPr="00221383" w:rsidR="00C00215" w:rsidP="00014FF3" w:rsidRDefault="00C00215" w14:paraId="722C495A" w14:textId="77777777">
            <w:pPr>
              <w:pStyle w:val="Voetnoottekst"/>
              <w:numPr>
                <w:ilvl w:val="0"/>
                <w:numId w:val="1"/>
              </w:numPr>
              <w:autoSpaceDE w:val="0"/>
              <w:autoSpaceDN w:val="0"/>
              <w:rPr>
                <w:rFonts w:asciiTheme="minorHAnsi" w:hAnsiTheme="minorHAnsi"/>
              </w:rPr>
            </w:pPr>
            <w:r w:rsidRPr="00221383">
              <w:rPr>
                <w:rFonts w:asciiTheme="minorHAnsi" w:hAnsiTheme="minorHAnsi"/>
              </w:rPr>
              <w:t>de Kamer ontvangt krachtens de standaard-informatieafspraken de definitieve kabinetsreactie op alle consultaties van de Europese Commissie waarop het kabinet reageert.</w:t>
            </w:r>
          </w:p>
        </w:tc>
      </w:tr>
      <w:tr w:rsidRPr="00221383" w:rsidR="00C00215" w:rsidTr="00014FF3" w14:paraId="5A3F9C65" w14:textId="77777777">
        <w:tc>
          <w:tcPr>
            <w:tcW w:w="14142" w:type="dxa"/>
            <w:gridSpan w:val="3"/>
          </w:tcPr>
          <w:p w:rsidRPr="00221383" w:rsidR="00C00215" w:rsidP="00014FF3" w:rsidRDefault="00C00215" w14:paraId="304821A6" w14:textId="77777777">
            <w:pPr>
              <w:pStyle w:val="Voetnoottekst"/>
              <w:rPr>
                <w:rFonts w:asciiTheme="minorHAnsi" w:hAnsiTheme="minorHAnsi"/>
                <w:i/>
              </w:rPr>
            </w:pPr>
            <w:r w:rsidRPr="00221383">
              <w:rPr>
                <w:rFonts w:asciiTheme="minorHAnsi" w:hAnsiTheme="minorHAnsi"/>
                <w:i/>
              </w:rPr>
              <w:t>Uitgelicht: twee specifieke parlementaire instrumenten bij nieuw gepubliceerde EU-voorstellen</w:t>
            </w:r>
          </w:p>
        </w:tc>
      </w:tr>
      <w:tr w:rsidRPr="00221383" w:rsidR="00C00215" w:rsidTr="00014FF3" w14:paraId="19DF4CAD" w14:textId="77777777">
        <w:tc>
          <w:tcPr>
            <w:tcW w:w="2093" w:type="dxa"/>
          </w:tcPr>
          <w:p w:rsidRPr="00221383" w:rsidR="00C00215" w:rsidP="00014FF3" w:rsidRDefault="00C00215" w14:paraId="555FA648" w14:textId="77777777">
            <w:pPr>
              <w:pStyle w:val="Voetnoottekst"/>
              <w:rPr>
                <w:rFonts w:asciiTheme="minorHAnsi" w:hAnsiTheme="minorHAnsi"/>
              </w:rPr>
            </w:pPr>
            <w:r w:rsidRPr="00221383">
              <w:rPr>
                <w:rFonts w:asciiTheme="minorHAnsi" w:hAnsiTheme="minorHAnsi"/>
              </w:rPr>
              <w:t xml:space="preserve">Subsidiariteitstoets </w:t>
            </w:r>
          </w:p>
          <w:p w:rsidRPr="00221383" w:rsidR="00C00215" w:rsidP="00014FF3" w:rsidRDefault="00C00215" w14:paraId="517AFEF5" w14:textId="77777777">
            <w:pPr>
              <w:pStyle w:val="Voetnoottekst"/>
              <w:rPr>
                <w:rFonts w:asciiTheme="minorHAnsi" w:hAnsiTheme="minorHAnsi"/>
              </w:rPr>
            </w:pPr>
            <w:r w:rsidRPr="00221383">
              <w:rPr>
                <w:rFonts w:asciiTheme="minorHAnsi" w:hAnsiTheme="minorHAnsi"/>
              </w:rPr>
              <w:t>(richting EU)</w:t>
            </w:r>
          </w:p>
        </w:tc>
        <w:tc>
          <w:tcPr>
            <w:tcW w:w="6946" w:type="dxa"/>
          </w:tcPr>
          <w:p w:rsidRPr="00221383" w:rsidR="00C00215" w:rsidP="00014FF3" w:rsidRDefault="00C00215" w14:paraId="7693DEEF" w14:textId="77777777">
            <w:pPr>
              <w:pStyle w:val="Lijstalinea"/>
              <w:ind w:left="0"/>
              <w:rPr>
                <w:rFonts w:asciiTheme="minorHAnsi" w:hAnsiTheme="minorHAnsi"/>
                <w:sz w:val="20"/>
                <w:szCs w:val="20"/>
              </w:rPr>
            </w:pPr>
            <w:r w:rsidRPr="00221383">
              <w:rPr>
                <w:rFonts w:asciiTheme="minorHAnsi" w:hAnsiTheme="minorHAnsi"/>
                <w:sz w:val="20"/>
                <w:szCs w:val="20"/>
              </w:rPr>
              <w:t xml:space="preserve">Bij een subsidiariteitstoets toetst een nationale (Kamer van een) Parlement of de EU bevoegd is om hier actie op te nemen, of dat beleid/wetgeving beter op lokaal, regionaal of nationaal niveau kan worden gemaakt. Bij een negatief oordeel wordt een brief met daarin de subsidiariteitsbezwaren (een zogenaamd ‘gemotiveerd advies’) aan de Europese Commissie verzonden. De nationale parlementen kunnen binnen acht weken bezwaar maken uit een oogpunt van subsidiariteit. Een zgn. “gele kaart” is voor de Commissie geldig als 1/3 van de nationale parlementen een voorstel in strijd acht met het subsidiariteitsbeginsel. De Europese Commissie </w:t>
            </w:r>
            <w:r w:rsidRPr="00221383">
              <w:rPr>
                <w:rFonts w:asciiTheme="minorHAnsi" w:hAnsiTheme="minorHAnsi"/>
                <w:sz w:val="20"/>
                <w:szCs w:val="20"/>
              </w:rPr>
              <w:lastRenderedPageBreak/>
              <w:t xml:space="preserve">moet dan haar voorstel heroverwegen. In totaal zijn er 28 Parlementen met 41 Kamers in de EU. </w:t>
            </w:r>
            <w:r w:rsidRPr="00221383">
              <w:rPr>
                <w:rFonts w:asciiTheme="minorHAnsi" w:hAnsiTheme="minorHAnsi" w:cstheme="minorHAnsi"/>
                <w:color w:val="000000" w:themeColor="text1"/>
                <w:sz w:val="20"/>
                <w:szCs w:val="20"/>
              </w:rPr>
              <w:t xml:space="preserve">Elk parlement krijgt 2 stemmen, maar bij een </w:t>
            </w:r>
            <w:proofErr w:type="spellStart"/>
            <w:r w:rsidRPr="00221383">
              <w:rPr>
                <w:rFonts w:asciiTheme="minorHAnsi" w:hAnsiTheme="minorHAnsi" w:cstheme="minorHAnsi"/>
                <w:color w:val="000000" w:themeColor="text1"/>
                <w:sz w:val="20"/>
                <w:szCs w:val="20"/>
              </w:rPr>
              <w:t>bicameraal</w:t>
            </w:r>
            <w:proofErr w:type="spellEnd"/>
            <w:r w:rsidRPr="00221383">
              <w:rPr>
                <w:rFonts w:asciiTheme="minorHAnsi" w:hAnsiTheme="minorHAnsi" w:cstheme="minorHAnsi"/>
                <w:color w:val="000000" w:themeColor="text1"/>
                <w:sz w:val="20"/>
                <w:szCs w:val="20"/>
              </w:rPr>
              <w:t xml:space="preserve"> stelsel, zoals in Nederland, krijgt elke kamer 1 stem</w:t>
            </w:r>
            <w:r w:rsidRPr="00221383">
              <w:rPr>
                <w:rFonts w:asciiTheme="minorHAnsi" w:hAnsiTheme="minorHAnsi"/>
                <w:sz w:val="20"/>
                <w:szCs w:val="20"/>
              </w:rPr>
              <w:t>.</w:t>
            </w:r>
            <w:r w:rsidRPr="00221383">
              <w:rPr>
                <w:rFonts w:asciiTheme="minorHAnsi" w:hAnsiTheme="minorHAnsi" w:cstheme="minorHAnsi"/>
                <w:color w:val="000000" w:themeColor="text1"/>
                <w:sz w:val="20"/>
                <w:szCs w:val="20"/>
              </w:rPr>
              <w:t xml:space="preserve"> Om een gele kaart te trekken moeten er 19 stemmen worden gehaald.</w:t>
            </w:r>
          </w:p>
        </w:tc>
        <w:tc>
          <w:tcPr>
            <w:tcW w:w="5103" w:type="dxa"/>
          </w:tcPr>
          <w:p w:rsidRPr="00221383" w:rsidR="00C00215" w:rsidP="00014FF3" w:rsidRDefault="00C00215" w14:paraId="21DC602D" w14:textId="77777777">
            <w:pPr>
              <w:pStyle w:val="Voetnoottekst"/>
              <w:numPr>
                <w:ilvl w:val="0"/>
                <w:numId w:val="1"/>
              </w:numPr>
              <w:rPr>
                <w:rFonts w:asciiTheme="minorHAnsi" w:hAnsiTheme="minorHAnsi"/>
              </w:rPr>
            </w:pPr>
            <w:r w:rsidRPr="00221383">
              <w:rPr>
                <w:rFonts w:asciiTheme="minorHAnsi" w:hAnsiTheme="minorHAnsi"/>
              </w:rPr>
              <w:lastRenderedPageBreak/>
              <w:t>bij wetgevende EU-voorstellen kan een Kamercommissie besluiten tot het uitvoeren van een subsidiariteitstoets. Let op: dit moet binnen acht weken na het uitkomen van alle taalversies van het voorstel.</w:t>
            </w:r>
          </w:p>
          <w:p w:rsidRPr="00221383" w:rsidR="00C00215" w:rsidP="00014FF3" w:rsidRDefault="00C00215" w14:paraId="1E6260D0" w14:textId="77777777">
            <w:pPr>
              <w:pStyle w:val="Voetnoottekst"/>
              <w:numPr>
                <w:ilvl w:val="0"/>
                <w:numId w:val="1"/>
              </w:numPr>
              <w:rPr>
                <w:rFonts w:asciiTheme="minorHAnsi" w:hAnsiTheme="minorHAnsi"/>
              </w:rPr>
            </w:pPr>
            <w:r w:rsidRPr="00221383">
              <w:rPr>
                <w:rFonts w:asciiTheme="minorHAnsi" w:hAnsiTheme="minorHAnsi"/>
              </w:rPr>
              <w:t>kabinetsappreciatie (‘BNC-fiche’) komt voor aangekondigde subsidiariteitstoetsen binnen drie weken t.b.v. een snelle behandeling.</w:t>
            </w:r>
          </w:p>
          <w:p w:rsidRPr="00221383" w:rsidR="00C00215" w:rsidP="00014FF3" w:rsidRDefault="00C00215" w14:paraId="3F28C376" w14:textId="77777777">
            <w:pPr>
              <w:pStyle w:val="Voetnoottekst"/>
              <w:numPr>
                <w:ilvl w:val="0"/>
                <w:numId w:val="1"/>
              </w:numPr>
              <w:rPr>
                <w:rFonts w:asciiTheme="minorHAnsi" w:hAnsiTheme="minorHAnsi"/>
              </w:rPr>
            </w:pPr>
            <w:r w:rsidRPr="00221383">
              <w:rPr>
                <w:rFonts w:asciiTheme="minorHAnsi" w:hAnsiTheme="minorHAnsi"/>
              </w:rPr>
              <w:lastRenderedPageBreak/>
              <w:t xml:space="preserve">met andere parlementen in overleg treden t.b.v. behalen meerderheid voor ’gele kaart’ (1/3 stemmen) via parlementaire vertegenwoordiging en/of fractielijnen. </w:t>
            </w:r>
          </w:p>
        </w:tc>
      </w:tr>
      <w:tr w:rsidRPr="00221383" w:rsidR="00C00215" w:rsidTr="00014FF3" w14:paraId="3404B9AD" w14:textId="77777777">
        <w:tc>
          <w:tcPr>
            <w:tcW w:w="2093" w:type="dxa"/>
          </w:tcPr>
          <w:p w:rsidRPr="00221383" w:rsidR="00C00215" w:rsidP="00014FF3" w:rsidRDefault="00C00215" w14:paraId="268D5547" w14:textId="77777777">
            <w:pPr>
              <w:pStyle w:val="Voetnoottekst"/>
              <w:rPr>
                <w:rFonts w:asciiTheme="minorHAnsi" w:hAnsiTheme="minorHAnsi"/>
              </w:rPr>
            </w:pPr>
            <w:r w:rsidRPr="00221383">
              <w:rPr>
                <w:rFonts w:asciiTheme="minorHAnsi" w:hAnsiTheme="minorHAnsi"/>
              </w:rPr>
              <w:lastRenderedPageBreak/>
              <w:t>Behandel-voorbehoud (richting regering)</w:t>
            </w:r>
          </w:p>
        </w:tc>
        <w:tc>
          <w:tcPr>
            <w:tcW w:w="6946" w:type="dxa"/>
          </w:tcPr>
          <w:p w:rsidRPr="00221383" w:rsidR="00C00215" w:rsidP="00014FF3" w:rsidRDefault="00C00215" w14:paraId="170D42C3" w14:textId="77777777">
            <w:pPr>
              <w:pStyle w:val="Lijstalinea"/>
              <w:ind w:left="34"/>
              <w:rPr>
                <w:rFonts w:asciiTheme="minorHAnsi" w:hAnsiTheme="minorHAnsi"/>
                <w:sz w:val="20"/>
                <w:szCs w:val="20"/>
              </w:rPr>
            </w:pPr>
            <w:r w:rsidRPr="00221383">
              <w:rPr>
                <w:rFonts w:asciiTheme="minorHAnsi" w:hAnsiTheme="minorHAnsi"/>
                <w:sz w:val="20"/>
                <w:szCs w:val="20"/>
              </w:rPr>
              <w:t xml:space="preserve">Zodra de Europese Commissie een wetgevend voorstel heeft gepresenteerd, kan de Kamer binnen 8 weken besluiten dat zij het voorstel van dusdanig politiek belang acht, dat de Kamer door de regering op bijzondere wijze geïnformeerd wil blijven worden over de EU onderhandelingen. De Kamer stelt het kabinet hiervan schriftelijk op de hoogte. Binnen vier weken na dit besluit vindt er een overleg plaats met het kabinet - tot aan dit overleg wordt het kabinet geacht op de onderhandelingen inzake dit dossier in de EU geen onomkeerbare beslissingen te nemen. Tijdens dit overleg worden afspraken gemaakt over de informatieverstrekking door het kabinet aan de Kamer, over het verloop van de onderhandelingen en over een eventueel vervolgoverleg. Deze afspraken worden in een brief aan het kabinet vastgelegd. Zodra het nadere overleg heeft plaatsgevonden, wordt het behandelvoorbehoud opgeheven. </w:t>
            </w:r>
          </w:p>
        </w:tc>
        <w:tc>
          <w:tcPr>
            <w:tcW w:w="5103" w:type="dxa"/>
          </w:tcPr>
          <w:p w:rsidRPr="00221383" w:rsidR="00C00215" w:rsidP="00014FF3" w:rsidRDefault="00C00215" w14:paraId="72C6EEA1" w14:textId="77777777">
            <w:pPr>
              <w:pStyle w:val="Voetnoottekst"/>
              <w:numPr>
                <w:ilvl w:val="0"/>
                <w:numId w:val="1"/>
              </w:numPr>
              <w:rPr>
                <w:rFonts w:asciiTheme="minorHAnsi" w:hAnsiTheme="minorHAnsi"/>
              </w:rPr>
            </w:pPr>
            <w:r w:rsidRPr="00221383">
              <w:rPr>
                <w:rFonts w:asciiTheme="minorHAnsi" w:hAnsiTheme="minorHAnsi"/>
              </w:rPr>
              <w:t>bij wetgevende EU-voorstellen kan een commissie besluiten tot het uitvoeren van een zgn. ‘behandelvoorbehoud’. Over deze brief moet plenair gestemd worden (let op de termijnen).</w:t>
            </w:r>
          </w:p>
          <w:p w:rsidRPr="00221383" w:rsidR="00C00215" w:rsidP="00014FF3" w:rsidRDefault="00C00215" w14:paraId="54BD94BE" w14:textId="77777777">
            <w:pPr>
              <w:pStyle w:val="Voetnoottekst"/>
              <w:numPr>
                <w:ilvl w:val="0"/>
                <w:numId w:val="1"/>
              </w:numPr>
              <w:rPr>
                <w:rFonts w:asciiTheme="minorHAnsi" w:hAnsiTheme="minorHAnsi"/>
              </w:rPr>
            </w:pPr>
            <w:r w:rsidRPr="00221383">
              <w:rPr>
                <w:rFonts w:asciiTheme="minorHAnsi" w:hAnsiTheme="minorHAnsi"/>
              </w:rPr>
              <w:t>tijdens een speciaal overleg kan de commissie afspraken maken over informatieverstrekking (bv. in kwartaalrapportages) zolang het desbetreffende dossier in onderhandeling is.</w:t>
            </w:r>
          </w:p>
          <w:p w:rsidRPr="00221383" w:rsidR="00C00215" w:rsidP="00014FF3" w:rsidRDefault="00C00215" w14:paraId="0800196A" w14:textId="77777777">
            <w:pPr>
              <w:pStyle w:val="Voetnoottekst"/>
              <w:numPr>
                <w:ilvl w:val="0"/>
                <w:numId w:val="1"/>
              </w:numPr>
              <w:rPr>
                <w:rFonts w:asciiTheme="minorHAnsi" w:hAnsiTheme="minorHAnsi"/>
              </w:rPr>
            </w:pPr>
            <w:r w:rsidRPr="00221383">
              <w:rPr>
                <w:rFonts w:asciiTheme="minorHAnsi" w:hAnsiTheme="minorHAnsi"/>
              </w:rPr>
              <w:t xml:space="preserve">kabinetsappreciatie (‘BNC-fiche’) komt voor aangekondigde </w:t>
            </w:r>
            <w:proofErr w:type="spellStart"/>
            <w:r w:rsidRPr="00221383">
              <w:rPr>
                <w:rFonts w:asciiTheme="minorHAnsi" w:hAnsiTheme="minorHAnsi"/>
              </w:rPr>
              <w:t>behandelvoorbehouden</w:t>
            </w:r>
            <w:proofErr w:type="spellEnd"/>
            <w:r w:rsidRPr="00221383">
              <w:rPr>
                <w:rFonts w:asciiTheme="minorHAnsi" w:hAnsiTheme="minorHAnsi"/>
              </w:rPr>
              <w:t xml:space="preserve"> binnen drie weken t.b.v. een snelle behandeling.</w:t>
            </w:r>
          </w:p>
          <w:p w:rsidRPr="00221383" w:rsidR="00C00215" w:rsidP="00014FF3" w:rsidRDefault="00C00215" w14:paraId="06DBA990" w14:textId="77777777">
            <w:pPr>
              <w:pStyle w:val="Voetnoottekst"/>
              <w:rPr>
                <w:rFonts w:asciiTheme="minorHAnsi" w:hAnsiTheme="minorHAnsi"/>
              </w:rPr>
            </w:pPr>
          </w:p>
        </w:tc>
      </w:tr>
    </w:tbl>
    <w:p w:rsidRPr="00221383" w:rsidR="00C00215" w:rsidP="00C00215" w:rsidRDefault="00C00215" w14:paraId="3453FCD0" w14:textId="77777777">
      <w:pPr>
        <w:rPr>
          <w:rFonts w:asciiTheme="minorHAnsi" w:hAnsiTheme="minorHAnsi"/>
          <w:sz w:val="20"/>
          <w:szCs w:val="20"/>
        </w:rPr>
      </w:pPr>
    </w:p>
    <w:p w:rsidRPr="00221383" w:rsidR="00C00215" w:rsidP="00C00215" w:rsidRDefault="00C00215" w14:paraId="15167EAC" w14:textId="77777777">
      <w:pPr>
        <w:rPr>
          <w:rFonts w:asciiTheme="minorHAnsi" w:hAnsiTheme="minorHAnsi"/>
        </w:rPr>
      </w:pPr>
    </w:p>
    <w:p w:rsidR="00BF2EB9" w:rsidRDefault="00BF2EB9" w14:paraId="1B064E6D" w14:textId="77777777"/>
    <w:sectPr w:rsidR="00BF2EB9" w:rsidSect="00C30329">
      <w:pgSz w:w="16838" w:h="11906" w:orient="landscape"/>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EEAB90" w14:textId="77777777" w:rsidR="00C00215" w:rsidRDefault="00C00215" w:rsidP="00C00215">
      <w:r>
        <w:separator/>
      </w:r>
    </w:p>
  </w:endnote>
  <w:endnote w:type="continuationSeparator" w:id="0">
    <w:p w14:paraId="6588ABF2" w14:textId="77777777" w:rsidR="00C00215" w:rsidRDefault="00C00215" w:rsidP="00C00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Arial Unicode MS">
    <w:panose1 w:val="020B0604020202020204"/>
    <w:charset w:val="00"/>
    <w:family w:val="roman"/>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EA5D5C" w14:textId="77777777" w:rsidR="00C00215" w:rsidRDefault="00C00215" w:rsidP="00C00215">
      <w:r>
        <w:separator/>
      </w:r>
    </w:p>
  </w:footnote>
  <w:footnote w:type="continuationSeparator" w:id="0">
    <w:p w14:paraId="6B744597" w14:textId="77777777" w:rsidR="00C00215" w:rsidRDefault="00C00215" w:rsidP="00C00215">
      <w:r>
        <w:continuationSeparator/>
      </w:r>
    </w:p>
  </w:footnote>
  <w:footnote w:id="1">
    <w:p w14:paraId="0FDF24DA" w14:textId="77777777" w:rsidR="00C00215" w:rsidRDefault="00C00215" w:rsidP="00C00215">
      <w:pPr>
        <w:pStyle w:val="Voetnoottekst"/>
      </w:pPr>
      <w:r>
        <w:rPr>
          <w:rStyle w:val="Voetnootmarkering"/>
        </w:rPr>
        <w:footnoteRef/>
      </w:r>
      <w:r w:rsidRPr="0015137B">
        <w:rPr>
          <w:rFonts w:ascii="Verdana" w:hAnsi="Verdana"/>
          <w:sz w:val="16"/>
        </w:rPr>
        <w:t>Wetgevingshandelingen moeten zijn vastgesteld volgens een zogeheten wetgevingsprocedure</w:t>
      </w:r>
      <w:r>
        <w:rPr>
          <w:rFonts w:ascii="Verdana" w:hAnsi="Verdana"/>
          <w:sz w:val="16"/>
        </w:rPr>
        <w:t>, zoals omschreven</w:t>
      </w:r>
      <w:r w:rsidRPr="0015137B">
        <w:rPr>
          <w:rFonts w:ascii="Verdana" w:hAnsi="Verdana"/>
          <w:sz w:val="16"/>
        </w:rPr>
        <w:t xml:space="preserve"> in de Europese verdragen. Het kan gaan om de gewone wetgevingsprocedure op grond van art. 294 EU-Werkingsverdrag (VWEU) of een bijzondere wetgevingsprocedure. In het verdragsartikel </w:t>
      </w:r>
      <w:r>
        <w:rPr>
          <w:rFonts w:ascii="Verdana" w:hAnsi="Verdana"/>
          <w:sz w:val="16"/>
        </w:rPr>
        <w:t xml:space="preserve">waarin de bevoegdheid om wetgeving op een bepaald terrein te maken </w:t>
      </w:r>
      <w:r w:rsidRPr="0015137B">
        <w:rPr>
          <w:rFonts w:ascii="Verdana" w:hAnsi="Verdana"/>
          <w:sz w:val="16"/>
        </w:rPr>
        <w:t>moet letterlijk het woord ‘wetgevingsprocedure’ staan.</w:t>
      </w:r>
    </w:p>
  </w:footnote>
  <w:footnote w:id="2">
    <w:p w14:paraId="7E95888C" w14:textId="77777777" w:rsidR="00C00215" w:rsidRPr="00B45904" w:rsidRDefault="00C00215" w:rsidP="00C00215">
      <w:pPr>
        <w:pStyle w:val="Voetnoottekst"/>
        <w:rPr>
          <w:rFonts w:ascii="Verdana" w:hAnsi="Verdana"/>
          <w:sz w:val="16"/>
          <w:szCs w:val="16"/>
        </w:rPr>
      </w:pPr>
      <w:r w:rsidRPr="00B45904">
        <w:rPr>
          <w:rStyle w:val="Voetnootmarkering"/>
          <w:rFonts w:ascii="Verdana" w:hAnsi="Verdana"/>
          <w:sz w:val="16"/>
          <w:szCs w:val="16"/>
        </w:rPr>
        <w:footnoteRef/>
      </w:r>
      <w:r>
        <w:rPr>
          <w:rFonts w:ascii="Verdana" w:hAnsi="Verdana"/>
          <w:sz w:val="16"/>
          <w:szCs w:val="16"/>
        </w:rPr>
        <w:t xml:space="preserve"> </w:t>
      </w:r>
      <w:r w:rsidRPr="00B45904">
        <w:rPr>
          <w:rFonts w:ascii="Verdana" w:hAnsi="Verdana"/>
          <w:sz w:val="16"/>
          <w:szCs w:val="16"/>
        </w:rPr>
        <w:t>Krachtens de standaard EU</w:t>
      </w:r>
      <w:r>
        <w:rPr>
          <w:rFonts w:ascii="Verdana" w:hAnsi="Verdana"/>
          <w:sz w:val="16"/>
          <w:szCs w:val="16"/>
        </w:rPr>
        <w:t>-</w:t>
      </w:r>
      <w:r w:rsidRPr="00B45904">
        <w:rPr>
          <w:rFonts w:ascii="Verdana" w:hAnsi="Verdana"/>
          <w:sz w:val="16"/>
          <w:szCs w:val="16"/>
        </w:rPr>
        <w:t>informatieafspraken</w:t>
      </w:r>
      <w:r>
        <w:rPr>
          <w:rFonts w:ascii="Verdana" w:hAnsi="Verdana"/>
          <w:sz w:val="16"/>
          <w:szCs w:val="16"/>
        </w:rPr>
        <w:t xml:space="preserve"> </w:t>
      </w:r>
      <w:r w:rsidRPr="00B45904">
        <w:rPr>
          <w:rFonts w:ascii="Verdana" w:hAnsi="Verdana"/>
          <w:sz w:val="16"/>
          <w:szCs w:val="16"/>
        </w:rPr>
        <w:t>(</w:t>
      </w:r>
      <w:proofErr w:type="spellStart"/>
      <w:r w:rsidRPr="00B45904">
        <w:rPr>
          <w:rFonts w:ascii="Verdana" w:hAnsi="Verdana"/>
          <w:sz w:val="16"/>
          <w:szCs w:val="16"/>
        </w:rPr>
        <w:t>Parlis</w:t>
      </w:r>
      <w:proofErr w:type="spellEnd"/>
      <w:r w:rsidRPr="00B45904">
        <w:rPr>
          <w:rFonts w:ascii="Verdana" w:hAnsi="Verdana"/>
          <w:sz w:val="16"/>
          <w:szCs w:val="16"/>
        </w:rPr>
        <w:t xml:space="preserve"> </w:t>
      </w:r>
      <w:hyperlink r:id="rId1" w:tgtFrame="_blank" w:history="1">
        <w:r w:rsidRPr="00B45904">
          <w:rPr>
            <w:rStyle w:val="Hyperlink"/>
            <w:rFonts w:ascii="Verdana" w:hAnsi="Verdana"/>
            <w:sz w:val="16"/>
            <w:szCs w:val="16"/>
          </w:rPr>
          <w:t>22112-1985</w:t>
        </w:r>
      </w:hyperlink>
      <w:r w:rsidRPr="00B45904">
        <w:rPr>
          <w:rStyle w:val="Hyperlink"/>
          <w:rFonts w:ascii="Verdana" w:hAnsi="Verdana"/>
          <w:sz w:val="16"/>
          <w:szCs w:val="16"/>
        </w:rPr>
        <w:t>)</w:t>
      </w:r>
      <w:r>
        <w:rPr>
          <w:rFonts w:ascii="Verdana" w:hAnsi="Verdana"/>
          <w:sz w:val="16"/>
          <w:szCs w:val="16"/>
        </w:rPr>
        <w:t xml:space="preserve"> </w:t>
      </w:r>
      <w:r w:rsidRPr="00B45904">
        <w:rPr>
          <w:rFonts w:ascii="Verdana" w:hAnsi="Verdana"/>
          <w:sz w:val="16"/>
          <w:szCs w:val="16"/>
        </w:rPr>
        <w:t>ontvangt de Kamer over alle nieuwe wetgevende en niet-wetgevende EU voorstellen een kabinetsappreciatie in de vorm van een zgn. “BNC fiche” (‘Beoordeling nieuwe commissievoorstellen). met daarin onder andere rechtsbasis, subsidiariteits- en proportionaliteitsoordeel, alsook het krachtenveld in Europa.</w:t>
      </w:r>
      <w:r>
        <w:rPr>
          <w:rFonts w:ascii="Verdana" w:hAnsi="Verdana"/>
          <w:sz w:val="16"/>
          <w:szCs w:val="16"/>
        </w:rPr>
        <w:t xml:space="preserve"> </w:t>
      </w:r>
      <w:r w:rsidRPr="00B45904">
        <w:rPr>
          <w:rFonts w:ascii="Verdana" w:hAnsi="Verdana"/>
          <w:sz w:val="16"/>
          <w:szCs w:val="16"/>
        </w:rPr>
        <w:t>De Kamer ontvangt elk fiche binnen zes weken, of binnen drie weken als in de prioriteitenlijst reeds een subsidiariteitstoets of behandelvoorbehoud is voorzien.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3811B5"/>
    <w:multiLevelType w:val="hybridMultilevel"/>
    <w:tmpl w:val="EB244652"/>
    <w:lvl w:ilvl="0" w:tplc="FD50780C">
      <w:start w:val="8"/>
      <w:numFmt w:val="bullet"/>
      <w:lvlText w:val="-"/>
      <w:lvlJc w:val="left"/>
      <w:pPr>
        <w:ind w:left="360" w:hanging="360"/>
      </w:pPr>
      <w:rPr>
        <w:rFonts w:ascii="Calibri" w:eastAsia="Arial Unicode MS" w:hAnsi="Calibri"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320535FE"/>
    <w:multiLevelType w:val="hybridMultilevel"/>
    <w:tmpl w:val="0AF01B32"/>
    <w:lvl w:ilvl="0" w:tplc="B6F2ECEC">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5110C91"/>
    <w:multiLevelType w:val="hybridMultilevel"/>
    <w:tmpl w:val="355A0E98"/>
    <w:lvl w:ilvl="0" w:tplc="96D61496">
      <w:numFmt w:val="bullet"/>
      <w:lvlText w:val="-"/>
      <w:lvlJc w:val="left"/>
      <w:pPr>
        <w:ind w:left="720" w:hanging="360"/>
      </w:pPr>
      <w:rPr>
        <w:rFonts w:ascii="Calibri" w:eastAsia="Arial Unicode MS"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7CB1E1C"/>
    <w:multiLevelType w:val="multilevel"/>
    <w:tmpl w:val="C166FEF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6057433F"/>
    <w:multiLevelType w:val="singleLevel"/>
    <w:tmpl w:val="3D5ECD48"/>
    <w:lvl w:ilvl="0">
      <w:start w:val="1"/>
      <w:numFmt w:val="bullet"/>
      <w:lvlText w:val="–"/>
      <w:lvlJc w:val="left"/>
      <w:pPr>
        <w:tabs>
          <w:tab w:val="num" w:pos="765"/>
        </w:tabs>
        <w:ind w:left="765" w:hanging="283"/>
      </w:pPr>
      <w:rPr>
        <w:rFonts w:ascii="Times New Roman" w:hAnsi="Times New Roman"/>
      </w:rPr>
    </w:lvl>
  </w:abstractNum>
  <w:abstractNum w:abstractNumId="5" w15:restartNumberingAfterBreak="0">
    <w:nsid w:val="650E2694"/>
    <w:multiLevelType w:val="hybridMultilevel"/>
    <w:tmpl w:val="2BEED734"/>
    <w:lvl w:ilvl="0" w:tplc="0F9E5BB2">
      <w:numFmt w:val="bullet"/>
      <w:lvlText w:val="-"/>
      <w:lvlJc w:val="left"/>
      <w:pPr>
        <w:ind w:left="720" w:hanging="360"/>
      </w:pPr>
      <w:rPr>
        <w:rFonts w:ascii="Calibri" w:eastAsia="Arial Unicode MS"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68D919C5"/>
    <w:multiLevelType w:val="hybridMultilevel"/>
    <w:tmpl w:val="A802E5B0"/>
    <w:lvl w:ilvl="0" w:tplc="B6F2ECEC">
      <w:numFmt w:val="bullet"/>
      <w:lvlText w:val="-"/>
      <w:lvlJc w:val="left"/>
      <w:pPr>
        <w:ind w:left="360" w:hanging="360"/>
      </w:pPr>
      <w:rPr>
        <w:rFonts w:ascii="Calibri" w:eastAsia="Times New Roman" w:hAnsi="Calibri"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6E3B13A3"/>
    <w:multiLevelType w:val="hybridMultilevel"/>
    <w:tmpl w:val="CD9A2BF8"/>
    <w:lvl w:ilvl="0" w:tplc="317CB596">
      <w:numFmt w:val="bullet"/>
      <w:lvlText w:val="-"/>
      <w:lvlJc w:val="left"/>
      <w:pPr>
        <w:ind w:left="720" w:hanging="360"/>
      </w:pPr>
      <w:rPr>
        <w:rFonts w:ascii="Calibri" w:eastAsia="Arial Unicode MS"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5"/>
  </w:num>
  <w:num w:numId="5">
    <w:abstractNumId w:val="7"/>
  </w:num>
  <w:num w:numId="6">
    <w:abstractNumId w:val="3"/>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215"/>
    <w:rsid w:val="00021113"/>
    <w:rsid w:val="00026517"/>
    <w:rsid w:val="000268DC"/>
    <w:rsid w:val="0003016D"/>
    <w:rsid w:val="00051946"/>
    <w:rsid w:val="00062B8C"/>
    <w:rsid w:val="00073356"/>
    <w:rsid w:val="00076782"/>
    <w:rsid w:val="0007694D"/>
    <w:rsid w:val="000B1D44"/>
    <w:rsid w:val="0011747F"/>
    <w:rsid w:val="00142BBE"/>
    <w:rsid w:val="001544A3"/>
    <w:rsid w:val="001705AD"/>
    <w:rsid w:val="00176B31"/>
    <w:rsid w:val="001823D2"/>
    <w:rsid w:val="001A1941"/>
    <w:rsid w:val="001A5372"/>
    <w:rsid w:val="001A65C6"/>
    <w:rsid w:val="001C0F34"/>
    <w:rsid w:val="001F341F"/>
    <w:rsid w:val="00205733"/>
    <w:rsid w:val="00212212"/>
    <w:rsid w:val="00226F8B"/>
    <w:rsid w:val="00232130"/>
    <w:rsid w:val="00233365"/>
    <w:rsid w:val="00261F1F"/>
    <w:rsid w:val="00266E1D"/>
    <w:rsid w:val="00270493"/>
    <w:rsid w:val="0028110B"/>
    <w:rsid w:val="002814DA"/>
    <w:rsid w:val="002A64DD"/>
    <w:rsid w:val="002A719B"/>
    <w:rsid w:val="002E1E21"/>
    <w:rsid w:val="002E478F"/>
    <w:rsid w:val="003069A8"/>
    <w:rsid w:val="003157E1"/>
    <w:rsid w:val="00326959"/>
    <w:rsid w:val="00327119"/>
    <w:rsid w:val="00332FB9"/>
    <w:rsid w:val="00344C3F"/>
    <w:rsid w:val="00345375"/>
    <w:rsid w:val="003538A0"/>
    <w:rsid w:val="00367C9F"/>
    <w:rsid w:val="003D55F7"/>
    <w:rsid w:val="003E288E"/>
    <w:rsid w:val="003E4BA1"/>
    <w:rsid w:val="003E55A0"/>
    <w:rsid w:val="00410B7D"/>
    <w:rsid w:val="00433D6E"/>
    <w:rsid w:val="00446C6C"/>
    <w:rsid w:val="00451F94"/>
    <w:rsid w:val="004606BD"/>
    <w:rsid w:val="00462B96"/>
    <w:rsid w:val="00466D13"/>
    <w:rsid w:val="00485134"/>
    <w:rsid w:val="00490A18"/>
    <w:rsid w:val="004912BA"/>
    <w:rsid w:val="00495920"/>
    <w:rsid w:val="004A784A"/>
    <w:rsid w:val="004B6469"/>
    <w:rsid w:val="004C3FB7"/>
    <w:rsid w:val="004C634B"/>
    <w:rsid w:val="004D7C8F"/>
    <w:rsid w:val="004E0578"/>
    <w:rsid w:val="004E1C04"/>
    <w:rsid w:val="004E39E4"/>
    <w:rsid w:val="004E406F"/>
    <w:rsid w:val="004F32AC"/>
    <w:rsid w:val="0051510B"/>
    <w:rsid w:val="0052026E"/>
    <w:rsid w:val="00520708"/>
    <w:rsid w:val="00532C45"/>
    <w:rsid w:val="00541C26"/>
    <w:rsid w:val="0055500A"/>
    <w:rsid w:val="00571890"/>
    <w:rsid w:val="005769AE"/>
    <w:rsid w:val="00577015"/>
    <w:rsid w:val="005839B2"/>
    <w:rsid w:val="005A5AB1"/>
    <w:rsid w:val="005B3D96"/>
    <w:rsid w:val="005D40F4"/>
    <w:rsid w:val="005D7744"/>
    <w:rsid w:val="005F3A06"/>
    <w:rsid w:val="005F7071"/>
    <w:rsid w:val="005F79FF"/>
    <w:rsid w:val="006027C0"/>
    <w:rsid w:val="0060348E"/>
    <w:rsid w:val="0060486B"/>
    <w:rsid w:val="00614A1B"/>
    <w:rsid w:val="0062122F"/>
    <w:rsid w:val="0062298E"/>
    <w:rsid w:val="00651536"/>
    <w:rsid w:val="006537B3"/>
    <w:rsid w:val="0065642A"/>
    <w:rsid w:val="006675DD"/>
    <w:rsid w:val="00667B4C"/>
    <w:rsid w:val="0067217C"/>
    <w:rsid w:val="00681F93"/>
    <w:rsid w:val="00682D48"/>
    <w:rsid w:val="006845D9"/>
    <w:rsid w:val="006854B2"/>
    <w:rsid w:val="0069580A"/>
    <w:rsid w:val="006B4942"/>
    <w:rsid w:val="006B5FBA"/>
    <w:rsid w:val="006D5D8B"/>
    <w:rsid w:val="006F4F0D"/>
    <w:rsid w:val="007039BB"/>
    <w:rsid w:val="00720660"/>
    <w:rsid w:val="00725A57"/>
    <w:rsid w:val="00726210"/>
    <w:rsid w:val="00754E50"/>
    <w:rsid w:val="00762B96"/>
    <w:rsid w:val="00765C1D"/>
    <w:rsid w:val="00774900"/>
    <w:rsid w:val="00777FE1"/>
    <w:rsid w:val="0078173F"/>
    <w:rsid w:val="007C4E7B"/>
    <w:rsid w:val="007D0A86"/>
    <w:rsid w:val="007E0DC6"/>
    <w:rsid w:val="00813C57"/>
    <w:rsid w:val="008159ED"/>
    <w:rsid w:val="00836C18"/>
    <w:rsid w:val="00854E8E"/>
    <w:rsid w:val="00865FBA"/>
    <w:rsid w:val="00875122"/>
    <w:rsid w:val="00880032"/>
    <w:rsid w:val="00895AB8"/>
    <w:rsid w:val="008C0056"/>
    <w:rsid w:val="008C13D4"/>
    <w:rsid w:val="008C200E"/>
    <w:rsid w:val="008C351C"/>
    <w:rsid w:val="008E016D"/>
    <w:rsid w:val="008E6FE1"/>
    <w:rsid w:val="009075F6"/>
    <w:rsid w:val="00933E7E"/>
    <w:rsid w:val="0093418A"/>
    <w:rsid w:val="00955BB0"/>
    <w:rsid w:val="00973C15"/>
    <w:rsid w:val="00975F76"/>
    <w:rsid w:val="009815F6"/>
    <w:rsid w:val="00983D2E"/>
    <w:rsid w:val="009951AC"/>
    <w:rsid w:val="009A2DEA"/>
    <w:rsid w:val="009B5C8B"/>
    <w:rsid w:val="009C5EAC"/>
    <w:rsid w:val="009D7826"/>
    <w:rsid w:val="009D792A"/>
    <w:rsid w:val="009E1A04"/>
    <w:rsid w:val="009E3DC4"/>
    <w:rsid w:val="009F713B"/>
    <w:rsid w:val="00A03EB9"/>
    <w:rsid w:val="00A107B0"/>
    <w:rsid w:val="00A12B2A"/>
    <w:rsid w:val="00A35E30"/>
    <w:rsid w:val="00A61AF4"/>
    <w:rsid w:val="00A65AEE"/>
    <w:rsid w:val="00A714AB"/>
    <w:rsid w:val="00A80B2F"/>
    <w:rsid w:val="00A81E10"/>
    <w:rsid w:val="00A86C5D"/>
    <w:rsid w:val="00A9670D"/>
    <w:rsid w:val="00A97650"/>
    <w:rsid w:val="00AA358A"/>
    <w:rsid w:val="00AD298D"/>
    <w:rsid w:val="00AD673A"/>
    <w:rsid w:val="00AE7D3F"/>
    <w:rsid w:val="00B149A7"/>
    <w:rsid w:val="00B155A7"/>
    <w:rsid w:val="00B43E86"/>
    <w:rsid w:val="00B520C3"/>
    <w:rsid w:val="00B63E4A"/>
    <w:rsid w:val="00B706D6"/>
    <w:rsid w:val="00BA5103"/>
    <w:rsid w:val="00BB0EE0"/>
    <w:rsid w:val="00BC0C4E"/>
    <w:rsid w:val="00BC37D0"/>
    <w:rsid w:val="00BC59D4"/>
    <w:rsid w:val="00BC5DE7"/>
    <w:rsid w:val="00BC5F27"/>
    <w:rsid w:val="00BD6E22"/>
    <w:rsid w:val="00BE337E"/>
    <w:rsid w:val="00BF2EB9"/>
    <w:rsid w:val="00BF7AF9"/>
    <w:rsid w:val="00C00215"/>
    <w:rsid w:val="00C151D3"/>
    <w:rsid w:val="00C15831"/>
    <w:rsid w:val="00C24131"/>
    <w:rsid w:val="00C41D5B"/>
    <w:rsid w:val="00C758F2"/>
    <w:rsid w:val="00C75908"/>
    <w:rsid w:val="00C924B6"/>
    <w:rsid w:val="00CA61F4"/>
    <w:rsid w:val="00CB04C8"/>
    <w:rsid w:val="00CC40A5"/>
    <w:rsid w:val="00CE2E34"/>
    <w:rsid w:val="00D014FC"/>
    <w:rsid w:val="00D10A76"/>
    <w:rsid w:val="00D15B06"/>
    <w:rsid w:val="00D24C19"/>
    <w:rsid w:val="00D52E1C"/>
    <w:rsid w:val="00D60691"/>
    <w:rsid w:val="00D80190"/>
    <w:rsid w:val="00D812CC"/>
    <w:rsid w:val="00D8557C"/>
    <w:rsid w:val="00D901C4"/>
    <w:rsid w:val="00DD70E4"/>
    <w:rsid w:val="00DE22F8"/>
    <w:rsid w:val="00DE5657"/>
    <w:rsid w:val="00DF0243"/>
    <w:rsid w:val="00DF0369"/>
    <w:rsid w:val="00DF5089"/>
    <w:rsid w:val="00E01B5A"/>
    <w:rsid w:val="00E12571"/>
    <w:rsid w:val="00E16EC6"/>
    <w:rsid w:val="00E312FD"/>
    <w:rsid w:val="00E346AE"/>
    <w:rsid w:val="00E52B0D"/>
    <w:rsid w:val="00E73721"/>
    <w:rsid w:val="00E778FE"/>
    <w:rsid w:val="00E82FFA"/>
    <w:rsid w:val="00E961A1"/>
    <w:rsid w:val="00E961F8"/>
    <w:rsid w:val="00EA40E7"/>
    <w:rsid w:val="00EB3082"/>
    <w:rsid w:val="00EB50C0"/>
    <w:rsid w:val="00ED10C9"/>
    <w:rsid w:val="00F05879"/>
    <w:rsid w:val="00F06B40"/>
    <w:rsid w:val="00F179DB"/>
    <w:rsid w:val="00F40AD6"/>
    <w:rsid w:val="00F557B8"/>
    <w:rsid w:val="00F61324"/>
    <w:rsid w:val="00F737FA"/>
    <w:rsid w:val="00F944C3"/>
    <w:rsid w:val="00FA2BF2"/>
    <w:rsid w:val="00FA6E08"/>
    <w:rsid w:val="00FD058B"/>
    <w:rsid w:val="00FD129F"/>
    <w:rsid w:val="00FE7F71"/>
    <w:rsid w:val="00FF3F3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DFD6E3"/>
  <w15:docId w15:val="{55D4563F-9225-41F6-BEC1-36EC3E0D8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00215"/>
    <w:rPr>
      <w:sz w:val="24"/>
      <w:szCs w:val="24"/>
    </w:rPr>
  </w:style>
  <w:style w:type="paragraph" w:styleId="Kop1">
    <w:name w:val="heading 1"/>
    <w:basedOn w:val="Standaard"/>
    <w:link w:val="Kop1Char"/>
    <w:uiPriority w:val="9"/>
    <w:qFormat/>
    <w:rsid w:val="00367C9F"/>
    <w:pPr>
      <w:spacing w:before="100" w:beforeAutospacing="1" w:after="100" w:afterAutospacing="1"/>
      <w:outlineLvl w:val="0"/>
    </w:pPr>
    <w:rPr>
      <w:b/>
      <w:bCs/>
      <w:kern w:val="36"/>
      <w:sz w:val="48"/>
      <w:szCs w:val="4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C00215"/>
    <w:rPr>
      <w:color w:val="0000FF"/>
      <w:u w:val="single"/>
    </w:rPr>
  </w:style>
  <w:style w:type="character" w:styleId="Zwaar">
    <w:name w:val="Strong"/>
    <w:basedOn w:val="Standaardalinea-lettertype"/>
    <w:uiPriority w:val="22"/>
    <w:qFormat/>
    <w:rsid w:val="00C00215"/>
    <w:rPr>
      <w:b/>
      <w:bCs/>
    </w:rPr>
  </w:style>
  <w:style w:type="paragraph" w:styleId="Voetnoottekst">
    <w:name w:val="footnote text"/>
    <w:basedOn w:val="Standaard"/>
    <w:link w:val="VoetnoottekstChar"/>
    <w:rsid w:val="00C00215"/>
    <w:rPr>
      <w:sz w:val="20"/>
      <w:szCs w:val="20"/>
    </w:rPr>
  </w:style>
  <w:style w:type="character" w:customStyle="1" w:styleId="VoetnoottekstChar">
    <w:name w:val="Voetnoottekst Char"/>
    <w:basedOn w:val="Standaardalinea-lettertype"/>
    <w:link w:val="Voetnoottekst"/>
    <w:rsid w:val="00C00215"/>
  </w:style>
  <w:style w:type="table" w:styleId="Tabelraster">
    <w:name w:val="Table Grid"/>
    <w:basedOn w:val="Standaardtabel"/>
    <w:rsid w:val="00C002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C00215"/>
    <w:pPr>
      <w:ind w:left="720"/>
    </w:pPr>
    <w:rPr>
      <w:rFonts w:eastAsiaTheme="minorHAnsi"/>
    </w:rPr>
  </w:style>
  <w:style w:type="character" w:styleId="Voetnootmarkering">
    <w:name w:val="footnote reference"/>
    <w:basedOn w:val="Standaardalinea-lettertype"/>
    <w:rsid w:val="00C00215"/>
    <w:rPr>
      <w:vertAlign w:val="superscript"/>
    </w:rPr>
  </w:style>
  <w:style w:type="character" w:styleId="GevolgdeHyperlink">
    <w:name w:val="FollowedHyperlink"/>
    <w:basedOn w:val="Standaardalinea-lettertype"/>
    <w:rsid w:val="004E1C04"/>
    <w:rPr>
      <w:color w:val="800080" w:themeColor="followedHyperlink"/>
      <w:u w:val="single"/>
    </w:rPr>
  </w:style>
  <w:style w:type="character" w:styleId="Verwijzingopmerking">
    <w:name w:val="annotation reference"/>
    <w:basedOn w:val="Standaardalinea-lettertype"/>
    <w:rsid w:val="004E1C04"/>
    <w:rPr>
      <w:sz w:val="16"/>
      <w:szCs w:val="16"/>
    </w:rPr>
  </w:style>
  <w:style w:type="paragraph" w:styleId="Tekstopmerking">
    <w:name w:val="annotation text"/>
    <w:basedOn w:val="Standaard"/>
    <w:link w:val="TekstopmerkingChar"/>
    <w:rsid w:val="004E1C04"/>
    <w:rPr>
      <w:sz w:val="20"/>
      <w:szCs w:val="20"/>
    </w:rPr>
  </w:style>
  <w:style w:type="character" w:customStyle="1" w:styleId="TekstopmerkingChar">
    <w:name w:val="Tekst opmerking Char"/>
    <w:basedOn w:val="Standaardalinea-lettertype"/>
    <w:link w:val="Tekstopmerking"/>
    <w:rsid w:val="004E1C04"/>
  </w:style>
  <w:style w:type="paragraph" w:styleId="Onderwerpvanopmerking">
    <w:name w:val="annotation subject"/>
    <w:basedOn w:val="Tekstopmerking"/>
    <w:next w:val="Tekstopmerking"/>
    <w:link w:val="OnderwerpvanopmerkingChar"/>
    <w:rsid w:val="004E1C04"/>
    <w:rPr>
      <w:b/>
      <w:bCs/>
    </w:rPr>
  </w:style>
  <w:style w:type="character" w:customStyle="1" w:styleId="OnderwerpvanopmerkingChar">
    <w:name w:val="Onderwerp van opmerking Char"/>
    <w:basedOn w:val="TekstopmerkingChar"/>
    <w:link w:val="Onderwerpvanopmerking"/>
    <w:rsid w:val="004E1C04"/>
    <w:rPr>
      <w:b/>
      <w:bCs/>
    </w:rPr>
  </w:style>
  <w:style w:type="paragraph" w:styleId="Ballontekst">
    <w:name w:val="Balloon Text"/>
    <w:basedOn w:val="Standaard"/>
    <w:link w:val="BallontekstChar"/>
    <w:rsid w:val="004E1C04"/>
    <w:rPr>
      <w:rFonts w:ascii="Tahoma" w:hAnsi="Tahoma" w:cs="Tahoma"/>
      <w:sz w:val="16"/>
      <w:szCs w:val="16"/>
    </w:rPr>
  </w:style>
  <w:style w:type="character" w:customStyle="1" w:styleId="BallontekstChar">
    <w:name w:val="Ballontekst Char"/>
    <w:basedOn w:val="Standaardalinea-lettertype"/>
    <w:link w:val="Ballontekst"/>
    <w:rsid w:val="004E1C04"/>
    <w:rPr>
      <w:rFonts w:ascii="Tahoma" w:hAnsi="Tahoma" w:cs="Tahoma"/>
      <w:sz w:val="16"/>
      <w:szCs w:val="16"/>
    </w:rPr>
  </w:style>
  <w:style w:type="character" w:customStyle="1" w:styleId="tlid-translation">
    <w:name w:val="tlid-translation"/>
    <w:basedOn w:val="Standaardalinea-lettertype"/>
    <w:rsid w:val="004E1C04"/>
  </w:style>
  <w:style w:type="paragraph" w:customStyle="1" w:styleId="Default">
    <w:name w:val="Default"/>
    <w:rsid w:val="00FA6E08"/>
    <w:pPr>
      <w:autoSpaceDE w:val="0"/>
      <w:autoSpaceDN w:val="0"/>
      <w:adjustRightInd w:val="0"/>
    </w:pPr>
    <w:rPr>
      <w:color w:val="000000"/>
      <w:sz w:val="24"/>
      <w:szCs w:val="24"/>
    </w:rPr>
  </w:style>
  <w:style w:type="paragraph" w:customStyle="1" w:styleId="ListDash1Level4">
    <w:name w:val="List Dash 1 (Level 4)"/>
    <w:basedOn w:val="Text1"/>
    <w:semiHidden/>
    <w:unhideWhenUsed/>
    <w:rsid w:val="005A5AB1"/>
    <w:pPr>
      <w:numPr>
        <w:ilvl w:val="3"/>
        <w:numId w:val="6"/>
      </w:numPr>
    </w:pPr>
  </w:style>
  <w:style w:type="paragraph" w:customStyle="1" w:styleId="ListDash1Level3">
    <w:name w:val="List Dash 1 (Level 3)"/>
    <w:basedOn w:val="Text1"/>
    <w:semiHidden/>
    <w:unhideWhenUsed/>
    <w:rsid w:val="005A5AB1"/>
    <w:pPr>
      <w:numPr>
        <w:ilvl w:val="2"/>
        <w:numId w:val="6"/>
      </w:numPr>
    </w:pPr>
  </w:style>
  <w:style w:type="paragraph" w:customStyle="1" w:styleId="ListDash1Level2">
    <w:name w:val="List Dash 1 (Level 2)"/>
    <w:basedOn w:val="Text1"/>
    <w:rsid w:val="005A5AB1"/>
    <w:pPr>
      <w:numPr>
        <w:ilvl w:val="1"/>
        <w:numId w:val="6"/>
      </w:numPr>
    </w:pPr>
  </w:style>
  <w:style w:type="paragraph" w:customStyle="1" w:styleId="ListDash1">
    <w:name w:val="List Dash 1"/>
    <w:basedOn w:val="Text1"/>
    <w:rsid w:val="005A5AB1"/>
    <w:pPr>
      <w:numPr>
        <w:numId w:val="6"/>
      </w:numPr>
    </w:pPr>
  </w:style>
  <w:style w:type="paragraph" w:customStyle="1" w:styleId="Text1">
    <w:name w:val="Text 1"/>
    <w:basedOn w:val="Standaard"/>
    <w:qFormat/>
    <w:rsid w:val="005A5AB1"/>
    <w:pPr>
      <w:spacing w:after="240"/>
      <w:ind w:left="482"/>
      <w:jc w:val="both"/>
    </w:pPr>
    <w:rPr>
      <w:szCs w:val="20"/>
      <w:lang w:bidi="nl-NL"/>
    </w:rPr>
  </w:style>
  <w:style w:type="paragraph" w:styleId="Normaalweb">
    <w:name w:val="Normal (Web)"/>
    <w:basedOn w:val="Standaard"/>
    <w:uiPriority w:val="99"/>
    <w:semiHidden/>
    <w:unhideWhenUsed/>
    <w:rsid w:val="00D60691"/>
    <w:pPr>
      <w:spacing w:before="100" w:beforeAutospacing="1" w:after="100" w:afterAutospacing="1"/>
    </w:pPr>
  </w:style>
  <w:style w:type="paragraph" w:customStyle="1" w:styleId="hidden">
    <w:name w:val="hidden"/>
    <w:basedOn w:val="Standaard"/>
    <w:rsid w:val="00C24131"/>
    <w:pPr>
      <w:spacing w:after="150"/>
    </w:pPr>
    <w:rPr>
      <w:vanish/>
    </w:rPr>
  </w:style>
  <w:style w:type="character" w:customStyle="1" w:styleId="Kop1Char">
    <w:name w:val="Kop 1 Char"/>
    <w:basedOn w:val="Standaardalinea-lettertype"/>
    <w:link w:val="Kop1"/>
    <w:uiPriority w:val="9"/>
    <w:rsid w:val="00367C9F"/>
    <w:rPr>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205500">
      <w:bodyDiv w:val="1"/>
      <w:marLeft w:val="0"/>
      <w:marRight w:val="0"/>
      <w:marTop w:val="0"/>
      <w:marBottom w:val="0"/>
      <w:divBdr>
        <w:top w:val="none" w:sz="0" w:space="0" w:color="auto"/>
        <w:left w:val="none" w:sz="0" w:space="0" w:color="auto"/>
        <w:bottom w:val="none" w:sz="0" w:space="0" w:color="auto"/>
        <w:right w:val="none" w:sz="0" w:space="0" w:color="auto"/>
      </w:divBdr>
      <w:divsChild>
        <w:div w:id="1224147678">
          <w:marLeft w:val="0"/>
          <w:marRight w:val="0"/>
          <w:marTop w:val="0"/>
          <w:marBottom w:val="0"/>
          <w:divBdr>
            <w:top w:val="none" w:sz="0" w:space="0" w:color="auto"/>
            <w:left w:val="none" w:sz="0" w:space="0" w:color="auto"/>
            <w:bottom w:val="none" w:sz="0" w:space="0" w:color="auto"/>
            <w:right w:val="none" w:sz="0" w:space="0" w:color="auto"/>
          </w:divBdr>
          <w:divsChild>
            <w:div w:id="550657336">
              <w:marLeft w:val="0"/>
              <w:marRight w:val="0"/>
              <w:marTop w:val="0"/>
              <w:marBottom w:val="0"/>
              <w:divBdr>
                <w:top w:val="none" w:sz="0" w:space="0" w:color="auto"/>
                <w:left w:val="none" w:sz="0" w:space="0" w:color="auto"/>
                <w:bottom w:val="none" w:sz="0" w:space="0" w:color="auto"/>
                <w:right w:val="none" w:sz="0" w:space="0" w:color="auto"/>
              </w:divBdr>
              <w:divsChild>
                <w:div w:id="1785152975">
                  <w:marLeft w:val="0"/>
                  <w:marRight w:val="0"/>
                  <w:marTop w:val="0"/>
                  <w:marBottom w:val="0"/>
                  <w:divBdr>
                    <w:top w:val="none" w:sz="0" w:space="0" w:color="auto"/>
                    <w:left w:val="none" w:sz="0" w:space="0" w:color="auto"/>
                    <w:bottom w:val="none" w:sz="0" w:space="0" w:color="auto"/>
                    <w:right w:val="none" w:sz="0" w:space="0" w:color="auto"/>
                  </w:divBdr>
                  <w:divsChild>
                    <w:div w:id="1813981423">
                      <w:marLeft w:val="0"/>
                      <w:marRight w:val="0"/>
                      <w:marTop w:val="0"/>
                      <w:marBottom w:val="0"/>
                      <w:divBdr>
                        <w:top w:val="none" w:sz="0" w:space="0" w:color="auto"/>
                        <w:left w:val="none" w:sz="0" w:space="0" w:color="auto"/>
                        <w:bottom w:val="none" w:sz="0" w:space="0" w:color="auto"/>
                        <w:right w:val="none" w:sz="0" w:space="0" w:color="auto"/>
                      </w:divBdr>
                      <w:divsChild>
                        <w:div w:id="705327828">
                          <w:marLeft w:val="0"/>
                          <w:marRight w:val="0"/>
                          <w:marTop w:val="0"/>
                          <w:marBottom w:val="0"/>
                          <w:divBdr>
                            <w:top w:val="none" w:sz="0" w:space="0" w:color="auto"/>
                            <w:left w:val="none" w:sz="0" w:space="0" w:color="auto"/>
                            <w:bottom w:val="none" w:sz="0" w:space="0" w:color="auto"/>
                            <w:right w:val="none" w:sz="0" w:space="0" w:color="auto"/>
                          </w:divBdr>
                          <w:divsChild>
                            <w:div w:id="1290742851">
                              <w:marLeft w:val="0"/>
                              <w:marRight w:val="0"/>
                              <w:marTop w:val="0"/>
                              <w:marBottom w:val="0"/>
                              <w:divBdr>
                                <w:top w:val="none" w:sz="0" w:space="0" w:color="auto"/>
                                <w:left w:val="none" w:sz="0" w:space="0" w:color="auto"/>
                                <w:bottom w:val="none" w:sz="0" w:space="0" w:color="auto"/>
                                <w:right w:val="none" w:sz="0" w:space="0" w:color="auto"/>
                              </w:divBdr>
                              <w:divsChild>
                                <w:div w:id="1045836832">
                                  <w:marLeft w:val="0"/>
                                  <w:marRight w:val="0"/>
                                  <w:marTop w:val="0"/>
                                  <w:marBottom w:val="0"/>
                                  <w:divBdr>
                                    <w:top w:val="none" w:sz="0" w:space="0" w:color="auto"/>
                                    <w:left w:val="none" w:sz="0" w:space="0" w:color="auto"/>
                                    <w:bottom w:val="none" w:sz="0" w:space="0" w:color="auto"/>
                                    <w:right w:val="none" w:sz="0" w:space="0" w:color="auto"/>
                                  </w:divBdr>
                                  <w:divsChild>
                                    <w:div w:id="753012872">
                                      <w:marLeft w:val="0"/>
                                      <w:marRight w:val="0"/>
                                      <w:marTop w:val="0"/>
                                      <w:marBottom w:val="0"/>
                                      <w:divBdr>
                                        <w:top w:val="none" w:sz="0" w:space="0" w:color="auto"/>
                                        <w:left w:val="none" w:sz="0" w:space="0" w:color="auto"/>
                                        <w:bottom w:val="none" w:sz="0" w:space="0" w:color="auto"/>
                                        <w:right w:val="none" w:sz="0" w:space="0" w:color="auto"/>
                                      </w:divBdr>
                                      <w:divsChild>
                                        <w:div w:id="131749318">
                                          <w:marLeft w:val="0"/>
                                          <w:marRight w:val="0"/>
                                          <w:marTop w:val="0"/>
                                          <w:marBottom w:val="0"/>
                                          <w:divBdr>
                                            <w:top w:val="none" w:sz="0" w:space="0" w:color="auto"/>
                                            <w:left w:val="none" w:sz="0" w:space="0" w:color="auto"/>
                                            <w:bottom w:val="none" w:sz="0" w:space="0" w:color="auto"/>
                                            <w:right w:val="none" w:sz="0" w:space="0" w:color="auto"/>
                                          </w:divBdr>
                                          <w:divsChild>
                                            <w:div w:id="1408305166">
                                              <w:marLeft w:val="0"/>
                                              <w:marRight w:val="0"/>
                                              <w:marTop w:val="0"/>
                                              <w:marBottom w:val="495"/>
                                              <w:divBdr>
                                                <w:top w:val="none" w:sz="0" w:space="0" w:color="auto"/>
                                                <w:left w:val="none" w:sz="0" w:space="0" w:color="auto"/>
                                                <w:bottom w:val="none" w:sz="0" w:space="0" w:color="auto"/>
                                                <w:right w:val="none" w:sz="0" w:space="0" w:color="auto"/>
                                              </w:divBdr>
                                              <w:divsChild>
                                                <w:div w:id="77287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8140274">
      <w:bodyDiv w:val="1"/>
      <w:marLeft w:val="0"/>
      <w:marRight w:val="0"/>
      <w:marTop w:val="0"/>
      <w:marBottom w:val="0"/>
      <w:divBdr>
        <w:top w:val="none" w:sz="0" w:space="0" w:color="auto"/>
        <w:left w:val="none" w:sz="0" w:space="0" w:color="auto"/>
        <w:bottom w:val="none" w:sz="0" w:space="0" w:color="auto"/>
        <w:right w:val="none" w:sz="0" w:space="0" w:color="auto"/>
      </w:divBdr>
    </w:div>
    <w:div w:id="70124326">
      <w:bodyDiv w:val="1"/>
      <w:marLeft w:val="0"/>
      <w:marRight w:val="0"/>
      <w:marTop w:val="0"/>
      <w:marBottom w:val="0"/>
      <w:divBdr>
        <w:top w:val="none" w:sz="0" w:space="0" w:color="auto"/>
        <w:left w:val="none" w:sz="0" w:space="0" w:color="auto"/>
        <w:bottom w:val="none" w:sz="0" w:space="0" w:color="auto"/>
        <w:right w:val="none" w:sz="0" w:space="0" w:color="auto"/>
      </w:divBdr>
    </w:div>
    <w:div w:id="76833610">
      <w:bodyDiv w:val="1"/>
      <w:marLeft w:val="0"/>
      <w:marRight w:val="0"/>
      <w:marTop w:val="0"/>
      <w:marBottom w:val="0"/>
      <w:divBdr>
        <w:top w:val="none" w:sz="0" w:space="0" w:color="auto"/>
        <w:left w:val="none" w:sz="0" w:space="0" w:color="auto"/>
        <w:bottom w:val="none" w:sz="0" w:space="0" w:color="auto"/>
        <w:right w:val="none" w:sz="0" w:space="0" w:color="auto"/>
      </w:divBdr>
    </w:div>
    <w:div w:id="93936616">
      <w:bodyDiv w:val="1"/>
      <w:marLeft w:val="0"/>
      <w:marRight w:val="0"/>
      <w:marTop w:val="0"/>
      <w:marBottom w:val="0"/>
      <w:divBdr>
        <w:top w:val="none" w:sz="0" w:space="0" w:color="auto"/>
        <w:left w:val="none" w:sz="0" w:space="0" w:color="auto"/>
        <w:bottom w:val="none" w:sz="0" w:space="0" w:color="auto"/>
        <w:right w:val="none" w:sz="0" w:space="0" w:color="auto"/>
      </w:divBdr>
    </w:div>
    <w:div w:id="102040810">
      <w:bodyDiv w:val="1"/>
      <w:marLeft w:val="0"/>
      <w:marRight w:val="0"/>
      <w:marTop w:val="0"/>
      <w:marBottom w:val="0"/>
      <w:divBdr>
        <w:top w:val="none" w:sz="0" w:space="0" w:color="auto"/>
        <w:left w:val="none" w:sz="0" w:space="0" w:color="auto"/>
        <w:bottom w:val="none" w:sz="0" w:space="0" w:color="auto"/>
        <w:right w:val="none" w:sz="0" w:space="0" w:color="auto"/>
      </w:divBdr>
    </w:div>
    <w:div w:id="104034312">
      <w:bodyDiv w:val="1"/>
      <w:marLeft w:val="0"/>
      <w:marRight w:val="0"/>
      <w:marTop w:val="0"/>
      <w:marBottom w:val="0"/>
      <w:divBdr>
        <w:top w:val="none" w:sz="0" w:space="0" w:color="auto"/>
        <w:left w:val="none" w:sz="0" w:space="0" w:color="auto"/>
        <w:bottom w:val="none" w:sz="0" w:space="0" w:color="auto"/>
        <w:right w:val="none" w:sz="0" w:space="0" w:color="auto"/>
      </w:divBdr>
    </w:div>
    <w:div w:id="123158617">
      <w:bodyDiv w:val="1"/>
      <w:marLeft w:val="0"/>
      <w:marRight w:val="0"/>
      <w:marTop w:val="0"/>
      <w:marBottom w:val="0"/>
      <w:divBdr>
        <w:top w:val="none" w:sz="0" w:space="0" w:color="auto"/>
        <w:left w:val="none" w:sz="0" w:space="0" w:color="auto"/>
        <w:bottom w:val="none" w:sz="0" w:space="0" w:color="auto"/>
        <w:right w:val="none" w:sz="0" w:space="0" w:color="auto"/>
      </w:divBdr>
    </w:div>
    <w:div w:id="132211216">
      <w:bodyDiv w:val="1"/>
      <w:marLeft w:val="0"/>
      <w:marRight w:val="0"/>
      <w:marTop w:val="0"/>
      <w:marBottom w:val="0"/>
      <w:divBdr>
        <w:top w:val="none" w:sz="0" w:space="0" w:color="auto"/>
        <w:left w:val="none" w:sz="0" w:space="0" w:color="auto"/>
        <w:bottom w:val="none" w:sz="0" w:space="0" w:color="auto"/>
        <w:right w:val="none" w:sz="0" w:space="0" w:color="auto"/>
      </w:divBdr>
    </w:div>
    <w:div w:id="147287733">
      <w:bodyDiv w:val="1"/>
      <w:marLeft w:val="0"/>
      <w:marRight w:val="0"/>
      <w:marTop w:val="0"/>
      <w:marBottom w:val="0"/>
      <w:divBdr>
        <w:top w:val="none" w:sz="0" w:space="0" w:color="auto"/>
        <w:left w:val="none" w:sz="0" w:space="0" w:color="auto"/>
        <w:bottom w:val="none" w:sz="0" w:space="0" w:color="auto"/>
        <w:right w:val="none" w:sz="0" w:space="0" w:color="auto"/>
      </w:divBdr>
    </w:div>
    <w:div w:id="206383013">
      <w:bodyDiv w:val="1"/>
      <w:marLeft w:val="0"/>
      <w:marRight w:val="0"/>
      <w:marTop w:val="0"/>
      <w:marBottom w:val="0"/>
      <w:divBdr>
        <w:top w:val="none" w:sz="0" w:space="0" w:color="auto"/>
        <w:left w:val="none" w:sz="0" w:space="0" w:color="auto"/>
        <w:bottom w:val="none" w:sz="0" w:space="0" w:color="auto"/>
        <w:right w:val="none" w:sz="0" w:space="0" w:color="auto"/>
      </w:divBdr>
    </w:div>
    <w:div w:id="211501703">
      <w:bodyDiv w:val="1"/>
      <w:marLeft w:val="0"/>
      <w:marRight w:val="0"/>
      <w:marTop w:val="0"/>
      <w:marBottom w:val="0"/>
      <w:divBdr>
        <w:top w:val="none" w:sz="0" w:space="0" w:color="auto"/>
        <w:left w:val="none" w:sz="0" w:space="0" w:color="auto"/>
        <w:bottom w:val="none" w:sz="0" w:space="0" w:color="auto"/>
        <w:right w:val="none" w:sz="0" w:space="0" w:color="auto"/>
      </w:divBdr>
    </w:div>
    <w:div w:id="277956897">
      <w:bodyDiv w:val="1"/>
      <w:marLeft w:val="0"/>
      <w:marRight w:val="0"/>
      <w:marTop w:val="0"/>
      <w:marBottom w:val="0"/>
      <w:divBdr>
        <w:top w:val="none" w:sz="0" w:space="0" w:color="auto"/>
        <w:left w:val="none" w:sz="0" w:space="0" w:color="auto"/>
        <w:bottom w:val="none" w:sz="0" w:space="0" w:color="auto"/>
        <w:right w:val="none" w:sz="0" w:space="0" w:color="auto"/>
      </w:divBdr>
    </w:div>
    <w:div w:id="324825669">
      <w:bodyDiv w:val="1"/>
      <w:marLeft w:val="0"/>
      <w:marRight w:val="0"/>
      <w:marTop w:val="0"/>
      <w:marBottom w:val="0"/>
      <w:divBdr>
        <w:top w:val="none" w:sz="0" w:space="0" w:color="auto"/>
        <w:left w:val="none" w:sz="0" w:space="0" w:color="auto"/>
        <w:bottom w:val="none" w:sz="0" w:space="0" w:color="auto"/>
        <w:right w:val="none" w:sz="0" w:space="0" w:color="auto"/>
      </w:divBdr>
      <w:divsChild>
        <w:div w:id="248928599">
          <w:marLeft w:val="0"/>
          <w:marRight w:val="0"/>
          <w:marTop w:val="0"/>
          <w:marBottom w:val="0"/>
          <w:divBdr>
            <w:top w:val="none" w:sz="0" w:space="0" w:color="auto"/>
            <w:left w:val="none" w:sz="0" w:space="0" w:color="auto"/>
            <w:bottom w:val="none" w:sz="0" w:space="0" w:color="auto"/>
            <w:right w:val="none" w:sz="0" w:space="0" w:color="auto"/>
          </w:divBdr>
          <w:divsChild>
            <w:div w:id="41175716">
              <w:marLeft w:val="0"/>
              <w:marRight w:val="0"/>
              <w:marTop w:val="0"/>
              <w:marBottom w:val="0"/>
              <w:divBdr>
                <w:top w:val="none" w:sz="0" w:space="0" w:color="auto"/>
                <w:left w:val="none" w:sz="0" w:space="0" w:color="auto"/>
                <w:bottom w:val="none" w:sz="0" w:space="0" w:color="auto"/>
                <w:right w:val="none" w:sz="0" w:space="0" w:color="auto"/>
              </w:divBdr>
              <w:divsChild>
                <w:div w:id="1857378243">
                  <w:marLeft w:val="0"/>
                  <w:marRight w:val="0"/>
                  <w:marTop w:val="0"/>
                  <w:marBottom w:val="0"/>
                  <w:divBdr>
                    <w:top w:val="none" w:sz="0" w:space="0" w:color="auto"/>
                    <w:left w:val="none" w:sz="0" w:space="0" w:color="auto"/>
                    <w:bottom w:val="none" w:sz="0" w:space="0" w:color="auto"/>
                    <w:right w:val="none" w:sz="0" w:space="0" w:color="auto"/>
                  </w:divBdr>
                  <w:divsChild>
                    <w:div w:id="1658995893">
                      <w:marLeft w:val="0"/>
                      <w:marRight w:val="0"/>
                      <w:marTop w:val="0"/>
                      <w:marBottom w:val="0"/>
                      <w:divBdr>
                        <w:top w:val="none" w:sz="0" w:space="0" w:color="auto"/>
                        <w:left w:val="none" w:sz="0" w:space="0" w:color="auto"/>
                        <w:bottom w:val="none" w:sz="0" w:space="0" w:color="auto"/>
                        <w:right w:val="none" w:sz="0" w:space="0" w:color="auto"/>
                      </w:divBdr>
                      <w:divsChild>
                        <w:div w:id="1660310306">
                          <w:marLeft w:val="0"/>
                          <w:marRight w:val="0"/>
                          <w:marTop w:val="0"/>
                          <w:marBottom w:val="0"/>
                          <w:divBdr>
                            <w:top w:val="none" w:sz="0" w:space="0" w:color="auto"/>
                            <w:left w:val="none" w:sz="0" w:space="0" w:color="auto"/>
                            <w:bottom w:val="none" w:sz="0" w:space="0" w:color="auto"/>
                            <w:right w:val="none" w:sz="0" w:space="0" w:color="auto"/>
                          </w:divBdr>
                          <w:divsChild>
                            <w:div w:id="1817794882">
                              <w:marLeft w:val="0"/>
                              <w:marRight w:val="0"/>
                              <w:marTop w:val="0"/>
                              <w:marBottom w:val="0"/>
                              <w:divBdr>
                                <w:top w:val="none" w:sz="0" w:space="0" w:color="auto"/>
                                <w:left w:val="none" w:sz="0" w:space="0" w:color="auto"/>
                                <w:bottom w:val="none" w:sz="0" w:space="0" w:color="auto"/>
                                <w:right w:val="none" w:sz="0" w:space="0" w:color="auto"/>
                              </w:divBdr>
                              <w:divsChild>
                                <w:div w:id="148179227">
                                  <w:marLeft w:val="0"/>
                                  <w:marRight w:val="0"/>
                                  <w:marTop w:val="0"/>
                                  <w:marBottom w:val="0"/>
                                  <w:divBdr>
                                    <w:top w:val="none" w:sz="0" w:space="0" w:color="auto"/>
                                    <w:left w:val="none" w:sz="0" w:space="0" w:color="auto"/>
                                    <w:bottom w:val="none" w:sz="0" w:space="0" w:color="auto"/>
                                    <w:right w:val="none" w:sz="0" w:space="0" w:color="auto"/>
                                  </w:divBdr>
                                  <w:divsChild>
                                    <w:div w:id="2107267429">
                                      <w:marLeft w:val="0"/>
                                      <w:marRight w:val="0"/>
                                      <w:marTop w:val="0"/>
                                      <w:marBottom w:val="0"/>
                                      <w:divBdr>
                                        <w:top w:val="none" w:sz="0" w:space="0" w:color="auto"/>
                                        <w:left w:val="none" w:sz="0" w:space="0" w:color="auto"/>
                                        <w:bottom w:val="none" w:sz="0" w:space="0" w:color="auto"/>
                                        <w:right w:val="none" w:sz="0" w:space="0" w:color="auto"/>
                                      </w:divBdr>
                                      <w:divsChild>
                                        <w:div w:id="1155687728">
                                          <w:marLeft w:val="0"/>
                                          <w:marRight w:val="0"/>
                                          <w:marTop w:val="0"/>
                                          <w:marBottom w:val="0"/>
                                          <w:divBdr>
                                            <w:top w:val="none" w:sz="0" w:space="0" w:color="auto"/>
                                            <w:left w:val="none" w:sz="0" w:space="0" w:color="auto"/>
                                            <w:bottom w:val="none" w:sz="0" w:space="0" w:color="auto"/>
                                            <w:right w:val="none" w:sz="0" w:space="0" w:color="auto"/>
                                          </w:divBdr>
                                          <w:divsChild>
                                            <w:div w:id="1463889761">
                                              <w:marLeft w:val="0"/>
                                              <w:marRight w:val="0"/>
                                              <w:marTop w:val="0"/>
                                              <w:marBottom w:val="495"/>
                                              <w:divBdr>
                                                <w:top w:val="none" w:sz="0" w:space="0" w:color="auto"/>
                                                <w:left w:val="none" w:sz="0" w:space="0" w:color="auto"/>
                                                <w:bottom w:val="none" w:sz="0" w:space="0" w:color="auto"/>
                                                <w:right w:val="none" w:sz="0" w:space="0" w:color="auto"/>
                                              </w:divBdr>
                                              <w:divsChild>
                                                <w:div w:id="157473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67341428">
      <w:bodyDiv w:val="1"/>
      <w:marLeft w:val="0"/>
      <w:marRight w:val="0"/>
      <w:marTop w:val="0"/>
      <w:marBottom w:val="0"/>
      <w:divBdr>
        <w:top w:val="none" w:sz="0" w:space="0" w:color="auto"/>
        <w:left w:val="none" w:sz="0" w:space="0" w:color="auto"/>
        <w:bottom w:val="none" w:sz="0" w:space="0" w:color="auto"/>
        <w:right w:val="none" w:sz="0" w:space="0" w:color="auto"/>
      </w:divBdr>
      <w:divsChild>
        <w:div w:id="1734350753">
          <w:marLeft w:val="0"/>
          <w:marRight w:val="0"/>
          <w:marTop w:val="0"/>
          <w:marBottom w:val="0"/>
          <w:divBdr>
            <w:top w:val="none" w:sz="0" w:space="0" w:color="auto"/>
            <w:left w:val="none" w:sz="0" w:space="0" w:color="auto"/>
            <w:bottom w:val="none" w:sz="0" w:space="0" w:color="auto"/>
            <w:right w:val="none" w:sz="0" w:space="0" w:color="auto"/>
          </w:divBdr>
          <w:divsChild>
            <w:div w:id="1033850585">
              <w:marLeft w:val="0"/>
              <w:marRight w:val="0"/>
              <w:marTop w:val="0"/>
              <w:marBottom w:val="0"/>
              <w:divBdr>
                <w:top w:val="none" w:sz="0" w:space="0" w:color="auto"/>
                <w:left w:val="none" w:sz="0" w:space="0" w:color="auto"/>
                <w:bottom w:val="none" w:sz="0" w:space="0" w:color="auto"/>
                <w:right w:val="none" w:sz="0" w:space="0" w:color="auto"/>
              </w:divBdr>
              <w:divsChild>
                <w:div w:id="1442412911">
                  <w:marLeft w:val="0"/>
                  <w:marRight w:val="0"/>
                  <w:marTop w:val="0"/>
                  <w:marBottom w:val="0"/>
                  <w:divBdr>
                    <w:top w:val="none" w:sz="0" w:space="0" w:color="auto"/>
                    <w:left w:val="none" w:sz="0" w:space="0" w:color="auto"/>
                    <w:bottom w:val="none" w:sz="0" w:space="0" w:color="auto"/>
                    <w:right w:val="none" w:sz="0" w:space="0" w:color="auto"/>
                  </w:divBdr>
                  <w:divsChild>
                    <w:div w:id="694765902">
                      <w:marLeft w:val="0"/>
                      <w:marRight w:val="0"/>
                      <w:marTop w:val="0"/>
                      <w:marBottom w:val="0"/>
                      <w:divBdr>
                        <w:top w:val="none" w:sz="0" w:space="0" w:color="auto"/>
                        <w:left w:val="none" w:sz="0" w:space="0" w:color="auto"/>
                        <w:bottom w:val="none" w:sz="0" w:space="0" w:color="auto"/>
                        <w:right w:val="none" w:sz="0" w:space="0" w:color="auto"/>
                      </w:divBdr>
                      <w:divsChild>
                        <w:div w:id="646857427">
                          <w:marLeft w:val="0"/>
                          <w:marRight w:val="0"/>
                          <w:marTop w:val="0"/>
                          <w:marBottom w:val="0"/>
                          <w:divBdr>
                            <w:top w:val="none" w:sz="0" w:space="0" w:color="auto"/>
                            <w:left w:val="none" w:sz="0" w:space="0" w:color="auto"/>
                            <w:bottom w:val="none" w:sz="0" w:space="0" w:color="auto"/>
                            <w:right w:val="none" w:sz="0" w:space="0" w:color="auto"/>
                          </w:divBdr>
                          <w:divsChild>
                            <w:div w:id="1354726960">
                              <w:marLeft w:val="0"/>
                              <w:marRight w:val="0"/>
                              <w:marTop w:val="0"/>
                              <w:marBottom w:val="0"/>
                              <w:divBdr>
                                <w:top w:val="none" w:sz="0" w:space="0" w:color="auto"/>
                                <w:left w:val="none" w:sz="0" w:space="0" w:color="auto"/>
                                <w:bottom w:val="none" w:sz="0" w:space="0" w:color="auto"/>
                                <w:right w:val="none" w:sz="0" w:space="0" w:color="auto"/>
                              </w:divBdr>
                              <w:divsChild>
                                <w:div w:id="90663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2241563">
      <w:bodyDiv w:val="1"/>
      <w:marLeft w:val="0"/>
      <w:marRight w:val="0"/>
      <w:marTop w:val="0"/>
      <w:marBottom w:val="0"/>
      <w:divBdr>
        <w:top w:val="none" w:sz="0" w:space="0" w:color="auto"/>
        <w:left w:val="none" w:sz="0" w:space="0" w:color="auto"/>
        <w:bottom w:val="none" w:sz="0" w:space="0" w:color="auto"/>
        <w:right w:val="none" w:sz="0" w:space="0" w:color="auto"/>
      </w:divBdr>
    </w:div>
    <w:div w:id="400757080">
      <w:bodyDiv w:val="1"/>
      <w:marLeft w:val="0"/>
      <w:marRight w:val="0"/>
      <w:marTop w:val="0"/>
      <w:marBottom w:val="0"/>
      <w:divBdr>
        <w:top w:val="none" w:sz="0" w:space="0" w:color="auto"/>
        <w:left w:val="none" w:sz="0" w:space="0" w:color="auto"/>
        <w:bottom w:val="none" w:sz="0" w:space="0" w:color="auto"/>
        <w:right w:val="none" w:sz="0" w:space="0" w:color="auto"/>
      </w:divBdr>
    </w:div>
    <w:div w:id="424153874">
      <w:bodyDiv w:val="1"/>
      <w:marLeft w:val="0"/>
      <w:marRight w:val="0"/>
      <w:marTop w:val="0"/>
      <w:marBottom w:val="0"/>
      <w:divBdr>
        <w:top w:val="none" w:sz="0" w:space="0" w:color="auto"/>
        <w:left w:val="none" w:sz="0" w:space="0" w:color="auto"/>
        <w:bottom w:val="none" w:sz="0" w:space="0" w:color="auto"/>
        <w:right w:val="none" w:sz="0" w:space="0" w:color="auto"/>
      </w:divBdr>
    </w:div>
    <w:div w:id="433868726">
      <w:bodyDiv w:val="1"/>
      <w:marLeft w:val="0"/>
      <w:marRight w:val="0"/>
      <w:marTop w:val="0"/>
      <w:marBottom w:val="0"/>
      <w:divBdr>
        <w:top w:val="none" w:sz="0" w:space="0" w:color="auto"/>
        <w:left w:val="none" w:sz="0" w:space="0" w:color="auto"/>
        <w:bottom w:val="none" w:sz="0" w:space="0" w:color="auto"/>
        <w:right w:val="none" w:sz="0" w:space="0" w:color="auto"/>
      </w:divBdr>
    </w:div>
    <w:div w:id="497580346">
      <w:bodyDiv w:val="1"/>
      <w:marLeft w:val="0"/>
      <w:marRight w:val="0"/>
      <w:marTop w:val="0"/>
      <w:marBottom w:val="0"/>
      <w:divBdr>
        <w:top w:val="none" w:sz="0" w:space="0" w:color="auto"/>
        <w:left w:val="none" w:sz="0" w:space="0" w:color="auto"/>
        <w:bottom w:val="none" w:sz="0" w:space="0" w:color="auto"/>
        <w:right w:val="none" w:sz="0" w:space="0" w:color="auto"/>
      </w:divBdr>
    </w:div>
    <w:div w:id="504133695">
      <w:bodyDiv w:val="1"/>
      <w:marLeft w:val="0"/>
      <w:marRight w:val="0"/>
      <w:marTop w:val="0"/>
      <w:marBottom w:val="0"/>
      <w:divBdr>
        <w:top w:val="none" w:sz="0" w:space="0" w:color="auto"/>
        <w:left w:val="none" w:sz="0" w:space="0" w:color="auto"/>
        <w:bottom w:val="none" w:sz="0" w:space="0" w:color="auto"/>
        <w:right w:val="none" w:sz="0" w:space="0" w:color="auto"/>
      </w:divBdr>
    </w:div>
    <w:div w:id="512259884">
      <w:bodyDiv w:val="1"/>
      <w:marLeft w:val="0"/>
      <w:marRight w:val="0"/>
      <w:marTop w:val="0"/>
      <w:marBottom w:val="0"/>
      <w:divBdr>
        <w:top w:val="none" w:sz="0" w:space="0" w:color="auto"/>
        <w:left w:val="none" w:sz="0" w:space="0" w:color="auto"/>
        <w:bottom w:val="none" w:sz="0" w:space="0" w:color="auto"/>
        <w:right w:val="none" w:sz="0" w:space="0" w:color="auto"/>
      </w:divBdr>
    </w:div>
    <w:div w:id="521169912">
      <w:bodyDiv w:val="1"/>
      <w:marLeft w:val="0"/>
      <w:marRight w:val="0"/>
      <w:marTop w:val="0"/>
      <w:marBottom w:val="0"/>
      <w:divBdr>
        <w:top w:val="none" w:sz="0" w:space="0" w:color="auto"/>
        <w:left w:val="none" w:sz="0" w:space="0" w:color="auto"/>
        <w:bottom w:val="none" w:sz="0" w:space="0" w:color="auto"/>
        <w:right w:val="none" w:sz="0" w:space="0" w:color="auto"/>
      </w:divBdr>
    </w:div>
    <w:div w:id="550848159">
      <w:bodyDiv w:val="1"/>
      <w:marLeft w:val="0"/>
      <w:marRight w:val="0"/>
      <w:marTop w:val="0"/>
      <w:marBottom w:val="0"/>
      <w:divBdr>
        <w:top w:val="none" w:sz="0" w:space="0" w:color="auto"/>
        <w:left w:val="none" w:sz="0" w:space="0" w:color="auto"/>
        <w:bottom w:val="none" w:sz="0" w:space="0" w:color="auto"/>
        <w:right w:val="none" w:sz="0" w:space="0" w:color="auto"/>
      </w:divBdr>
    </w:div>
    <w:div w:id="645203314">
      <w:bodyDiv w:val="1"/>
      <w:marLeft w:val="0"/>
      <w:marRight w:val="0"/>
      <w:marTop w:val="0"/>
      <w:marBottom w:val="0"/>
      <w:divBdr>
        <w:top w:val="none" w:sz="0" w:space="0" w:color="auto"/>
        <w:left w:val="none" w:sz="0" w:space="0" w:color="auto"/>
        <w:bottom w:val="none" w:sz="0" w:space="0" w:color="auto"/>
        <w:right w:val="none" w:sz="0" w:space="0" w:color="auto"/>
      </w:divBdr>
    </w:div>
    <w:div w:id="671026464">
      <w:bodyDiv w:val="1"/>
      <w:marLeft w:val="0"/>
      <w:marRight w:val="0"/>
      <w:marTop w:val="0"/>
      <w:marBottom w:val="0"/>
      <w:divBdr>
        <w:top w:val="none" w:sz="0" w:space="0" w:color="auto"/>
        <w:left w:val="none" w:sz="0" w:space="0" w:color="auto"/>
        <w:bottom w:val="none" w:sz="0" w:space="0" w:color="auto"/>
        <w:right w:val="none" w:sz="0" w:space="0" w:color="auto"/>
      </w:divBdr>
      <w:divsChild>
        <w:div w:id="345786090">
          <w:marLeft w:val="0"/>
          <w:marRight w:val="0"/>
          <w:marTop w:val="0"/>
          <w:marBottom w:val="0"/>
          <w:divBdr>
            <w:top w:val="none" w:sz="0" w:space="0" w:color="auto"/>
            <w:left w:val="none" w:sz="0" w:space="0" w:color="auto"/>
            <w:bottom w:val="none" w:sz="0" w:space="0" w:color="auto"/>
            <w:right w:val="none" w:sz="0" w:space="0" w:color="auto"/>
          </w:divBdr>
          <w:divsChild>
            <w:div w:id="1339112292">
              <w:marLeft w:val="0"/>
              <w:marRight w:val="0"/>
              <w:marTop w:val="0"/>
              <w:marBottom w:val="0"/>
              <w:divBdr>
                <w:top w:val="none" w:sz="0" w:space="0" w:color="auto"/>
                <w:left w:val="none" w:sz="0" w:space="0" w:color="auto"/>
                <w:bottom w:val="none" w:sz="0" w:space="0" w:color="auto"/>
                <w:right w:val="none" w:sz="0" w:space="0" w:color="auto"/>
              </w:divBdr>
              <w:divsChild>
                <w:div w:id="1515262175">
                  <w:marLeft w:val="0"/>
                  <w:marRight w:val="0"/>
                  <w:marTop w:val="0"/>
                  <w:marBottom w:val="0"/>
                  <w:divBdr>
                    <w:top w:val="none" w:sz="0" w:space="0" w:color="auto"/>
                    <w:left w:val="none" w:sz="0" w:space="0" w:color="auto"/>
                    <w:bottom w:val="none" w:sz="0" w:space="0" w:color="auto"/>
                    <w:right w:val="none" w:sz="0" w:space="0" w:color="auto"/>
                  </w:divBdr>
                  <w:divsChild>
                    <w:div w:id="1501853326">
                      <w:marLeft w:val="0"/>
                      <w:marRight w:val="0"/>
                      <w:marTop w:val="0"/>
                      <w:marBottom w:val="0"/>
                      <w:divBdr>
                        <w:top w:val="none" w:sz="0" w:space="0" w:color="auto"/>
                        <w:left w:val="none" w:sz="0" w:space="0" w:color="auto"/>
                        <w:bottom w:val="none" w:sz="0" w:space="0" w:color="auto"/>
                        <w:right w:val="none" w:sz="0" w:space="0" w:color="auto"/>
                      </w:divBdr>
                      <w:divsChild>
                        <w:div w:id="499853130">
                          <w:marLeft w:val="0"/>
                          <w:marRight w:val="0"/>
                          <w:marTop w:val="0"/>
                          <w:marBottom w:val="0"/>
                          <w:divBdr>
                            <w:top w:val="none" w:sz="0" w:space="0" w:color="auto"/>
                            <w:left w:val="none" w:sz="0" w:space="0" w:color="auto"/>
                            <w:bottom w:val="none" w:sz="0" w:space="0" w:color="auto"/>
                            <w:right w:val="none" w:sz="0" w:space="0" w:color="auto"/>
                          </w:divBdr>
                          <w:divsChild>
                            <w:div w:id="966861357">
                              <w:marLeft w:val="0"/>
                              <w:marRight w:val="0"/>
                              <w:marTop w:val="0"/>
                              <w:marBottom w:val="0"/>
                              <w:divBdr>
                                <w:top w:val="none" w:sz="0" w:space="0" w:color="auto"/>
                                <w:left w:val="none" w:sz="0" w:space="0" w:color="auto"/>
                                <w:bottom w:val="none" w:sz="0" w:space="0" w:color="auto"/>
                                <w:right w:val="none" w:sz="0" w:space="0" w:color="auto"/>
                              </w:divBdr>
                              <w:divsChild>
                                <w:div w:id="1672832729">
                                  <w:marLeft w:val="0"/>
                                  <w:marRight w:val="0"/>
                                  <w:marTop w:val="0"/>
                                  <w:marBottom w:val="0"/>
                                  <w:divBdr>
                                    <w:top w:val="none" w:sz="0" w:space="0" w:color="auto"/>
                                    <w:left w:val="none" w:sz="0" w:space="0" w:color="auto"/>
                                    <w:bottom w:val="none" w:sz="0" w:space="0" w:color="auto"/>
                                    <w:right w:val="none" w:sz="0" w:space="0" w:color="auto"/>
                                  </w:divBdr>
                                  <w:divsChild>
                                    <w:div w:id="281814611">
                                      <w:marLeft w:val="0"/>
                                      <w:marRight w:val="0"/>
                                      <w:marTop w:val="0"/>
                                      <w:marBottom w:val="0"/>
                                      <w:divBdr>
                                        <w:top w:val="none" w:sz="0" w:space="0" w:color="auto"/>
                                        <w:left w:val="none" w:sz="0" w:space="0" w:color="auto"/>
                                        <w:bottom w:val="none" w:sz="0" w:space="0" w:color="auto"/>
                                        <w:right w:val="none" w:sz="0" w:space="0" w:color="auto"/>
                                      </w:divBdr>
                                      <w:divsChild>
                                        <w:div w:id="3477052">
                                          <w:marLeft w:val="0"/>
                                          <w:marRight w:val="0"/>
                                          <w:marTop w:val="0"/>
                                          <w:marBottom w:val="495"/>
                                          <w:divBdr>
                                            <w:top w:val="none" w:sz="0" w:space="0" w:color="auto"/>
                                            <w:left w:val="none" w:sz="0" w:space="0" w:color="auto"/>
                                            <w:bottom w:val="none" w:sz="0" w:space="0" w:color="auto"/>
                                            <w:right w:val="none" w:sz="0" w:space="0" w:color="auto"/>
                                          </w:divBdr>
                                          <w:divsChild>
                                            <w:div w:id="1345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03139108">
      <w:bodyDiv w:val="1"/>
      <w:marLeft w:val="0"/>
      <w:marRight w:val="0"/>
      <w:marTop w:val="0"/>
      <w:marBottom w:val="0"/>
      <w:divBdr>
        <w:top w:val="none" w:sz="0" w:space="0" w:color="auto"/>
        <w:left w:val="none" w:sz="0" w:space="0" w:color="auto"/>
        <w:bottom w:val="none" w:sz="0" w:space="0" w:color="auto"/>
        <w:right w:val="none" w:sz="0" w:space="0" w:color="auto"/>
      </w:divBdr>
    </w:div>
    <w:div w:id="720328131">
      <w:bodyDiv w:val="1"/>
      <w:marLeft w:val="0"/>
      <w:marRight w:val="0"/>
      <w:marTop w:val="0"/>
      <w:marBottom w:val="0"/>
      <w:divBdr>
        <w:top w:val="none" w:sz="0" w:space="0" w:color="auto"/>
        <w:left w:val="none" w:sz="0" w:space="0" w:color="auto"/>
        <w:bottom w:val="none" w:sz="0" w:space="0" w:color="auto"/>
        <w:right w:val="none" w:sz="0" w:space="0" w:color="auto"/>
      </w:divBdr>
    </w:div>
    <w:div w:id="723216265">
      <w:bodyDiv w:val="1"/>
      <w:marLeft w:val="0"/>
      <w:marRight w:val="0"/>
      <w:marTop w:val="0"/>
      <w:marBottom w:val="0"/>
      <w:divBdr>
        <w:top w:val="none" w:sz="0" w:space="0" w:color="auto"/>
        <w:left w:val="none" w:sz="0" w:space="0" w:color="auto"/>
        <w:bottom w:val="none" w:sz="0" w:space="0" w:color="auto"/>
        <w:right w:val="none" w:sz="0" w:space="0" w:color="auto"/>
      </w:divBdr>
    </w:div>
    <w:div w:id="756095184">
      <w:bodyDiv w:val="1"/>
      <w:marLeft w:val="0"/>
      <w:marRight w:val="0"/>
      <w:marTop w:val="0"/>
      <w:marBottom w:val="0"/>
      <w:divBdr>
        <w:top w:val="none" w:sz="0" w:space="0" w:color="auto"/>
        <w:left w:val="none" w:sz="0" w:space="0" w:color="auto"/>
        <w:bottom w:val="none" w:sz="0" w:space="0" w:color="auto"/>
        <w:right w:val="none" w:sz="0" w:space="0" w:color="auto"/>
      </w:divBdr>
    </w:div>
    <w:div w:id="805511168">
      <w:bodyDiv w:val="1"/>
      <w:marLeft w:val="0"/>
      <w:marRight w:val="0"/>
      <w:marTop w:val="0"/>
      <w:marBottom w:val="0"/>
      <w:divBdr>
        <w:top w:val="none" w:sz="0" w:space="0" w:color="auto"/>
        <w:left w:val="none" w:sz="0" w:space="0" w:color="auto"/>
        <w:bottom w:val="none" w:sz="0" w:space="0" w:color="auto"/>
        <w:right w:val="none" w:sz="0" w:space="0" w:color="auto"/>
      </w:divBdr>
    </w:div>
    <w:div w:id="818040438">
      <w:bodyDiv w:val="1"/>
      <w:marLeft w:val="0"/>
      <w:marRight w:val="0"/>
      <w:marTop w:val="0"/>
      <w:marBottom w:val="0"/>
      <w:divBdr>
        <w:top w:val="none" w:sz="0" w:space="0" w:color="auto"/>
        <w:left w:val="none" w:sz="0" w:space="0" w:color="auto"/>
        <w:bottom w:val="none" w:sz="0" w:space="0" w:color="auto"/>
        <w:right w:val="none" w:sz="0" w:space="0" w:color="auto"/>
      </w:divBdr>
    </w:div>
    <w:div w:id="871304759">
      <w:bodyDiv w:val="1"/>
      <w:marLeft w:val="0"/>
      <w:marRight w:val="0"/>
      <w:marTop w:val="0"/>
      <w:marBottom w:val="0"/>
      <w:divBdr>
        <w:top w:val="none" w:sz="0" w:space="0" w:color="auto"/>
        <w:left w:val="none" w:sz="0" w:space="0" w:color="auto"/>
        <w:bottom w:val="none" w:sz="0" w:space="0" w:color="auto"/>
        <w:right w:val="none" w:sz="0" w:space="0" w:color="auto"/>
      </w:divBdr>
    </w:div>
    <w:div w:id="874079992">
      <w:bodyDiv w:val="1"/>
      <w:marLeft w:val="0"/>
      <w:marRight w:val="0"/>
      <w:marTop w:val="0"/>
      <w:marBottom w:val="0"/>
      <w:divBdr>
        <w:top w:val="none" w:sz="0" w:space="0" w:color="auto"/>
        <w:left w:val="none" w:sz="0" w:space="0" w:color="auto"/>
        <w:bottom w:val="none" w:sz="0" w:space="0" w:color="auto"/>
        <w:right w:val="none" w:sz="0" w:space="0" w:color="auto"/>
      </w:divBdr>
      <w:divsChild>
        <w:div w:id="1450778978">
          <w:marLeft w:val="0"/>
          <w:marRight w:val="0"/>
          <w:marTop w:val="0"/>
          <w:marBottom w:val="0"/>
          <w:divBdr>
            <w:top w:val="none" w:sz="0" w:space="0" w:color="auto"/>
            <w:left w:val="none" w:sz="0" w:space="0" w:color="auto"/>
            <w:bottom w:val="none" w:sz="0" w:space="0" w:color="auto"/>
            <w:right w:val="none" w:sz="0" w:space="0" w:color="auto"/>
          </w:divBdr>
          <w:divsChild>
            <w:div w:id="1287658173">
              <w:marLeft w:val="0"/>
              <w:marRight w:val="0"/>
              <w:marTop w:val="0"/>
              <w:marBottom w:val="0"/>
              <w:divBdr>
                <w:top w:val="none" w:sz="0" w:space="0" w:color="auto"/>
                <w:left w:val="none" w:sz="0" w:space="0" w:color="auto"/>
                <w:bottom w:val="none" w:sz="0" w:space="0" w:color="auto"/>
                <w:right w:val="none" w:sz="0" w:space="0" w:color="auto"/>
              </w:divBdr>
              <w:divsChild>
                <w:div w:id="988486416">
                  <w:marLeft w:val="0"/>
                  <w:marRight w:val="0"/>
                  <w:marTop w:val="0"/>
                  <w:marBottom w:val="0"/>
                  <w:divBdr>
                    <w:top w:val="none" w:sz="0" w:space="0" w:color="auto"/>
                    <w:left w:val="none" w:sz="0" w:space="0" w:color="auto"/>
                    <w:bottom w:val="none" w:sz="0" w:space="0" w:color="auto"/>
                    <w:right w:val="none" w:sz="0" w:space="0" w:color="auto"/>
                  </w:divBdr>
                  <w:divsChild>
                    <w:div w:id="1506171628">
                      <w:marLeft w:val="-150"/>
                      <w:marRight w:val="-150"/>
                      <w:marTop w:val="0"/>
                      <w:marBottom w:val="0"/>
                      <w:divBdr>
                        <w:top w:val="none" w:sz="0" w:space="0" w:color="auto"/>
                        <w:left w:val="none" w:sz="0" w:space="0" w:color="auto"/>
                        <w:bottom w:val="none" w:sz="0" w:space="0" w:color="auto"/>
                        <w:right w:val="none" w:sz="0" w:space="0" w:color="auto"/>
                      </w:divBdr>
                      <w:divsChild>
                        <w:div w:id="2125690644">
                          <w:marLeft w:val="0"/>
                          <w:marRight w:val="0"/>
                          <w:marTop w:val="0"/>
                          <w:marBottom w:val="0"/>
                          <w:divBdr>
                            <w:top w:val="none" w:sz="0" w:space="0" w:color="auto"/>
                            <w:left w:val="none" w:sz="0" w:space="0" w:color="auto"/>
                            <w:bottom w:val="none" w:sz="0" w:space="0" w:color="auto"/>
                            <w:right w:val="none" w:sz="0" w:space="0" w:color="auto"/>
                          </w:divBdr>
                          <w:divsChild>
                            <w:div w:id="1025131651">
                              <w:marLeft w:val="0"/>
                              <w:marRight w:val="0"/>
                              <w:marTop w:val="0"/>
                              <w:marBottom w:val="0"/>
                              <w:divBdr>
                                <w:top w:val="none" w:sz="0" w:space="0" w:color="auto"/>
                                <w:left w:val="none" w:sz="0" w:space="0" w:color="auto"/>
                                <w:bottom w:val="none" w:sz="0" w:space="0" w:color="auto"/>
                                <w:right w:val="none" w:sz="0" w:space="0" w:color="auto"/>
                              </w:divBdr>
                              <w:divsChild>
                                <w:div w:id="781610136">
                                  <w:marLeft w:val="0"/>
                                  <w:marRight w:val="0"/>
                                  <w:marTop w:val="0"/>
                                  <w:marBottom w:val="300"/>
                                  <w:divBdr>
                                    <w:top w:val="none" w:sz="0" w:space="0" w:color="auto"/>
                                    <w:left w:val="none" w:sz="0" w:space="0" w:color="auto"/>
                                    <w:bottom w:val="none" w:sz="0" w:space="0" w:color="auto"/>
                                    <w:right w:val="none" w:sz="0" w:space="0" w:color="auto"/>
                                  </w:divBdr>
                                  <w:divsChild>
                                    <w:div w:id="2066293166">
                                      <w:marLeft w:val="0"/>
                                      <w:marRight w:val="0"/>
                                      <w:marTop w:val="0"/>
                                      <w:marBottom w:val="0"/>
                                      <w:divBdr>
                                        <w:top w:val="none" w:sz="0" w:space="0" w:color="auto"/>
                                        <w:left w:val="none" w:sz="0" w:space="0" w:color="auto"/>
                                        <w:bottom w:val="none" w:sz="0" w:space="0" w:color="auto"/>
                                        <w:right w:val="none" w:sz="0" w:space="0" w:color="auto"/>
                                      </w:divBdr>
                                      <w:divsChild>
                                        <w:div w:id="1835025065">
                                          <w:marLeft w:val="0"/>
                                          <w:marRight w:val="0"/>
                                          <w:marTop w:val="0"/>
                                          <w:marBottom w:val="0"/>
                                          <w:divBdr>
                                            <w:top w:val="none" w:sz="0" w:space="0" w:color="auto"/>
                                            <w:left w:val="none" w:sz="0" w:space="0" w:color="auto"/>
                                            <w:bottom w:val="none" w:sz="0" w:space="0" w:color="auto"/>
                                            <w:right w:val="none" w:sz="0" w:space="0" w:color="auto"/>
                                          </w:divBdr>
                                          <w:divsChild>
                                            <w:div w:id="756023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94196938">
      <w:bodyDiv w:val="1"/>
      <w:marLeft w:val="0"/>
      <w:marRight w:val="0"/>
      <w:marTop w:val="0"/>
      <w:marBottom w:val="0"/>
      <w:divBdr>
        <w:top w:val="none" w:sz="0" w:space="0" w:color="auto"/>
        <w:left w:val="none" w:sz="0" w:space="0" w:color="auto"/>
        <w:bottom w:val="none" w:sz="0" w:space="0" w:color="auto"/>
        <w:right w:val="none" w:sz="0" w:space="0" w:color="auto"/>
      </w:divBdr>
    </w:div>
    <w:div w:id="897133437">
      <w:bodyDiv w:val="1"/>
      <w:marLeft w:val="0"/>
      <w:marRight w:val="0"/>
      <w:marTop w:val="0"/>
      <w:marBottom w:val="0"/>
      <w:divBdr>
        <w:top w:val="none" w:sz="0" w:space="0" w:color="auto"/>
        <w:left w:val="none" w:sz="0" w:space="0" w:color="auto"/>
        <w:bottom w:val="none" w:sz="0" w:space="0" w:color="auto"/>
        <w:right w:val="none" w:sz="0" w:space="0" w:color="auto"/>
      </w:divBdr>
    </w:div>
    <w:div w:id="904334616">
      <w:bodyDiv w:val="1"/>
      <w:marLeft w:val="0"/>
      <w:marRight w:val="0"/>
      <w:marTop w:val="0"/>
      <w:marBottom w:val="0"/>
      <w:divBdr>
        <w:top w:val="none" w:sz="0" w:space="0" w:color="auto"/>
        <w:left w:val="none" w:sz="0" w:space="0" w:color="auto"/>
        <w:bottom w:val="none" w:sz="0" w:space="0" w:color="auto"/>
        <w:right w:val="none" w:sz="0" w:space="0" w:color="auto"/>
      </w:divBdr>
    </w:div>
    <w:div w:id="948396531">
      <w:bodyDiv w:val="1"/>
      <w:marLeft w:val="0"/>
      <w:marRight w:val="0"/>
      <w:marTop w:val="0"/>
      <w:marBottom w:val="0"/>
      <w:divBdr>
        <w:top w:val="none" w:sz="0" w:space="0" w:color="auto"/>
        <w:left w:val="none" w:sz="0" w:space="0" w:color="auto"/>
        <w:bottom w:val="none" w:sz="0" w:space="0" w:color="auto"/>
        <w:right w:val="none" w:sz="0" w:space="0" w:color="auto"/>
      </w:divBdr>
    </w:div>
    <w:div w:id="963579784">
      <w:bodyDiv w:val="1"/>
      <w:marLeft w:val="0"/>
      <w:marRight w:val="0"/>
      <w:marTop w:val="0"/>
      <w:marBottom w:val="0"/>
      <w:divBdr>
        <w:top w:val="none" w:sz="0" w:space="0" w:color="auto"/>
        <w:left w:val="none" w:sz="0" w:space="0" w:color="auto"/>
        <w:bottom w:val="none" w:sz="0" w:space="0" w:color="auto"/>
        <w:right w:val="none" w:sz="0" w:space="0" w:color="auto"/>
      </w:divBdr>
    </w:div>
    <w:div w:id="963655718">
      <w:bodyDiv w:val="1"/>
      <w:marLeft w:val="0"/>
      <w:marRight w:val="0"/>
      <w:marTop w:val="0"/>
      <w:marBottom w:val="0"/>
      <w:divBdr>
        <w:top w:val="none" w:sz="0" w:space="0" w:color="auto"/>
        <w:left w:val="none" w:sz="0" w:space="0" w:color="auto"/>
        <w:bottom w:val="none" w:sz="0" w:space="0" w:color="auto"/>
        <w:right w:val="none" w:sz="0" w:space="0" w:color="auto"/>
      </w:divBdr>
    </w:div>
    <w:div w:id="1027946838">
      <w:bodyDiv w:val="1"/>
      <w:marLeft w:val="0"/>
      <w:marRight w:val="0"/>
      <w:marTop w:val="0"/>
      <w:marBottom w:val="0"/>
      <w:divBdr>
        <w:top w:val="none" w:sz="0" w:space="0" w:color="auto"/>
        <w:left w:val="none" w:sz="0" w:space="0" w:color="auto"/>
        <w:bottom w:val="none" w:sz="0" w:space="0" w:color="auto"/>
        <w:right w:val="none" w:sz="0" w:space="0" w:color="auto"/>
      </w:divBdr>
    </w:div>
    <w:div w:id="1048145789">
      <w:bodyDiv w:val="1"/>
      <w:marLeft w:val="0"/>
      <w:marRight w:val="0"/>
      <w:marTop w:val="0"/>
      <w:marBottom w:val="0"/>
      <w:divBdr>
        <w:top w:val="none" w:sz="0" w:space="0" w:color="auto"/>
        <w:left w:val="none" w:sz="0" w:space="0" w:color="auto"/>
        <w:bottom w:val="none" w:sz="0" w:space="0" w:color="auto"/>
        <w:right w:val="none" w:sz="0" w:space="0" w:color="auto"/>
      </w:divBdr>
      <w:divsChild>
        <w:div w:id="629629487">
          <w:marLeft w:val="0"/>
          <w:marRight w:val="0"/>
          <w:marTop w:val="0"/>
          <w:marBottom w:val="0"/>
          <w:divBdr>
            <w:top w:val="none" w:sz="0" w:space="0" w:color="auto"/>
            <w:left w:val="none" w:sz="0" w:space="0" w:color="auto"/>
            <w:bottom w:val="none" w:sz="0" w:space="0" w:color="auto"/>
            <w:right w:val="none" w:sz="0" w:space="0" w:color="auto"/>
          </w:divBdr>
          <w:divsChild>
            <w:div w:id="2128506855">
              <w:marLeft w:val="0"/>
              <w:marRight w:val="0"/>
              <w:marTop w:val="0"/>
              <w:marBottom w:val="0"/>
              <w:divBdr>
                <w:top w:val="none" w:sz="0" w:space="0" w:color="auto"/>
                <w:left w:val="none" w:sz="0" w:space="0" w:color="auto"/>
                <w:bottom w:val="none" w:sz="0" w:space="0" w:color="auto"/>
                <w:right w:val="none" w:sz="0" w:space="0" w:color="auto"/>
              </w:divBdr>
              <w:divsChild>
                <w:div w:id="420876923">
                  <w:marLeft w:val="0"/>
                  <w:marRight w:val="0"/>
                  <w:marTop w:val="0"/>
                  <w:marBottom w:val="0"/>
                  <w:divBdr>
                    <w:top w:val="none" w:sz="0" w:space="0" w:color="auto"/>
                    <w:left w:val="none" w:sz="0" w:space="0" w:color="auto"/>
                    <w:bottom w:val="none" w:sz="0" w:space="0" w:color="auto"/>
                    <w:right w:val="none" w:sz="0" w:space="0" w:color="auto"/>
                  </w:divBdr>
                  <w:divsChild>
                    <w:div w:id="460880058">
                      <w:marLeft w:val="0"/>
                      <w:marRight w:val="0"/>
                      <w:marTop w:val="0"/>
                      <w:marBottom w:val="0"/>
                      <w:divBdr>
                        <w:top w:val="none" w:sz="0" w:space="0" w:color="auto"/>
                        <w:left w:val="none" w:sz="0" w:space="0" w:color="auto"/>
                        <w:bottom w:val="none" w:sz="0" w:space="0" w:color="auto"/>
                        <w:right w:val="none" w:sz="0" w:space="0" w:color="auto"/>
                      </w:divBdr>
                      <w:divsChild>
                        <w:div w:id="569119112">
                          <w:marLeft w:val="0"/>
                          <w:marRight w:val="0"/>
                          <w:marTop w:val="0"/>
                          <w:marBottom w:val="0"/>
                          <w:divBdr>
                            <w:top w:val="none" w:sz="0" w:space="0" w:color="auto"/>
                            <w:left w:val="none" w:sz="0" w:space="0" w:color="auto"/>
                            <w:bottom w:val="none" w:sz="0" w:space="0" w:color="auto"/>
                            <w:right w:val="none" w:sz="0" w:space="0" w:color="auto"/>
                          </w:divBdr>
                          <w:divsChild>
                            <w:div w:id="1376927946">
                              <w:marLeft w:val="0"/>
                              <w:marRight w:val="0"/>
                              <w:marTop w:val="0"/>
                              <w:marBottom w:val="0"/>
                              <w:divBdr>
                                <w:top w:val="none" w:sz="0" w:space="0" w:color="auto"/>
                                <w:left w:val="none" w:sz="0" w:space="0" w:color="auto"/>
                                <w:bottom w:val="none" w:sz="0" w:space="0" w:color="auto"/>
                                <w:right w:val="none" w:sz="0" w:space="0" w:color="auto"/>
                              </w:divBdr>
                              <w:divsChild>
                                <w:div w:id="440806352">
                                  <w:marLeft w:val="0"/>
                                  <w:marRight w:val="0"/>
                                  <w:marTop w:val="0"/>
                                  <w:marBottom w:val="0"/>
                                  <w:divBdr>
                                    <w:top w:val="none" w:sz="0" w:space="0" w:color="auto"/>
                                    <w:left w:val="none" w:sz="0" w:space="0" w:color="auto"/>
                                    <w:bottom w:val="none" w:sz="0" w:space="0" w:color="auto"/>
                                    <w:right w:val="none" w:sz="0" w:space="0" w:color="auto"/>
                                  </w:divBdr>
                                  <w:divsChild>
                                    <w:div w:id="1024163626">
                                      <w:marLeft w:val="0"/>
                                      <w:marRight w:val="0"/>
                                      <w:marTop w:val="0"/>
                                      <w:marBottom w:val="0"/>
                                      <w:divBdr>
                                        <w:top w:val="none" w:sz="0" w:space="0" w:color="auto"/>
                                        <w:left w:val="none" w:sz="0" w:space="0" w:color="auto"/>
                                        <w:bottom w:val="none" w:sz="0" w:space="0" w:color="auto"/>
                                        <w:right w:val="none" w:sz="0" w:space="0" w:color="auto"/>
                                      </w:divBdr>
                                      <w:divsChild>
                                        <w:div w:id="748767605">
                                          <w:marLeft w:val="0"/>
                                          <w:marRight w:val="0"/>
                                          <w:marTop w:val="0"/>
                                          <w:marBottom w:val="495"/>
                                          <w:divBdr>
                                            <w:top w:val="none" w:sz="0" w:space="0" w:color="auto"/>
                                            <w:left w:val="none" w:sz="0" w:space="0" w:color="auto"/>
                                            <w:bottom w:val="none" w:sz="0" w:space="0" w:color="auto"/>
                                            <w:right w:val="none" w:sz="0" w:space="0" w:color="auto"/>
                                          </w:divBdr>
                                          <w:divsChild>
                                            <w:div w:id="56649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65176729">
      <w:bodyDiv w:val="1"/>
      <w:marLeft w:val="0"/>
      <w:marRight w:val="0"/>
      <w:marTop w:val="0"/>
      <w:marBottom w:val="0"/>
      <w:divBdr>
        <w:top w:val="none" w:sz="0" w:space="0" w:color="auto"/>
        <w:left w:val="none" w:sz="0" w:space="0" w:color="auto"/>
        <w:bottom w:val="none" w:sz="0" w:space="0" w:color="auto"/>
        <w:right w:val="none" w:sz="0" w:space="0" w:color="auto"/>
      </w:divBdr>
    </w:div>
    <w:div w:id="1093630436">
      <w:bodyDiv w:val="1"/>
      <w:marLeft w:val="0"/>
      <w:marRight w:val="0"/>
      <w:marTop w:val="0"/>
      <w:marBottom w:val="0"/>
      <w:divBdr>
        <w:top w:val="none" w:sz="0" w:space="0" w:color="auto"/>
        <w:left w:val="none" w:sz="0" w:space="0" w:color="auto"/>
        <w:bottom w:val="none" w:sz="0" w:space="0" w:color="auto"/>
        <w:right w:val="none" w:sz="0" w:space="0" w:color="auto"/>
      </w:divBdr>
      <w:divsChild>
        <w:div w:id="1118716981">
          <w:marLeft w:val="0"/>
          <w:marRight w:val="0"/>
          <w:marTop w:val="0"/>
          <w:marBottom w:val="0"/>
          <w:divBdr>
            <w:top w:val="none" w:sz="0" w:space="0" w:color="auto"/>
            <w:left w:val="none" w:sz="0" w:space="0" w:color="auto"/>
            <w:bottom w:val="none" w:sz="0" w:space="0" w:color="auto"/>
            <w:right w:val="none" w:sz="0" w:space="0" w:color="auto"/>
          </w:divBdr>
          <w:divsChild>
            <w:div w:id="559368629">
              <w:marLeft w:val="0"/>
              <w:marRight w:val="0"/>
              <w:marTop w:val="0"/>
              <w:marBottom w:val="0"/>
              <w:divBdr>
                <w:top w:val="none" w:sz="0" w:space="0" w:color="auto"/>
                <w:left w:val="none" w:sz="0" w:space="0" w:color="auto"/>
                <w:bottom w:val="none" w:sz="0" w:space="0" w:color="auto"/>
                <w:right w:val="none" w:sz="0" w:space="0" w:color="auto"/>
              </w:divBdr>
              <w:divsChild>
                <w:div w:id="172189804">
                  <w:marLeft w:val="0"/>
                  <w:marRight w:val="0"/>
                  <w:marTop w:val="0"/>
                  <w:marBottom w:val="0"/>
                  <w:divBdr>
                    <w:top w:val="none" w:sz="0" w:space="0" w:color="auto"/>
                    <w:left w:val="none" w:sz="0" w:space="0" w:color="auto"/>
                    <w:bottom w:val="none" w:sz="0" w:space="0" w:color="auto"/>
                    <w:right w:val="none" w:sz="0" w:space="0" w:color="auto"/>
                  </w:divBdr>
                  <w:divsChild>
                    <w:div w:id="1985886799">
                      <w:marLeft w:val="0"/>
                      <w:marRight w:val="0"/>
                      <w:marTop w:val="0"/>
                      <w:marBottom w:val="0"/>
                      <w:divBdr>
                        <w:top w:val="none" w:sz="0" w:space="0" w:color="auto"/>
                        <w:left w:val="none" w:sz="0" w:space="0" w:color="auto"/>
                        <w:bottom w:val="none" w:sz="0" w:space="0" w:color="auto"/>
                        <w:right w:val="none" w:sz="0" w:space="0" w:color="auto"/>
                      </w:divBdr>
                      <w:divsChild>
                        <w:div w:id="541989596">
                          <w:marLeft w:val="0"/>
                          <w:marRight w:val="0"/>
                          <w:marTop w:val="0"/>
                          <w:marBottom w:val="0"/>
                          <w:divBdr>
                            <w:top w:val="none" w:sz="0" w:space="0" w:color="auto"/>
                            <w:left w:val="none" w:sz="0" w:space="0" w:color="auto"/>
                            <w:bottom w:val="none" w:sz="0" w:space="0" w:color="auto"/>
                            <w:right w:val="none" w:sz="0" w:space="0" w:color="auto"/>
                          </w:divBdr>
                          <w:divsChild>
                            <w:div w:id="1616907466">
                              <w:marLeft w:val="0"/>
                              <w:marRight w:val="0"/>
                              <w:marTop w:val="0"/>
                              <w:marBottom w:val="0"/>
                              <w:divBdr>
                                <w:top w:val="none" w:sz="0" w:space="0" w:color="auto"/>
                                <w:left w:val="none" w:sz="0" w:space="0" w:color="auto"/>
                                <w:bottom w:val="none" w:sz="0" w:space="0" w:color="auto"/>
                                <w:right w:val="none" w:sz="0" w:space="0" w:color="auto"/>
                              </w:divBdr>
                              <w:divsChild>
                                <w:div w:id="1976447903">
                                  <w:marLeft w:val="0"/>
                                  <w:marRight w:val="0"/>
                                  <w:marTop w:val="0"/>
                                  <w:marBottom w:val="0"/>
                                  <w:divBdr>
                                    <w:top w:val="none" w:sz="0" w:space="0" w:color="auto"/>
                                    <w:left w:val="none" w:sz="0" w:space="0" w:color="auto"/>
                                    <w:bottom w:val="none" w:sz="0" w:space="0" w:color="auto"/>
                                    <w:right w:val="none" w:sz="0" w:space="0" w:color="auto"/>
                                  </w:divBdr>
                                  <w:divsChild>
                                    <w:div w:id="1305967561">
                                      <w:marLeft w:val="0"/>
                                      <w:marRight w:val="0"/>
                                      <w:marTop w:val="0"/>
                                      <w:marBottom w:val="0"/>
                                      <w:divBdr>
                                        <w:top w:val="none" w:sz="0" w:space="0" w:color="auto"/>
                                        <w:left w:val="none" w:sz="0" w:space="0" w:color="auto"/>
                                        <w:bottom w:val="none" w:sz="0" w:space="0" w:color="auto"/>
                                        <w:right w:val="none" w:sz="0" w:space="0" w:color="auto"/>
                                      </w:divBdr>
                                      <w:divsChild>
                                        <w:div w:id="110320602">
                                          <w:marLeft w:val="0"/>
                                          <w:marRight w:val="0"/>
                                          <w:marTop w:val="0"/>
                                          <w:marBottom w:val="0"/>
                                          <w:divBdr>
                                            <w:top w:val="none" w:sz="0" w:space="0" w:color="auto"/>
                                            <w:left w:val="none" w:sz="0" w:space="0" w:color="auto"/>
                                            <w:bottom w:val="none" w:sz="0" w:space="0" w:color="auto"/>
                                            <w:right w:val="none" w:sz="0" w:space="0" w:color="auto"/>
                                          </w:divBdr>
                                          <w:divsChild>
                                            <w:div w:id="1306814905">
                                              <w:marLeft w:val="0"/>
                                              <w:marRight w:val="0"/>
                                              <w:marTop w:val="0"/>
                                              <w:marBottom w:val="495"/>
                                              <w:divBdr>
                                                <w:top w:val="none" w:sz="0" w:space="0" w:color="auto"/>
                                                <w:left w:val="none" w:sz="0" w:space="0" w:color="auto"/>
                                                <w:bottom w:val="none" w:sz="0" w:space="0" w:color="auto"/>
                                                <w:right w:val="none" w:sz="0" w:space="0" w:color="auto"/>
                                              </w:divBdr>
                                              <w:divsChild>
                                                <w:div w:id="1401446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0585615">
      <w:bodyDiv w:val="1"/>
      <w:marLeft w:val="0"/>
      <w:marRight w:val="0"/>
      <w:marTop w:val="0"/>
      <w:marBottom w:val="0"/>
      <w:divBdr>
        <w:top w:val="none" w:sz="0" w:space="0" w:color="auto"/>
        <w:left w:val="none" w:sz="0" w:space="0" w:color="auto"/>
        <w:bottom w:val="none" w:sz="0" w:space="0" w:color="auto"/>
        <w:right w:val="none" w:sz="0" w:space="0" w:color="auto"/>
      </w:divBdr>
    </w:div>
    <w:div w:id="1144588206">
      <w:bodyDiv w:val="1"/>
      <w:marLeft w:val="0"/>
      <w:marRight w:val="0"/>
      <w:marTop w:val="0"/>
      <w:marBottom w:val="0"/>
      <w:divBdr>
        <w:top w:val="none" w:sz="0" w:space="0" w:color="auto"/>
        <w:left w:val="none" w:sz="0" w:space="0" w:color="auto"/>
        <w:bottom w:val="none" w:sz="0" w:space="0" w:color="auto"/>
        <w:right w:val="none" w:sz="0" w:space="0" w:color="auto"/>
      </w:divBdr>
    </w:div>
    <w:div w:id="1182666765">
      <w:bodyDiv w:val="1"/>
      <w:marLeft w:val="0"/>
      <w:marRight w:val="0"/>
      <w:marTop w:val="0"/>
      <w:marBottom w:val="0"/>
      <w:divBdr>
        <w:top w:val="none" w:sz="0" w:space="0" w:color="auto"/>
        <w:left w:val="none" w:sz="0" w:space="0" w:color="auto"/>
        <w:bottom w:val="none" w:sz="0" w:space="0" w:color="auto"/>
        <w:right w:val="none" w:sz="0" w:space="0" w:color="auto"/>
      </w:divBdr>
    </w:div>
    <w:div w:id="1187911398">
      <w:bodyDiv w:val="1"/>
      <w:marLeft w:val="0"/>
      <w:marRight w:val="0"/>
      <w:marTop w:val="0"/>
      <w:marBottom w:val="0"/>
      <w:divBdr>
        <w:top w:val="none" w:sz="0" w:space="0" w:color="auto"/>
        <w:left w:val="none" w:sz="0" w:space="0" w:color="auto"/>
        <w:bottom w:val="none" w:sz="0" w:space="0" w:color="auto"/>
        <w:right w:val="none" w:sz="0" w:space="0" w:color="auto"/>
      </w:divBdr>
    </w:div>
    <w:div w:id="1191265148">
      <w:bodyDiv w:val="1"/>
      <w:marLeft w:val="0"/>
      <w:marRight w:val="0"/>
      <w:marTop w:val="0"/>
      <w:marBottom w:val="0"/>
      <w:divBdr>
        <w:top w:val="none" w:sz="0" w:space="0" w:color="auto"/>
        <w:left w:val="none" w:sz="0" w:space="0" w:color="auto"/>
        <w:bottom w:val="none" w:sz="0" w:space="0" w:color="auto"/>
        <w:right w:val="none" w:sz="0" w:space="0" w:color="auto"/>
      </w:divBdr>
    </w:div>
    <w:div w:id="1205559060">
      <w:bodyDiv w:val="1"/>
      <w:marLeft w:val="0"/>
      <w:marRight w:val="0"/>
      <w:marTop w:val="0"/>
      <w:marBottom w:val="0"/>
      <w:divBdr>
        <w:top w:val="none" w:sz="0" w:space="0" w:color="auto"/>
        <w:left w:val="none" w:sz="0" w:space="0" w:color="auto"/>
        <w:bottom w:val="none" w:sz="0" w:space="0" w:color="auto"/>
        <w:right w:val="none" w:sz="0" w:space="0" w:color="auto"/>
      </w:divBdr>
    </w:div>
    <w:div w:id="1209759601">
      <w:bodyDiv w:val="1"/>
      <w:marLeft w:val="0"/>
      <w:marRight w:val="0"/>
      <w:marTop w:val="0"/>
      <w:marBottom w:val="0"/>
      <w:divBdr>
        <w:top w:val="none" w:sz="0" w:space="0" w:color="auto"/>
        <w:left w:val="none" w:sz="0" w:space="0" w:color="auto"/>
        <w:bottom w:val="none" w:sz="0" w:space="0" w:color="auto"/>
        <w:right w:val="none" w:sz="0" w:space="0" w:color="auto"/>
      </w:divBdr>
    </w:div>
    <w:div w:id="1239248129">
      <w:bodyDiv w:val="1"/>
      <w:marLeft w:val="0"/>
      <w:marRight w:val="0"/>
      <w:marTop w:val="0"/>
      <w:marBottom w:val="0"/>
      <w:divBdr>
        <w:top w:val="none" w:sz="0" w:space="0" w:color="auto"/>
        <w:left w:val="none" w:sz="0" w:space="0" w:color="auto"/>
        <w:bottom w:val="none" w:sz="0" w:space="0" w:color="auto"/>
        <w:right w:val="none" w:sz="0" w:space="0" w:color="auto"/>
      </w:divBdr>
    </w:div>
    <w:div w:id="1278098273">
      <w:bodyDiv w:val="1"/>
      <w:marLeft w:val="0"/>
      <w:marRight w:val="0"/>
      <w:marTop w:val="0"/>
      <w:marBottom w:val="0"/>
      <w:divBdr>
        <w:top w:val="none" w:sz="0" w:space="0" w:color="auto"/>
        <w:left w:val="none" w:sz="0" w:space="0" w:color="auto"/>
        <w:bottom w:val="none" w:sz="0" w:space="0" w:color="auto"/>
        <w:right w:val="none" w:sz="0" w:space="0" w:color="auto"/>
      </w:divBdr>
    </w:div>
    <w:div w:id="1309895344">
      <w:bodyDiv w:val="1"/>
      <w:marLeft w:val="0"/>
      <w:marRight w:val="0"/>
      <w:marTop w:val="0"/>
      <w:marBottom w:val="0"/>
      <w:divBdr>
        <w:top w:val="none" w:sz="0" w:space="0" w:color="auto"/>
        <w:left w:val="none" w:sz="0" w:space="0" w:color="auto"/>
        <w:bottom w:val="none" w:sz="0" w:space="0" w:color="auto"/>
        <w:right w:val="none" w:sz="0" w:space="0" w:color="auto"/>
      </w:divBdr>
    </w:div>
    <w:div w:id="1341738421">
      <w:bodyDiv w:val="1"/>
      <w:marLeft w:val="0"/>
      <w:marRight w:val="0"/>
      <w:marTop w:val="0"/>
      <w:marBottom w:val="0"/>
      <w:divBdr>
        <w:top w:val="none" w:sz="0" w:space="0" w:color="auto"/>
        <w:left w:val="none" w:sz="0" w:space="0" w:color="auto"/>
        <w:bottom w:val="none" w:sz="0" w:space="0" w:color="auto"/>
        <w:right w:val="none" w:sz="0" w:space="0" w:color="auto"/>
      </w:divBdr>
    </w:div>
    <w:div w:id="1345127296">
      <w:bodyDiv w:val="1"/>
      <w:marLeft w:val="0"/>
      <w:marRight w:val="0"/>
      <w:marTop w:val="0"/>
      <w:marBottom w:val="0"/>
      <w:divBdr>
        <w:top w:val="none" w:sz="0" w:space="0" w:color="auto"/>
        <w:left w:val="none" w:sz="0" w:space="0" w:color="auto"/>
        <w:bottom w:val="none" w:sz="0" w:space="0" w:color="auto"/>
        <w:right w:val="none" w:sz="0" w:space="0" w:color="auto"/>
      </w:divBdr>
      <w:divsChild>
        <w:div w:id="977689205">
          <w:marLeft w:val="0"/>
          <w:marRight w:val="0"/>
          <w:marTop w:val="0"/>
          <w:marBottom w:val="0"/>
          <w:divBdr>
            <w:top w:val="none" w:sz="0" w:space="0" w:color="auto"/>
            <w:left w:val="none" w:sz="0" w:space="0" w:color="auto"/>
            <w:bottom w:val="none" w:sz="0" w:space="0" w:color="auto"/>
            <w:right w:val="none" w:sz="0" w:space="0" w:color="auto"/>
          </w:divBdr>
          <w:divsChild>
            <w:div w:id="275449484">
              <w:marLeft w:val="0"/>
              <w:marRight w:val="0"/>
              <w:marTop w:val="0"/>
              <w:marBottom w:val="0"/>
              <w:divBdr>
                <w:top w:val="none" w:sz="0" w:space="0" w:color="auto"/>
                <w:left w:val="none" w:sz="0" w:space="0" w:color="auto"/>
                <w:bottom w:val="none" w:sz="0" w:space="0" w:color="auto"/>
                <w:right w:val="none" w:sz="0" w:space="0" w:color="auto"/>
              </w:divBdr>
              <w:divsChild>
                <w:div w:id="1149976417">
                  <w:marLeft w:val="0"/>
                  <w:marRight w:val="0"/>
                  <w:marTop w:val="0"/>
                  <w:marBottom w:val="0"/>
                  <w:divBdr>
                    <w:top w:val="none" w:sz="0" w:space="0" w:color="auto"/>
                    <w:left w:val="none" w:sz="0" w:space="0" w:color="auto"/>
                    <w:bottom w:val="none" w:sz="0" w:space="0" w:color="auto"/>
                    <w:right w:val="none" w:sz="0" w:space="0" w:color="auto"/>
                  </w:divBdr>
                  <w:divsChild>
                    <w:div w:id="647367109">
                      <w:marLeft w:val="0"/>
                      <w:marRight w:val="0"/>
                      <w:marTop w:val="0"/>
                      <w:marBottom w:val="0"/>
                      <w:divBdr>
                        <w:top w:val="none" w:sz="0" w:space="0" w:color="auto"/>
                        <w:left w:val="none" w:sz="0" w:space="0" w:color="auto"/>
                        <w:bottom w:val="none" w:sz="0" w:space="0" w:color="auto"/>
                        <w:right w:val="none" w:sz="0" w:space="0" w:color="auto"/>
                      </w:divBdr>
                      <w:divsChild>
                        <w:div w:id="1374421680">
                          <w:marLeft w:val="0"/>
                          <w:marRight w:val="0"/>
                          <w:marTop w:val="0"/>
                          <w:marBottom w:val="0"/>
                          <w:divBdr>
                            <w:top w:val="none" w:sz="0" w:space="0" w:color="auto"/>
                            <w:left w:val="none" w:sz="0" w:space="0" w:color="auto"/>
                            <w:bottom w:val="none" w:sz="0" w:space="0" w:color="auto"/>
                            <w:right w:val="none" w:sz="0" w:space="0" w:color="auto"/>
                          </w:divBdr>
                          <w:divsChild>
                            <w:div w:id="1757046767">
                              <w:marLeft w:val="0"/>
                              <w:marRight w:val="0"/>
                              <w:marTop w:val="0"/>
                              <w:marBottom w:val="0"/>
                              <w:divBdr>
                                <w:top w:val="none" w:sz="0" w:space="0" w:color="auto"/>
                                <w:left w:val="none" w:sz="0" w:space="0" w:color="auto"/>
                                <w:bottom w:val="none" w:sz="0" w:space="0" w:color="auto"/>
                                <w:right w:val="none" w:sz="0" w:space="0" w:color="auto"/>
                              </w:divBdr>
                              <w:divsChild>
                                <w:div w:id="1032076245">
                                  <w:marLeft w:val="0"/>
                                  <w:marRight w:val="0"/>
                                  <w:marTop w:val="0"/>
                                  <w:marBottom w:val="0"/>
                                  <w:divBdr>
                                    <w:top w:val="none" w:sz="0" w:space="0" w:color="auto"/>
                                    <w:left w:val="none" w:sz="0" w:space="0" w:color="auto"/>
                                    <w:bottom w:val="none" w:sz="0" w:space="0" w:color="auto"/>
                                    <w:right w:val="none" w:sz="0" w:space="0" w:color="auto"/>
                                  </w:divBdr>
                                  <w:divsChild>
                                    <w:div w:id="1121463427">
                                      <w:marLeft w:val="0"/>
                                      <w:marRight w:val="0"/>
                                      <w:marTop w:val="0"/>
                                      <w:marBottom w:val="0"/>
                                      <w:divBdr>
                                        <w:top w:val="none" w:sz="0" w:space="0" w:color="auto"/>
                                        <w:left w:val="none" w:sz="0" w:space="0" w:color="auto"/>
                                        <w:bottom w:val="none" w:sz="0" w:space="0" w:color="auto"/>
                                        <w:right w:val="none" w:sz="0" w:space="0" w:color="auto"/>
                                      </w:divBdr>
                                      <w:divsChild>
                                        <w:div w:id="2123844388">
                                          <w:marLeft w:val="0"/>
                                          <w:marRight w:val="0"/>
                                          <w:marTop w:val="0"/>
                                          <w:marBottom w:val="0"/>
                                          <w:divBdr>
                                            <w:top w:val="none" w:sz="0" w:space="0" w:color="auto"/>
                                            <w:left w:val="none" w:sz="0" w:space="0" w:color="auto"/>
                                            <w:bottom w:val="none" w:sz="0" w:space="0" w:color="auto"/>
                                            <w:right w:val="none" w:sz="0" w:space="0" w:color="auto"/>
                                          </w:divBdr>
                                          <w:divsChild>
                                            <w:div w:id="550729913">
                                              <w:marLeft w:val="0"/>
                                              <w:marRight w:val="0"/>
                                              <w:marTop w:val="0"/>
                                              <w:marBottom w:val="495"/>
                                              <w:divBdr>
                                                <w:top w:val="none" w:sz="0" w:space="0" w:color="auto"/>
                                                <w:left w:val="none" w:sz="0" w:space="0" w:color="auto"/>
                                                <w:bottom w:val="none" w:sz="0" w:space="0" w:color="auto"/>
                                                <w:right w:val="none" w:sz="0" w:space="0" w:color="auto"/>
                                              </w:divBdr>
                                              <w:divsChild>
                                                <w:div w:id="1739282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8099342">
      <w:bodyDiv w:val="1"/>
      <w:marLeft w:val="0"/>
      <w:marRight w:val="0"/>
      <w:marTop w:val="0"/>
      <w:marBottom w:val="0"/>
      <w:divBdr>
        <w:top w:val="none" w:sz="0" w:space="0" w:color="auto"/>
        <w:left w:val="none" w:sz="0" w:space="0" w:color="auto"/>
        <w:bottom w:val="none" w:sz="0" w:space="0" w:color="auto"/>
        <w:right w:val="none" w:sz="0" w:space="0" w:color="auto"/>
      </w:divBdr>
    </w:div>
    <w:div w:id="1389844824">
      <w:bodyDiv w:val="1"/>
      <w:marLeft w:val="0"/>
      <w:marRight w:val="0"/>
      <w:marTop w:val="0"/>
      <w:marBottom w:val="0"/>
      <w:divBdr>
        <w:top w:val="none" w:sz="0" w:space="0" w:color="auto"/>
        <w:left w:val="none" w:sz="0" w:space="0" w:color="auto"/>
        <w:bottom w:val="none" w:sz="0" w:space="0" w:color="auto"/>
        <w:right w:val="none" w:sz="0" w:space="0" w:color="auto"/>
      </w:divBdr>
    </w:div>
    <w:div w:id="1400783560">
      <w:bodyDiv w:val="1"/>
      <w:marLeft w:val="0"/>
      <w:marRight w:val="0"/>
      <w:marTop w:val="0"/>
      <w:marBottom w:val="0"/>
      <w:divBdr>
        <w:top w:val="none" w:sz="0" w:space="0" w:color="auto"/>
        <w:left w:val="none" w:sz="0" w:space="0" w:color="auto"/>
        <w:bottom w:val="none" w:sz="0" w:space="0" w:color="auto"/>
        <w:right w:val="none" w:sz="0" w:space="0" w:color="auto"/>
      </w:divBdr>
    </w:div>
    <w:div w:id="1419716853">
      <w:bodyDiv w:val="1"/>
      <w:marLeft w:val="0"/>
      <w:marRight w:val="0"/>
      <w:marTop w:val="0"/>
      <w:marBottom w:val="0"/>
      <w:divBdr>
        <w:top w:val="none" w:sz="0" w:space="0" w:color="auto"/>
        <w:left w:val="none" w:sz="0" w:space="0" w:color="auto"/>
        <w:bottom w:val="none" w:sz="0" w:space="0" w:color="auto"/>
        <w:right w:val="none" w:sz="0" w:space="0" w:color="auto"/>
      </w:divBdr>
    </w:div>
    <w:div w:id="1466704626">
      <w:bodyDiv w:val="1"/>
      <w:marLeft w:val="0"/>
      <w:marRight w:val="0"/>
      <w:marTop w:val="0"/>
      <w:marBottom w:val="0"/>
      <w:divBdr>
        <w:top w:val="none" w:sz="0" w:space="0" w:color="auto"/>
        <w:left w:val="none" w:sz="0" w:space="0" w:color="auto"/>
        <w:bottom w:val="none" w:sz="0" w:space="0" w:color="auto"/>
        <w:right w:val="none" w:sz="0" w:space="0" w:color="auto"/>
      </w:divBdr>
    </w:div>
    <w:div w:id="1495760636">
      <w:bodyDiv w:val="1"/>
      <w:marLeft w:val="0"/>
      <w:marRight w:val="0"/>
      <w:marTop w:val="0"/>
      <w:marBottom w:val="0"/>
      <w:divBdr>
        <w:top w:val="none" w:sz="0" w:space="0" w:color="auto"/>
        <w:left w:val="none" w:sz="0" w:space="0" w:color="auto"/>
        <w:bottom w:val="none" w:sz="0" w:space="0" w:color="auto"/>
        <w:right w:val="none" w:sz="0" w:space="0" w:color="auto"/>
      </w:divBdr>
    </w:div>
    <w:div w:id="1532837736">
      <w:bodyDiv w:val="1"/>
      <w:marLeft w:val="0"/>
      <w:marRight w:val="0"/>
      <w:marTop w:val="0"/>
      <w:marBottom w:val="0"/>
      <w:divBdr>
        <w:top w:val="none" w:sz="0" w:space="0" w:color="auto"/>
        <w:left w:val="none" w:sz="0" w:space="0" w:color="auto"/>
        <w:bottom w:val="none" w:sz="0" w:space="0" w:color="auto"/>
        <w:right w:val="none" w:sz="0" w:space="0" w:color="auto"/>
      </w:divBdr>
    </w:div>
    <w:div w:id="1539201126">
      <w:bodyDiv w:val="1"/>
      <w:marLeft w:val="0"/>
      <w:marRight w:val="0"/>
      <w:marTop w:val="0"/>
      <w:marBottom w:val="0"/>
      <w:divBdr>
        <w:top w:val="none" w:sz="0" w:space="0" w:color="auto"/>
        <w:left w:val="none" w:sz="0" w:space="0" w:color="auto"/>
        <w:bottom w:val="none" w:sz="0" w:space="0" w:color="auto"/>
        <w:right w:val="none" w:sz="0" w:space="0" w:color="auto"/>
      </w:divBdr>
    </w:div>
    <w:div w:id="1572694325">
      <w:bodyDiv w:val="1"/>
      <w:marLeft w:val="0"/>
      <w:marRight w:val="0"/>
      <w:marTop w:val="0"/>
      <w:marBottom w:val="0"/>
      <w:divBdr>
        <w:top w:val="none" w:sz="0" w:space="0" w:color="auto"/>
        <w:left w:val="none" w:sz="0" w:space="0" w:color="auto"/>
        <w:bottom w:val="none" w:sz="0" w:space="0" w:color="auto"/>
        <w:right w:val="none" w:sz="0" w:space="0" w:color="auto"/>
      </w:divBdr>
    </w:div>
    <w:div w:id="1586761684">
      <w:bodyDiv w:val="1"/>
      <w:marLeft w:val="0"/>
      <w:marRight w:val="0"/>
      <w:marTop w:val="0"/>
      <w:marBottom w:val="0"/>
      <w:divBdr>
        <w:top w:val="none" w:sz="0" w:space="0" w:color="auto"/>
        <w:left w:val="none" w:sz="0" w:space="0" w:color="auto"/>
        <w:bottom w:val="none" w:sz="0" w:space="0" w:color="auto"/>
        <w:right w:val="none" w:sz="0" w:space="0" w:color="auto"/>
      </w:divBdr>
    </w:div>
    <w:div w:id="1597978264">
      <w:bodyDiv w:val="1"/>
      <w:marLeft w:val="0"/>
      <w:marRight w:val="0"/>
      <w:marTop w:val="0"/>
      <w:marBottom w:val="0"/>
      <w:divBdr>
        <w:top w:val="none" w:sz="0" w:space="0" w:color="auto"/>
        <w:left w:val="none" w:sz="0" w:space="0" w:color="auto"/>
        <w:bottom w:val="none" w:sz="0" w:space="0" w:color="auto"/>
        <w:right w:val="none" w:sz="0" w:space="0" w:color="auto"/>
      </w:divBdr>
    </w:div>
    <w:div w:id="1690453470">
      <w:bodyDiv w:val="1"/>
      <w:marLeft w:val="0"/>
      <w:marRight w:val="0"/>
      <w:marTop w:val="0"/>
      <w:marBottom w:val="0"/>
      <w:divBdr>
        <w:top w:val="none" w:sz="0" w:space="0" w:color="auto"/>
        <w:left w:val="none" w:sz="0" w:space="0" w:color="auto"/>
        <w:bottom w:val="none" w:sz="0" w:space="0" w:color="auto"/>
        <w:right w:val="none" w:sz="0" w:space="0" w:color="auto"/>
      </w:divBdr>
    </w:div>
    <w:div w:id="1718629800">
      <w:bodyDiv w:val="1"/>
      <w:marLeft w:val="0"/>
      <w:marRight w:val="0"/>
      <w:marTop w:val="0"/>
      <w:marBottom w:val="0"/>
      <w:divBdr>
        <w:top w:val="none" w:sz="0" w:space="0" w:color="auto"/>
        <w:left w:val="none" w:sz="0" w:space="0" w:color="auto"/>
        <w:bottom w:val="none" w:sz="0" w:space="0" w:color="auto"/>
        <w:right w:val="none" w:sz="0" w:space="0" w:color="auto"/>
      </w:divBdr>
    </w:div>
    <w:div w:id="1725449808">
      <w:bodyDiv w:val="1"/>
      <w:marLeft w:val="0"/>
      <w:marRight w:val="0"/>
      <w:marTop w:val="0"/>
      <w:marBottom w:val="0"/>
      <w:divBdr>
        <w:top w:val="none" w:sz="0" w:space="0" w:color="auto"/>
        <w:left w:val="none" w:sz="0" w:space="0" w:color="auto"/>
        <w:bottom w:val="none" w:sz="0" w:space="0" w:color="auto"/>
        <w:right w:val="none" w:sz="0" w:space="0" w:color="auto"/>
      </w:divBdr>
    </w:div>
    <w:div w:id="1814329202">
      <w:bodyDiv w:val="1"/>
      <w:marLeft w:val="0"/>
      <w:marRight w:val="0"/>
      <w:marTop w:val="0"/>
      <w:marBottom w:val="0"/>
      <w:divBdr>
        <w:top w:val="none" w:sz="0" w:space="0" w:color="auto"/>
        <w:left w:val="none" w:sz="0" w:space="0" w:color="auto"/>
        <w:bottom w:val="none" w:sz="0" w:space="0" w:color="auto"/>
        <w:right w:val="none" w:sz="0" w:space="0" w:color="auto"/>
      </w:divBdr>
    </w:div>
    <w:div w:id="1867400374">
      <w:bodyDiv w:val="1"/>
      <w:marLeft w:val="0"/>
      <w:marRight w:val="0"/>
      <w:marTop w:val="0"/>
      <w:marBottom w:val="0"/>
      <w:divBdr>
        <w:top w:val="none" w:sz="0" w:space="0" w:color="auto"/>
        <w:left w:val="none" w:sz="0" w:space="0" w:color="auto"/>
        <w:bottom w:val="none" w:sz="0" w:space="0" w:color="auto"/>
        <w:right w:val="none" w:sz="0" w:space="0" w:color="auto"/>
      </w:divBdr>
    </w:div>
    <w:div w:id="1871406396">
      <w:bodyDiv w:val="1"/>
      <w:marLeft w:val="0"/>
      <w:marRight w:val="0"/>
      <w:marTop w:val="0"/>
      <w:marBottom w:val="0"/>
      <w:divBdr>
        <w:top w:val="none" w:sz="0" w:space="0" w:color="auto"/>
        <w:left w:val="none" w:sz="0" w:space="0" w:color="auto"/>
        <w:bottom w:val="none" w:sz="0" w:space="0" w:color="auto"/>
        <w:right w:val="none" w:sz="0" w:space="0" w:color="auto"/>
      </w:divBdr>
    </w:div>
    <w:div w:id="1873374240">
      <w:bodyDiv w:val="1"/>
      <w:marLeft w:val="0"/>
      <w:marRight w:val="0"/>
      <w:marTop w:val="0"/>
      <w:marBottom w:val="0"/>
      <w:divBdr>
        <w:top w:val="none" w:sz="0" w:space="0" w:color="auto"/>
        <w:left w:val="none" w:sz="0" w:space="0" w:color="auto"/>
        <w:bottom w:val="none" w:sz="0" w:space="0" w:color="auto"/>
        <w:right w:val="none" w:sz="0" w:space="0" w:color="auto"/>
      </w:divBdr>
    </w:div>
    <w:div w:id="1885292247">
      <w:bodyDiv w:val="1"/>
      <w:marLeft w:val="0"/>
      <w:marRight w:val="0"/>
      <w:marTop w:val="0"/>
      <w:marBottom w:val="0"/>
      <w:divBdr>
        <w:top w:val="none" w:sz="0" w:space="0" w:color="auto"/>
        <w:left w:val="none" w:sz="0" w:space="0" w:color="auto"/>
        <w:bottom w:val="none" w:sz="0" w:space="0" w:color="auto"/>
        <w:right w:val="none" w:sz="0" w:space="0" w:color="auto"/>
      </w:divBdr>
    </w:div>
    <w:div w:id="1899976496">
      <w:bodyDiv w:val="1"/>
      <w:marLeft w:val="0"/>
      <w:marRight w:val="0"/>
      <w:marTop w:val="0"/>
      <w:marBottom w:val="0"/>
      <w:divBdr>
        <w:top w:val="none" w:sz="0" w:space="0" w:color="auto"/>
        <w:left w:val="none" w:sz="0" w:space="0" w:color="auto"/>
        <w:bottom w:val="none" w:sz="0" w:space="0" w:color="auto"/>
        <w:right w:val="none" w:sz="0" w:space="0" w:color="auto"/>
      </w:divBdr>
    </w:div>
    <w:div w:id="1904103195">
      <w:bodyDiv w:val="1"/>
      <w:marLeft w:val="0"/>
      <w:marRight w:val="0"/>
      <w:marTop w:val="0"/>
      <w:marBottom w:val="0"/>
      <w:divBdr>
        <w:top w:val="none" w:sz="0" w:space="0" w:color="auto"/>
        <w:left w:val="none" w:sz="0" w:space="0" w:color="auto"/>
        <w:bottom w:val="none" w:sz="0" w:space="0" w:color="auto"/>
        <w:right w:val="none" w:sz="0" w:space="0" w:color="auto"/>
      </w:divBdr>
    </w:div>
    <w:div w:id="1975451796">
      <w:bodyDiv w:val="1"/>
      <w:marLeft w:val="0"/>
      <w:marRight w:val="0"/>
      <w:marTop w:val="0"/>
      <w:marBottom w:val="0"/>
      <w:divBdr>
        <w:top w:val="none" w:sz="0" w:space="0" w:color="auto"/>
        <w:left w:val="none" w:sz="0" w:space="0" w:color="auto"/>
        <w:bottom w:val="none" w:sz="0" w:space="0" w:color="auto"/>
        <w:right w:val="none" w:sz="0" w:space="0" w:color="auto"/>
      </w:divBdr>
    </w:div>
    <w:div w:id="2005355062">
      <w:bodyDiv w:val="1"/>
      <w:marLeft w:val="0"/>
      <w:marRight w:val="0"/>
      <w:marTop w:val="0"/>
      <w:marBottom w:val="0"/>
      <w:divBdr>
        <w:top w:val="none" w:sz="0" w:space="0" w:color="auto"/>
        <w:left w:val="none" w:sz="0" w:space="0" w:color="auto"/>
        <w:bottom w:val="none" w:sz="0" w:space="0" w:color="auto"/>
        <w:right w:val="none" w:sz="0" w:space="0" w:color="auto"/>
      </w:divBdr>
      <w:divsChild>
        <w:div w:id="864517709">
          <w:marLeft w:val="0"/>
          <w:marRight w:val="0"/>
          <w:marTop w:val="0"/>
          <w:marBottom w:val="0"/>
          <w:divBdr>
            <w:top w:val="none" w:sz="0" w:space="0" w:color="auto"/>
            <w:left w:val="none" w:sz="0" w:space="0" w:color="auto"/>
            <w:bottom w:val="none" w:sz="0" w:space="0" w:color="auto"/>
            <w:right w:val="none" w:sz="0" w:space="0" w:color="auto"/>
          </w:divBdr>
          <w:divsChild>
            <w:div w:id="2132556792">
              <w:marLeft w:val="0"/>
              <w:marRight w:val="0"/>
              <w:marTop w:val="0"/>
              <w:marBottom w:val="0"/>
              <w:divBdr>
                <w:top w:val="none" w:sz="0" w:space="0" w:color="auto"/>
                <w:left w:val="none" w:sz="0" w:space="0" w:color="auto"/>
                <w:bottom w:val="none" w:sz="0" w:space="0" w:color="auto"/>
                <w:right w:val="none" w:sz="0" w:space="0" w:color="auto"/>
              </w:divBdr>
              <w:divsChild>
                <w:div w:id="932736561">
                  <w:marLeft w:val="0"/>
                  <w:marRight w:val="0"/>
                  <w:marTop w:val="0"/>
                  <w:marBottom w:val="0"/>
                  <w:divBdr>
                    <w:top w:val="none" w:sz="0" w:space="0" w:color="auto"/>
                    <w:left w:val="none" w:sz="0" w:space="0" w:color="auto"/>
                    <w:bottom w:val="none" w:sz="0" w:space="0" w:color="auto"/>
                    <w:right w:val="none" w:sz="0" w:space="0" w:color="auto"/>
                  </w:divBdr>
                  <w:divsChild>
                    <w:div w:id="121310624">
                      <w:marLeft w:val="0"/>
                      <w:marRight w:val="0"/>
                      <w:marTop w:val="0"/>
                      <w:marBottom w:val="0"/>
                      <w:divBdr>
                        <w:top w:val="none" w:sz="0" w:space="0" w:color="auto"/>
                        <w:left w:val="none" w:sz="0" w:space="0" w:color="auto"/>
                        <w:bottom w:val="none" w:sz="0" w:space="0" w:color="auto"/>
                        <w:right w:val="none" w:sz="0" w:space="0" w:color="auto"/>
                      </w:divBdr>
                      <w:divsChild>
                        <w:div w:id="779643181">
                          <w:marLeft w:val="0"/>
                          <w:marRight w:val="0"/>
                          <w:marTop w:val="0"/>
                          <w:marBottom w:val="0"/>
                          <w:divBdr>
                            <w:top w:val="none" w:sz="0" w:space="0" w:color="auto"/>
                            <w:left w:val="none" w:sz="0" w:space="0" w:color="auto"/>
                            <w:bottom w:val="none" w:sz="0" w:space="0" w:color="auto"/>
                            <w:right w:val="none" w:sz="0" w:space="0" w:color="auto"/>
                          </w:divBdr>
                          <w:divsChild>
                            <w:div w:id="78623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3888848">
      <w:bodyDiv w:val="1"/>
      <w:marLeft w:val="0"/>
      <w:marRight w:val="0"/>
      <w:marTop w:val="0"/>
      <w:marBottom w:val="0"/>
      <w:divBdr>
        <w:top w:val="none" w:sz="0" w:space="0" w:color="auto"/>
        <w:left w:val="none" w:sz="0" w:space="0" w:color="auto"/>
        <w:bottom w:val="none" w:sz="0" w:space="0" w:color="auto"/>
        <w:right w:val="none" w:sz="0" w:space="0" w:color="auto"/>
      </w:divBdr>
    </w:div>
    <w:div w:id="2135980976">
      <w:bodyDiv w:val="1"/>
      <w:marLeft w:val="0"/>
      <w:marRight w:val="0"/>
      <w:marTop w:val="0"/>
      <w:marBottom w:val="0"/>
      <w:divBdr>
        <w:top w:val="none" w:sz="0" w:space="0" w:color="auto"/>
        <w:left w:val="none" w:sz="0" w:space="0" w:color="auto"/>
        <w:bottom w:val="none" w:sz="0" w:space="0" w:color="auto"/>
        <w:right w:val="none" w:sz="0" w:space="0" w:color="auto"/>
      </w:divBdr>
      <w:divsChild>
        <w:div w:id="725681509">
          <w:marLeft w:val="0"/>
          <w:marRight w:val="0"/>
          <w:marTop w:val="0"/>
          <w:marBottom w:val="0"/>
          <w:divBdr>
            <w:top w:val="none" w:sz="0" w:space="0" w:color="auto"/>
            <w:left w:val="none" w:sz="0" w:space="0" w:color="auto"/>
            <w:bottom w:val="none" w:sz="0" w:space="0" w:color="auto"/>
            <w:right w:val="none" w:sz="0" w:space="0" w:color="auto"/>
          </w:divBdr>
          <w:divsChild>
            <w:div w:id="721058075">
              <w:marLeft w:val="0"/>
              <w:marRight w:val="0"/>
              <w:marTop w:val="0"/>
              <w:marBottom w:val="0"/>
              <w:divBdr>
                <w:top w:val="none" w:sz="0" w:space="0" w:color="auto"/>
                <w:left w:val="none" w:sz="0" w:space="0" w:color="auto"/>
                <w:bottom w:val="none" w:sz="0" w:space="0" w:color="auto"/>
                <w:right w:val="none" w:sz="0" w:space="0" w:color="auto"/>
              </w:divBdr>
              <w:divsChild>
                <w:div w:id="1101416688">
                  <w:marLeft w:val="0"/>
                  <w:marRight w:val="0"/>
                  <w:marTop w:val="0"/>
                  <w:marBottom w:val="0"/>
                  <w:divBdr>
                    <w:top w:val="none" w:sz="0" w:space="0" w:color="auto"/>
                    <w:left w:val="none" w:sz="0" w:space="0" w:color="auto"/>
                    <w:bottom w:val="none" w:sz="0" w:space="0" w:color="auto"/>
                    <w:right w:val="none" w:sz="0" w:space="0" w:color="auto"/>
                  </w:divBdr>
                  <w:divsChild>
                    <w:div w:id="561909139">
                      <w:marLeft w:val="0"/>
                      <w:marRight w:val="0"/>
                      <w:marTop w:val="0"/>
                      <w:marBottom w:val="0"/>
                      <w:divBdr>
                        <w:top w:val="none" w:sz="0" w:space="0" w:color="auto"/>
                        <w:left w:val="none" w:sz="0" w:space="0" w:color="auto"/>
                        <w:bottom w:val="none" w:sz="0" w:space="0" w:color="auto"/>
                        <w:right w:val="none" w:sz="0" w:space="0" w:color="auto"/>
                      </w:divBdr>
                      <w:divsChild>
                        <w:div w:id="2000425169">
                          <w:marLeft w:val="0"/>
                          <w:marRight w:val="0"/>
                          <w:marTop w:val="0"/>
                          <w:marBottom w:val="0"/>
                          <w:divBdr>
                            <w:top w:val="none" w:sz="0" w:space="0" w:color="auto"/>
                            <w:left w:val="none" w:sz="0" w:space="0" w:color="auto"/>
                            <w:bottom w:val="none" w:sz="0" w:space="0" w:color="auto"/>
                            <w:right w:val="none" w:sz="0" w:space="0" w:color="auto"/>
                          </w:divBdr>
                          <w:divsChild>
                            <w:div w:id="905650098">
                              <w:marLeft w:val="0"/>
                              <w:marRight w:val="0"/>
                              <w:marTop w:val="0"/>
                              <w:marBottom w:val="0"/>
                              <w:divBdr>
                                <w:top w:val="none" w:sz="0" w:space="0" w:color="auto"/>
                                <w:left w:val="none" w:sz="0" w:space="0" w:color="auto"/>
                                <w:bottom w:val="none" w:sz="0" w:space="0" w:color="auto"/>
                                <w:right w:val="none" w:sz="0" w:space="0" w:color="auto"/>
                              </w:divBdr>
                              <w:divsChild>
                                <w:div w:id="1507935175">
                                  <w:marLeft w:val="0"/>
                                  <w:marRight w:val="0"/>
                                  <w:marTop w:val="0"/>
                                  <w:marBottom w:val="0"/>
                                  <w:divBdr>
                                    <w:top w:val="none" w:sz="0" w:space="0" w:color="auto"/>
                                    <w:left w:val="none" w:sz="0" w:space="0" w:color="auto"/>
                                    <w:bottom w:val="none" w:sz="0" w:space="0" w:color="auto"/>
                                    <w:right w:val="none" w:sz="0" w:space="0" w:color="auto"/>
                                  </w:divBdr>
                                  <w:divsChild>
                                    <w:div w:id="998659674">
                                      <w:marLeft w:val="0"/>
                                      <w:marRight w:val="0"/>
                                      <w:marTop w:val="0"/>
                                      <w:marBottom w:val="0"/>
                                      <w:divBdr>
                                        <w:top w:val="none" w:sz="0" w:space="0" w:color="auto"/>
                                        <w:left w:val="none" w:sz="0" w:space="0" w:color="auto"/>
                                        <w:bottom w:val="none" w:sz="0" w:space="0" w:color="auto"/>
                                        <w:right w:val="none" w:sz="0" w:space="0" w:color="auto"/>
                                      </w:divBdr>
                                      <w:divsChild>
                                        <w:div w:id="305210719">
                                          <w:marLeft w:val="0"/>
                                          <w:marRight w:val="0"/>
                                          <w:marTop w:val="0"/>
                                          <w:marBottom w:val="0"/>
                                          <w:divBdr>
                                            <w:top w:val="none" w:sz="0" w:space="0" w:color="auto"/>
                                            <w:left w:val="none" w:sz="0" w:space="0" w:color="auto"/>
                                            <w:bottom w:val="none" w:sz="0" w:space="0" w:color="auto"/>
                                            <w:right w:val="none" w:sz="0" w:space="0" w:color="auto"/>
                                          </w:divBdr>
                                          <w:divsChild>
                                            <w:div w:id="1725329910">
                                              <w:marLeft w:val="0"/>
                                              <w:marRight w:val="0"/>
                                              <w:marTop w:val="0"/>
                                              <w:marBottom w:val="495"/>
                                              <w:divBdr>
                                                <w:top w:val="none" w:sz="0" w:space="0" w:color="auto"/>
                                                <w:left w:val="none" w:sz="0" w:space="0" w:color="auto"/>
                                                <w:bottom w:val="none" w:sz="0" w:space="0" w:color="auto"/>
                                                <w:right w:val="none" w:sz="0" w:space="0" w:color="auto"/>
                                              </w:divBdr>
                                              <w:divsChild>
                                                <w:div w:id="20572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46699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ec.europa.eu/info/law/better-regulation/have-your-say/initiatives/1859-Evaluation-of-the-EU-agricultural-promotion-policy" TargetMode="External" Id="rId8" /><Relationship Type="http://schemas.openxmlformats.org/officeDocument/2006/relationships/hyperlink" Target="http://ec.europa.eu/yourvoice/consultations/index_nl.htm" TargetMode="Externa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yperlink" Target="https://zoek.officielebekendmakingen.nl/kst-32123-XIV-147.html?zoekcriteria=%3fzkt%3dUitgebreid%26pst%3dTractatenblad%257cStaatsblad%257cStaatscourant%257cGemeenteblad%257cProvincieblad%257cWaterschapsblad%257cParlementaireDocumenten%26vrt%3dverzoekt%2bhet%2bkabinet%2bde%2bcorrespondentie%2bvan%2bde%2bNederlandse%2bregering%2baan%26zkd%3dInDeGeheleText%26dpr%3dAlle%26sdt%3dDatumPublicatie%26ap%3d%26pnr%3d16%26rpp%3d10%26_page%3d13%26sorttype%3d1%26sortorder%3d4&amp;resultIndex=127&amp;sorttype=1&amp;sortorder=4" TargetMode="External" Id="rId12"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hyperlink" Target="https://secure.ipex.eu/IPEXL-WEB/dossier/document/COM20200459.do" TargetMode="Externa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hyperlink" Target="https://secure.ipex.eu/IPEXL-WEB/dossier/document/COM20200215.do" TargetMode="External" Id="rId10" /><Relationship Type="http://schemas.openxmlformats.org/officeDocument/2006/relationships/settings" Target="settings.xml" Id="rId4" /><Relationship Type="http://schemas.openxmlformats.org/officeDocument/2006/relationships/hyperlink" Target="https://ec.europa.eu/info/law/better-regulation/have-your-say/initiatives/11815-Evaluation-of-access-to-deep-sea-fishing-in-the-north-east-Atlantic" TargetMode="External" Id="rId9" /><Relationship Type="http://schemas.openxmlformats.org/officeDocument/2006/relationships/fontTable" Target="fontTable.xml" Id="rId14" /></Relationships>
</file>

<file path=word/_rels/footnotes.xml.rels><?xml version="1.0" encoding="UTF-8" standalone="yes"?>
<Relationships xmlns="http://schemas.openxmlformats.org/package/2006/relationships"><Relationship Id="rId1" Type="http://schemas.openxmlformats.org/officeDocument/2006/relationships/hyperlink" Target="http://parlisweb/parlis/document.aspx?id=cf54eb83-50aa-4107-9bd2-8789e62c17cf"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8</ap:Pages>
  <ap:Words>2539</ap:Words>
  <ap:Characters>16961</ap:Characters>
  <ap:DocSecurity>0</ap:DocSecurity>
  <ap:Lines>141</ap:Lines>
  <ap:Paragraphs>38</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19462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2020-06-09T10:46:00.0000000Z</dcterms:created>
  <dcterms:modified xsi:type="dcterms:W3CDTF">2020-06-11T08:52:00.0000000Z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0x010100CC3C66C042160C42A9DFB56831235E31</vt:lpwstr>
  </property>
</Properties>
</file>