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W06.19.0406/III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4 maart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EB0B7C" w:rsidRDefault="007C4C65">
              <w:r>
                <w:t>Bij Kabinetsmissive van 18 december 2019, no.2019002699, heeft Uwe Majesteit, op voordracht van de Minister van Financiën, mede namens de Minister van Justitie en Veiligheid, bij de Afdeling advisering van de Raad van State ter overweging aanhangig gemaakt</w:t>
              </w:r>
              <w:r>
                <w:t xml:space="preserve"> het voorstel van wet tot wijziging van de Wet ter voorkoming van witwassen en financieren van terrorisme BES en de Wet financiële markten BES in verband met het aanpakken van geconstateerde risico’s op witwassen en financieren van terrorisme op de BES en </w:t>
              </w:r>
              <w:r>
                <w:t>het in overeenstemming brengen van deze wetgeving met de aanbevelingen van de Financial Action Task Force, met memorie van toelichting.</w:t>
              </w:r>
            </w:p>
          </w:sdtContent>
        </w:sdt>
        <w:p w:rsidRPr="00831363" w:rsidR="00CE4655" w:rsidP="003C7608" w:rsidRDefault="00CE4655"/>
        <w:sdt>
          <w:sdtPr>
            <w:alias w:val="VrijeTekst1"/>
            <w:tag w:val="VrijeTekst1"/>
            <w:id w:val="-437221631"/>
            <w:lock w:val="sdtLocked"/>
          </w:sdtPr>
          <w:sdtEndPr>
            <w:rPr>
              <w:szCs w:val="22"/>
            </w:rPr>
          </w:sdtEndPr>
          <w:sdtContent>
            <w:p w:rsidRPr="00897AAE" w:rsidR="004075B0" w:rsidP="00897AAE" w:rsidRDefault="007C4C65">
              <w:pPr>
                <w:rPr>
                  <w:szCs w:val="22"/>
                </w:rPr>
              </w:pPr>
              <w:r w:rsidRPr="00897AAE">
                <w:rPr>
                  <w:szCs w:val="22"/>
                </w:rPr>
                <w:t>Het wetvoorstel beoogt een aanscherping van de maatregelen ter voorkoming van witwassen en financiering van terrorism</w:t>
              </w:r>
              <w:r w:rsidRPr="00897AAE">
                <w:rPr>
                  <w:szCs w:val="22"/>
                </w:rPr>
                <w:t xml:space="preserve">e in Caribisch Nederland. Aanleiding </w:t>
              </w:r>
              <w:r>
                <w:rPr>
                  <w:szCs w:val="22"/>
                </w:rPr>
                <w:t>voor</w:t>
              </w:r>
              <w:r w:rsidRPr="00897AAE">
                <w:rPr>
                  <w:szCs w:val="22"/>
                </w:rPr>
                <w:t xml:space="preserve"> het wetsvoorstel is de noodzaak om de Wet ter voorkoming van witwassen en financiering van terrorisme BES (</w:t>
              </w:r>
              <w:r>
                <w:rPr>
                  <w:szCs w:val="22"/>
                </w:rPr>
                <w:t xml:space="preserve">hierna: </w:t>
              </w:r>
              <w:r w:rsidRPr="00897AAE">
                <w:rPr>
                  <w:szCs w:val="22"/>
                </w:rPr>
                <w:t>Wwft BES) in lijn te brengen met de actuele internationale standaarden van de Financial Action Task</w:t>
              </w:r>
              <w:r w:rsidRPr="00897AAE">
                <w:rPr>
                  <w:szCs w:val="22"/>
                </w:rPr>
                <w:t xml:space="preserve"> Force (</w:t>
              </w:r>
              <w:r>
                <w:rPr>
                  <w:szCs w:val="22"/>
                </w:rPr>
                <w:t xml:space="preserve">hierna: </w:t>
              </w:r>
              <w:r w:rsidRPr="00897AAE">
                <w:rPr>
                  <w:szCs w:val="22"/>
                </w:rPr>
                <w:t>FATF) en met de regelgeving in het Europese deel van Nederland.</w:t>
              </w:r>
              <w:r w:rsidRPr="00897AAE">
                <w:rPr>
                  <w:rStyle w:val="Voetnootmarkering"/>
                  <w:szCs w:val="22"/>
                </w:rPr>
                <w:footnoteReference w:id="1"/>
              </w:r>
              <w:r w:rsidRPr="00897AAE">
                <w:rPr>
                  <w:szCs w:val="22"/>
                </w:rPr>
                <w:t xml:space="preserve"> Daarnaast beoogt het voorstel knelpunten uit de praktijk op te lossen. </w:t>
              </w:r>
            </w:p>
            <w:p w:rsidRPr="00897AAE" w:rsidR="004075B0" w:rsidP="00897AAE" w:rsidRDefault="007C4C65">
              <w:pPr>
                <w:rPr>
                  <w:szCs w:val="22"/>
                </w:rPr>
              </w:pPr>
            </w:p>
            <w:p w:rsidR="00C403D1" w:rsidP="00897AAE" w:rsidRDefault="007C4C65">
              <w:pPr>
                <w:rPr>
                  <w:szCs w:val="22"/>
                </w:rPr>
              </w:pPr>
              <w:r w:rsidRPr="00897AAE">
                <w:rPr>
                  <w:szCs w:val="22"/>
                </w:rPr>
                <w:t xml:space="preserve">De Afdeling advisering van de Raad van State onderschrijft </w:t>
              </w:r>
              <w:r>
                <w:rPr>
                  <w:szCs w:val="22"/>
                </w:rPr>
                <w:t>de noodzaak aan te sluiten bij de verscherp</w:t>
              </w:r>
              <w:r>
                <w:rPr>
                  <w:szCs w:val="22"/>
                </w:rPr>
                <w:t>te afspraken die zijn gemaakt in het kader van de FATF</w:t>
              </w:r>
              <w:r w:rsidRPr="00897AAE">
                <w:rPr>
                  <w:szCs w:val="22"/>
                </w:rPr>
                <w:t xml:space="preserve">. </w:t>
              </w:r>
              <w:r>
                <w:rPr>
                  <w:szCs w:val="22"/>
                </w:rPr>
                <w:t xml:space="preserve">Gezien deze noodzaak adviseert de Afdeling het voorstel op enkele punten aan te passen. Verder adviseert zij nader te motiveren tot welke keuzes de risicoanalyse van het </w:t>
              </w:r>
              <w:r w:rsidRPr="00996B08">
                <w:rPr>
                  <w:szCs w:val="22"/>
                </w:rPr>
                <w:t>Wetenschappelijk Onderzoek- en</w:t>
              </w:r>
              <w:r w:rsidRPr="00996B08">
                <w:rPr>
                  <w:szCs w:val="22"/>
                </w:rPr>
                <w:t xml:space="preserve"> Documentatiecentrum</w:t>
              </w:r>
              <w:r>
                <w:rPr>
                  <w:szCs w:val="22"/>
                </w:rPr>
                <w:t xml:space="preserve"> (WODC) heeft geleid. Ook adviseert de Afdeling in de toelichting in te gaan op de vraag of de niet nader ingeperkte definitie van zogeheten </w:t>
              </w:r>
              <w:r w:rsidRPr="00C5509C">
                <w:rPr>
                  <w:szCs w:val="22"/>
                </w:rPr>
                <w:t>politiek prominente personen</w:t>
              </w:r>
              <w:r>
                <w:rPr>
                  <w:szCs w:val="22"/>
                </w:rPr>
                <w:t xml:space="preserve"> in de praktijk werkbaar is. I</w:t>
              </w:r>
              <w:r w:rsidRPr="008E4B21">
                <w:rPr>
                  <w:szCs w:val="22"/>
                </w:rPr>
                <w:t xml:space="preserve">n verband daarmee </w:t>
              </w:r>
              <w:r>
                <w:rPr>
                  <w:szCs w:val="22"/>
                </w:rPr>
                <w:t xml:space="preserve">is </w:t>
              </w:r>
              <w:r w:rsidRPr="008E4B21">
                <w:rPr>
                  <w:szCs w:val="22"/>
                </w:rPr>
                <w:t xml:space="preserve">aanpassing van het </w:t>
              </w:r>
              <w:r>
                <w:rPr>
                  <w:szCs w:val="22"/>
                </w:rPr>
                <w:t>wets</w:t>
              </w:r>
              <w:r w:rsidRPr="008E4B21">
                <w:rPr>
                  <w:szCs w:val="22"/>
                </w:rPr>
                <w:t>voorstel</w:t>
              </w:r>
              <w:r>
                <w:rPr>
                  <w:szCs w:val="22"/>
                </w:rPr>
                <w:t xml:space="preserve"> en de </w:t>
              </w:r>
              <w:r w:rsidRPr="008E4B21">
                <w:rPr>
                  <w:szCs w:val="22"/>
                </w:rPr>
                <w:t>toelichting wenselijk.</w:t>
              </w:r>
            </w:p>
            <w:p w:rsidRPr="00897AAE" w:rsidR="00C403D1" w:rsidP="00897AAE" w:rsidRDefault="007C4C65">
              <w:pPr>
                <w:rPr>
                  <w:szCs w:val="22"/>
                </w:rPr>
              </w:pPr>
            </w:p>
            <w:p w:rsidRPr="009F2C6B" w:rsidR="00C403D1" w:rsidP="009F2C6B" w:rsidRDefault="007C4C65">
              <w:pPr>
                <w:rPr>
                  <w:szCs w:val="22"/>
                  <w:u w:val="single"/>
                </w:rPr>
              </w:pPr>
              <w:r w:rsidRPr="009F2C6B">
                <w:rPr>
                  <w:szCs w:val="22"/>
                </w:rPr>
                <w:t>1.</w:t>
              </w:r>
              <w:r w:rsidRPr="009F2C6B">
                <w:rPr>
                  <w:szCs w:val="22"/>
                </w:rPr>
                <w:tab/>
              </w:r>
              <w:r w:rsidRPr="009F2C6B">
                <w:rPr>
                  <w:szCs w:val="22"/>
                  <w:u w:val="single"/>
                </w:rPr>
                <w:t>Inleiding</w:t>
              </w:r>
            </w:p>
            <w:p w:rsidRPr="00897AAE" w:rsidR="00C403D1" w:rsidP="00897AAE" w:rsidRDefault="007C4C65">
              <w:pPr>
                <w:rPr>
                  <w:szCs w:val="22"/>
                </w:rPr>
              </w:pPr>
            </w:p>
            <w:p w:rsidRPr="00897AAE" w:rsidR="00B65D2E" w:rsidP="00897AAE" w:rsidRDefault="007C4C65">
              <w:pPr>
                <w:rPr>
                  <w:szCs w:val="22"/>
                </w:rPr>
              </w:pPr>
              <w:r w:rsidRPr="00897AAE">
                <w:rPr>
                  <w:szCs w:val="22"/>
                </w:rPr>
                <w:t>De Wwft BES legt twee verplichtingen op aan financiële dienstverleners</w:t>
              </w:r>
              <w:r>
                <w:rPr>
                  <w:rStyle w:val="Voetnootmarkering"/>
                  <w:szCs w:val="22"/>
                </w:rPr>
                <w:footnoteReference w:id="2"/>
              </w:r>
              <w:r w:rsidRPr="00897AAE">
                <w:rPr>
                  <w:szCs w:val="22"/>
                </w:rPr>
                <w:t xml:space="preserve"> en andere dienstverleners die betrokken zijn bij het ‘verplaatsen van waarde’.</w:t>
              </w:r>
              <w:r>
                <w:rPr>
                  <w:rStyle w:val="Voetnootmarkering"/>
                  <w:szCs w:val="22"/>
                </w:rPr>
                <w:footnoteReference w:id="3"/>
              </w:r>
              <w:r w:rsidRPr="00897AAE">
                <w:rPr>
                  <w:szCs w:val="22"/>
                </w:rPr>
                <w:t xml:space="preserve"> Ten eerste moeten dienstverleners onderzoek doen naar hun cliënten voordat zij zaken met hen doen. Ten tweede moeten dienstverleners ongebruikelijke transacties melden bij een</w:t>
              </w:r>
              <w:r w:rsidRPr="00897AAE">
                <w:rPr>
                  <w:szCs w:val="22"/>
                </w:rPr>
                <w:t xml:space="preserve"> meldpunt. De Nederlandsche Bank, de Autoriteit Financiële Markten en het Bureau Toezicht Wwft, onderdeel van de Belastingdienst, zien toe op de naleving van de Wwft BES.</w:t>
              </w:r>
            </w:p>
            <w:p w:rsidRPr="00897AAE" w:rsidR="008E3637" w:rsidP="00897AAE" w:rsidRDefault="007C4C65">
              <w:pPr>
                <w:rPr>
                  <w:szCs w:val="22"/>
                </w:rPr>
              </w:pPr>
            </w:p>
            <w:p w:rsidRPr="00897AAE" w:rsidR="008E3637" w:rsidP="00897AAE" w:rsidRDefault="007C4C65">
              <w:pPr>
                <w:rPr>
                  <w:szCs w:val="22"/>
                </w:rPr>
              </w:pPr>
              <w:r w:rsidRPr="00897AAE">
                <w:rPr>
                  <w:szCs w:val="22"/>
                </w:rPr>
                <w:t>Het wetsvoorstel voorziet in een verzwaring van het regime. Dit komt tot uiting in v</w:t>
              </w:r>
              <w:r w:rsidRPr="00897AAE">
                <w:rPr>
                  <w:szCs w:val="22"/>
                </w:rPr>
                <w:t xml:space="preserve">erruiming van de bevoegdheden van betrokken instanties, uitbreiding van de sanctiemogelijkheden, </w:t>
              </w:r>
              <w:r>
                <w:rPr>
                  <w:szCs w:val="22"/>
                </w:rPr>
                <w:t>verbreding van de</w:t>
              </w:r>
              <w:r w:rsidRPr="00897AAE">
                <w:rPr>
                  <w:szCs w:val="22"/>
                </w:rPr>
                <w:t xml:space="preserve"> kring </w:t>
              </w:r>
              <w:r>
                <w:rPr>
                  <w:szCs w:val="22"/>
                </w:rPr>
                <w:t>v</w:t>
              </w:r>
              <w:r w:rsidRPr="00897AAE">
                <w:rPr>
                  <w:szCs w:val="22"/>
                </w:rPr>
                <w:t>an personen naar wie onderzoek moet worden verricht, en een uitbreiding van dienstverleners die onder wet vallen.</w:t>
              </w:r>
            </w:p>
            <w:p w:rsidRPr="00897AAE" w:rsidR="00934EAA" w:rsidP="00897AAE" w:rsidRDefault="007C4C65">
              <w:pPr>
                <w:rPr>
                  <w:szCs w:val="22"/>
                </w:rPr>
              </w:pPr>
            </w:p>
            <w:p w:rsidRPr="009F2C6B" w:rsidR="004075B0" w:rsidP="009F2C6B" w:rsidRDefault="007C4C65">
              <w:pPr>
                <w:rPr>
                  <w:szCs w:val="22"/>
                  <w:u w:val="single"/>
                </w:rPr>
              </w:pPr>
              <w:r w:rsidRPr="009F2C6B">
                <w:rPr>
                  <w:szCs w:val="22"/>
                </w:rPr>
                <w:t>2.</w:t>
              </w:r>
              <w:r w:rsidRPr="009F2C6B">
                <w:rPr>
                  <w:szCs w:val="22"/>
                </w:rPr>
                <w:tab/>
              </w:r>
              <w:r>
                <w:rPr>
                  <w:szCs w:val="22"/>
                  <w:u w:val="single"/>
                </w:rPr>
                <w:t>Risicoanalyse</w:t>
              </w:r>
            </w:p>
            <w:p w:rsidRPr="00897AAE" w:rsidR="00033ACA" w:rsidP="00897AAE" w:rsidRDefault="007C4C65">
              <w:pPr>
                <w:rPr>
                  <w:szCs w:val="22"/>
                </w:rPr>
              </w:pPr>
            </w:p>
            <w:p w:rsidR="00BD11CF" w:rsidP="00897AAE" w:rsidRDefault="007C4C65">
              <w:pPr>
                <w:rPr>
                  <w:szCs w:val="22"/>
                </w:rPr>
              </w:pPr>
              <w:r w:rsidRPr="00897AAE">
                <w:rPr>
                  <w:szCs w:val="22"/>
                </w:rPr>
                <w:t>H</w:t>
              </w:r>
              <w:r w:rsidRPr="00897AAE">
                <w:rPr>
                  <w:szCs w:val="22"/>
                </w:rPr>
                <w:t>et voorstel beoogt de categorie dienstverleners die onder de wet vallen uit te breiden naar ‘handelaren in bouwmaterialen’</w:t>
              </w:r>
              <w:r>
                <w:rPr>
                  <w:szCs w:val="22"/>
                </w:rPr>
                <w:t>,</w:t>
              </w:r>
              <w:r w:rsidRPr="00897AAE">
                <w:rPr>
                  <w:szCs w:val="22"/>
                </w:rPr>
                <w:t xml:space="preserve"> ook aangeduid als ‘bouwmarkten’. Dit is gedaan op basis van een risicoanalyse</w:t>
              </w:r>
              <w:r>
                <w:rPr>
                  <w:szCs w:val="22"/>
                </w:rPr>
                <w:t xml:space="preserve"> van het WODC</w:t>
              </w:r>
              <w:r w:rsidRPr="00897AAE">
                <w:rPr>
                  <w:szCs w:val="22"/>
                </w:rPr>
                <w:t>.</w:t>
              </w:r>
              <w:r w:rsidRPr="00897AAE">
                <w:rPr>
                  <w:rStyle w:val="Voetnootmarkering"/>
                  <w:szCs w:val="22"/>
                </w:rPr>
                <w:footnoteReference w:id="4"/>
              </w:r>
              <w:r w:rsidRPr="00897AAE">
                <w:rPr>
                  <w:szCs w:val="22"/>
                </w:rPr>
                <w:t xml:space="preserve"> In deze analyse komen ook andere dienst</w:t>
              </w:r>
              <w:r w:rsidRPr="00897AAE">
                <w:rPr>
                  <w:szCs w:val="22"/>
                </w:rPr>
                <w:t>verleners naar voren</w:t>
              </w:r>
              <w:r>
                <w:rPr>
                  <w:szCs w:val="22"/>
                </w:rPr>
                <w:t>,</w:t>
              </w:r>
              <w:r w:rsidRPr="00897AAE">
                <w:rPr>
                  <w:szCs w:val="22"/>
                </w:rPr>
                <w:t xml:space="preserve"> zoals </w:t>
              </w:r>
              <w:r>
                <w:rPr>
                  <w:szCs w:val="22"/>
                </w:rPr>
                <w:t>aanbieders van kansspelen, die</w:t>
              </w:r>
              <w:r w:rsidRPr="00897AAE">
                <w:rPr>
                  <w:szCs w:val="22"/>
                </w:rPr>
                <w:t xml:space="preserve"> </w:t>
              </w:r>
              <w:r>
                <w:rPr>
                  <w:szCs w:val="22"/>
                </w:rPr>
                <w:t xml:space="preserve">in het voorstel </w:t>
              </w:r>
              <w:r w:rsidRPr="00897AAE">
                <w:rPr>
                  <w:szCs w:val="22"/>
                </w:rPr>
                <w:t xml:space="preserve">buiten het bereik van de Wwft BES </w:t>
              </w:r>
              <w:r>
                <w:rPr>
                  <w:szCs w:val="22"/>
                </w:rPr>
                <w:t xml:space="preserve">zijn </w:t>
              </w:r>
              <w:r w:rsidRPr="00897AAE">
                <w:rPr>
                  <w:szCs w:val="22"/>
                </w:rPr>
                <w:t xml:space="preserve">gelaten. </w:t>
              </w:r>
            </w:p>
            <w:p w:rsidRPr="00897AAE" w:rsidR="00E0403A" w:rsidP="00897AAE" w:rsidRDefault="007C4C65">
              <w:pPr>
                <w:rPr>
                  <w:szCs w:val="22"/>
                </w:rPr>
              </w:pPr>
            </w:p>
            <w:p w:rsidRPr="00897AAE" w:rsidR="004075B0" w:rsidP="00897AAE" w:rsidRDefault="007C4C65">
              <w:pPr>
                <w:rPr>
                  <w:szCs w:val="22"/>
                </w:rPr>
              </w:pPr>
              <w:r w:rsidRPr="00897AAE">
                <w:rPr>
                  <w:szCs w:val="22"/>
                </w:rPr>
                <w:t>De Afdeling adviseert in de toelichting nader</w:t>
              </w:r>
              <w:r>
                <w:rPr>
                  <w:szCs w:val="22"/>
                </w:rPr>
                <w:t xml:space="preserve"> te motiveren hoe tot de keuze voor </w:t>
              </w:r>
              <w:r w:rsidRPr="00897AAE">
                <w:rPr>
                  <w:szCs w:val="22"/>
                </w:rPr>
                <w:t>‘handelaren in bouwmaterialen’</w:t>
              </w:r>
              <w:r>
                <w:rPr>
                  <w:szCs w:val="22"/>
                </w:rPr>
                <w:t xml:space="preserve"> is gekomen </w:t>
              </w:r>
              <w:r w:rsidRPr="00897AAE">
                <w:rPr>
                  <w:szCs w:val="22"/>
                </w:rPr>
                <w:t>en zo nodig het voorstel aan te passen.</w:t>
              </w:r>
            </w:p>
            <w:p w:rsidRPr="00897AAE" w:rsidR="004075B0" w:rsidP="00897AAE" w:rsidRDefault="007C4C65">
              <w:pPr>
                <w:rPr>
                  <w:szCs w:val="22"/>
                </w:rPr>
              </w:pPr>
            </w:p>
            <w:p w:rsidRPr="009F2C6B" w:rsidR="004075B0" w:rsidP="009F2C6B" w:rsidRDefault="007C4C65">
              <w:pPr>
                <w:keepNext/>
                <w:rPr>
                  <w:szCs w:val="22"/>
                  <w:u w:val="single"/>
                </w:rPr>
              </w:pPr>
              <w:r w:rsidRPr="009F2C6B">
                <w:rPr>
                  <w:szCs w:val="22"/>
                </w:rPr>
                <w:t>3.</w:t>
              </w:r>
              <w:r w:rsidRPr="009F2C6B">
                <w:rPr>
                  <w:szCs w:val="22"/>
                </w:rPr>
                <w:tab/>
              </w:r>
              <w:r w:rsidRPr="00E87810">
                <w:rPr>
                  <w:szCs w:val="22"/>
                  <w:u w:val="single"/>
                </w:rPr>
                <w:t>De</w:t>
              </w:r>
              <w:r w:rsidRPr="009F2C6B">
                <w:rPr>
                  <w:szCs w:val="22"/>
                  <w:u w:val="single"/>
                </w:rPr>
                <w:t>finitie van ‘politiek prominente personen’</w:t>
              </w:r>
            </w:p>
            <w:p w:rsidRPr="00897AAE" w:rsidR="00033ACA" w:rsidP="00897AAE" w:rsidRDefault="007C4C65">
              <w:pPr>
                <w:rPr>
                  <w:szCs w:val="22"/>
                </w:rPr>
              </w:pPr>
            </w:p>
            <w:p w:rsidRPr="00897AAE" w:rsidR="004075B0" w:rsidP="00897AAE" w:rsidRDefault="007C4C65">
              <w:pPr>
                <w:rPr>
                  <w:szCs w:val="22"/>
                </w:rPr>
              </w:pPr>
              <w:r w:rsidRPr="00897AAE">
                <w:rPr>
                  <w:szCs w:val="22"/>
                </w:rPr>
                <w:t>De Wwft BES beschouwt bepaalde typen cliënten per definitie als hoog-risico</w:t>
              </w:r>
              <w:r>
                <w:rPr>
                  <w:szCs w:val="22"/>
                </w:rPr>
                <w:t>categorieën</w:t>
              </w:r>
              <w:r w:rsidRPr="00897AAE">
                <w:rPr>
                  <w:szCs w:val="22"/>
                </w:rPr>
                <w:t xml:space="preserve">. Als een dienstverlener te maken heeft met een cliënt die </w:t>
              </w:r>
              <w:r>
                <w:rPr>
                  <w:szCs w:val="22"/>
                </w:rPr>
                <w:t>moet word</w:t>
              </w:r>
              <w:r>
                <w:rPr>
                  <w:szCs w:val="22"/>
                </w:rPr>
                <w:t>en aangemerkt</w:t>
              </w:r>
              <w:r w:rsidRPr="00897AAE">
                <w:rPr>
                  <w:szCs w:val="22"/>
                </w:rPr>
                <w:t xml:space="preserve"> als ‘politiek prominente persoon’</w:t>
              </w:r>
              <w:r>
                <w:rPr>
                  <w:szCs w:val="22"/>
                </w:rPr>
                <w:t xml:space="preserve"> (hierna: PEP),</w:t>
              </w:r>
              <w:r w:rsidRPr="00897AAE">
                <w:rPr>
                  <w:rStyle w:val="Voetnootmarkering"/>
                  <w:szCs w:val="22"/>
                </w:rPr>
                <w:footnoteReference w:id="5"/>
              </w:r>
              <w:r w:rsidRPr="00897AAE">
                <w:rPr>
                  <w:szCs w:val="22"/>
                </w:rPr>
                <w:t xml:space="preserve"> dan moet hij onderzoek verrichten naar o</w:t>
              </w:r>
              <w:r>
                <w:rPr>
                  <w:szCs w:val="22"/>
                </w:rPr>
                <w:t xml:space="preserve">nder </w:t>
              </w:r>
              <w:r w:rsidRPr="00897AAE">
                <w:rPr>
                  <w:szCs w:val="22"/>
                </w:rPr>
                <w:t>a</w:t>
              </w:r>
              <w:r>
                <w:rPr>
                  <w:szCs w:val="22"/>
                </w:rPr>
                <w:t>ndere</w:t>
              </w:r>
              <w:r w:rsidRPr="00897AAE">
                <w:rPr>
                  <w:szCs w:val="22"/>
                </w:rPr>
                <w:t xml:space="preserve"> de identiteit van de cliënt en de uiteindelijk belanghebbende en naar doel en aard van de zakelijke relatie. </w:t>
              </w:r>
              <w:r>
                <w:rPr>
                  <w:szCs w:val="22"/>
                </w:rPr>
                <w:t xml:space="preserve">Eveneens </w:t>
              </w:r>
              <w:r w:rsidRPr="00897AAE">
                <w:rPr>
                  <w:szCs w:val="22"/>
                </w:rPr>
                <w:t>moet de dienstverlener</w:t>
              </w:r>
              <w:r w:rsidRPr="00897AAE">
                <w:rPr>
                  <w:szCs w:val="22"/>
                </w:rPr>
                <w:t xml:space="preserve"> trachten de bron van het vermogen te achterhalen. Ook nadat een zakelijke relatie is aangegaan met een PEP, moet de dienstverlener periodiek cliëntonderzoek verrichten, waarbij de frequentie afhangt van het risico. Overigens kan iemand die geen PEP is als</w:t>
              </w:r>
              <w:r w:rsidRPr="00897AAE">
                <w:rPr>
                  <w:szCs w:val="22"/>
                </w:rPr>
                <w:t xml:space="preserve">nog aangemerkt worden als </w:t>
              </w:r>
              <w:r>
                <w:rPr>
                  <w:szCs w:val="22"/>
                </w:rPr>
                <w:t xml:space="preserve">een </w:t>
              </w:r>
              <w:r w:rsidRPr="00897AAE">
                <w:rPr>
                  <w:szCs w:val="22"/>
                </w:rPr>
                <w:t>hoog-risico</w:t>
              </w:r>
              <w:r>
                <w:rPr>
                  <w:szCs w:val="22"/>
                </w:rPr>
                <w:t>persoon</w:t>
              </w:r>
              <w:r w:rsidRPr="00897AAE">
                <w:rPr>
                  <w:szCs w:val="22"/>
                </w:rPr>
                <w:t xml:space="preserve"> naar wie onderzoek moet worden verricht.</w:t>
              </w:r>
            </w:p>
            <w:p w:rsidRPr="00897AAE" w:rsidR="004075B0" w:rsidP="00897AAE" w:rsidRDefault="007C4C65">
              <w:pPr>
                <w:rPr>
                  <w:szCs w:val="22"/>
                </w:rPr>
              </w:pPr>
            </w:p>
            <w:p w:rsidRPr="00897AAE" w:rsidR="004075B0" w:rsidP="00897AAE" w:rsidRDefault="007C4C65">
              <w:pPr>
                <w:rPr>
                  <w:szCs w:val="22"/>
                </w:rPr>
              </w:pPr>
              <w:r w:rsidRPr="00897AAE">
                <w:rPr>
                  <w:szCs w:val="22"/>
                </w:rPr>
                <w:t>Het voorstel schrapt de opsomming van functies die aangemerkt worden als PEP.</w:t>
              </w:r>
              <w:r w:rsidRPr="00897AAE">
                <w:rPr>
                  <w:rStyle w:val="Voetnootmarkering"/>
                  <w:szCs w:val="22"/>
                </w:rPr>
                <w:footnoteReference w:id="6"/>
              </w:r>
              <w:r w:rsidRPr="00897AAE">
                <w:rPr>
                  <w:szCs w:val="22"/>
                </w:rPr>
                <w:t xml:space="preserve"> In </w:t>
              </w:r>
              <w:r>
                <w:rPr>
                  <w:szCs w:val="22"/>
                </w:rPr>
                <w:t>plaats</w:t>
              </w:r>
              <w:r w:rsidRPr="00897AAE">
                <w:rPr>
                  <w:szCs w:val="22"/>
                </w:rPr>
                <w:t xml:space="preserve"> daarv</w:t>
              </w:r>
              <w:r>
                <w:rPr>
                  <w:szCs w:val="22"/>
                </w:rPr>
                <w:t>an</w:t>
              </w:r>
              <w:r w:rsidRPr="00897AAE">
                <w:rPr>
                  <w:szCs w:val="22"/>
                </w:rPr>
                <w:t xml:space="preserve"> is een ruimere en tegelijk </w:t>
              </w:r>
              <w:r>
                <w:rPr>
                  <w:szCs w:val="22"/>
                </w:rPr>
                <w:t xml:space="preserve">onduidelijker </w:t>
              </w:r>
              <w:r w:rsidRPr="00897AAE">
                <w:rPr>
                  <w:szCs w:val="22"/>
                </w:rPr>
                <w:t xml:space="preserve">definitie </w:t>
              </w:r>
              <w:r>
                <w:rPr>
                  <w:szCs w:val="22"/>
                </w:rPr>
                <w:t>voor</w:t>
              </w:r>
              <w:r w:rsidRPr="00897AAE">
                <w:rPr>
                  <w:szCs w:val="22"/>
                </w:rPr>
                <w:t>gesteld</w:t>
              </w:r>
              <w:r>
                <w:rPr>
                  <w:szCs w:val="22"/>
                </w:rPr>
                <w:t>.</w:t>
              </w:r>
              <w:r>
                <w:rPr>
                  <w:rStyle w:val="Voetnootmarkering"/>
                  <w:szCs w:val="22"/>
                </w:rPr>
                <w:footnoteReference w:id="7"/>
              </w:r>
              <w:r>
                <w:rPr>
                  <w:szCs w:val="22"/>
                </w:rPr>
                <w:t xml:space="preserve"> </w:t>
              </w:r>
              <w:r w:rsidRPr="00897AAE">
                <w:rPr>
                  <w:szCs w:val="22"/>
                </w:rPr>
                <w:t>Vol</w:t>
              </w:r>
              <w:r w:rsidRPr="00897AAE">
                <w:rPr>
                  <w:szCs w:val="22"/>
                </w:rPr>
                <w:t>gens de toelichting gaat het niet alleen om personen die daadwerkelijk een publieke functie vervullen (of hebben vervuld), maar ook om bijv</w:t>
              </w:r>
              <w:r>
                <w:rPr>
                  <w:szCs w:val="22"/>
                </w:rPr>
                <w:t>oorbeeld</w:t>
              </w:r>
              <w:r w:rsidRPr="00897AAE">
                <w:rPr>
                  <w:szCs w:val="22"/>
                </w:rPr>
                <w:t xml:space="preserve"> ‘sleutelfiguren’ van een politieke partij of van een invloedrijk (overheids)bedrijf. Ook zijn </w:t>
              </w:r>
              <w:r>
                <w:rPr>
                  <w:szCs w:val="22"/>
                </w:rPr>
                <w:t>‘</w:t>
              </w:r>
              <w:r w:rsidRPr="00897AAE">
                <w:rPr>
                  <w:szCs w:val="22"/>
                </w:rPr>
                <w:t>lagere of mid</w:t>
              </w:r>
              <w:r w:rsidRPr="00897AAE">
                <w:rPr>
                  <w:szCs w:val="22"/>
                </w:rPr>
                <w:t>delbare ambtenaren</w:t>
              </w:r>
              <w:r>
                <w:rPr>
                  <w:szCs w:val="22"/>
                </w:rPr>
                <w:t>’</w:t>
              </w:r>
              <w:r w:rsidRPr="00897AAE">
                <w:rPr>
                  <w:szCs w:val="22"/>
                </w:rPr>
                <w:t xml:space="preserve"> niet langer uitgesloten.</w:t>
              </w:r>
            </w:p>
            <w:p w:rsidRPr="00897AAE" w:rsidR="004075B0" w:rsidP="00897AAE" w:rsidRDefault="007C4C65">
              <w:pPr>
                <w:rPr>
                  <w:szCs w:val="22"/>
                </w:rPr>
              </w:pPr>
            </w:p>
            <w:p w:rsidRPr="00897AAE" w:rsidR="004075B0" w:rsidP="00897AAE" w:rsidRDefault="007C4C65">
              <w:pPr>
                <w:rPr>
                  <w:szCs w:val="22"/>
                </w:rPr>
              </w:pPr>
              <w:r w:rsidRPr="00897AAE">
                <w:rPr>
                  <w:szCs w:val="22"/>
                </w:rPr>
                <w:lastRenderedPageBreak/>
                <w:t xml:space="preserve">Dienstverleners dienen zelf vast te stellen of iemand </w:t>
              </w:r>
              <w:r>
                <w:rPr>
                  <w:szCs w:val="22"/>
                </w:rPr>
                <w:t>wordt aangemerkt</w:t>
              </w:r>
              <w:r w:rsidRPr="00897AAE">
                <w:rPr>
                  <w:szCs w:val="22"/>
                </w:rPr>
                <w:t xml:space="preserve"> als een PEP. De vraag is of dat praktisch </w:t>
              </w:r>
              <w:r>
                <w:rPr>
                  <w:szCs w:val="22"/>
                </w:rPr>
                <w:t>werk</w:t>
              </w:r>
              <w:r w:rsidRPr="00897AAE">
                <w:rPr>
                  <w:szCs w:val="22"/>
                </w:rPr>
                <w:t>baar is</w:t>
              </w:r>
              <w:r>
                <w:rPr>
                  <w:szCs w:val="22"/>
                </w:rPr>
                <w:t>,</w:t>
              </w:r>
              <w:r w:rsidRPr="00897AAE">
                <w:rPr>
                  <w:szCs w:val="22"/>
                </w:rPr>
                <w:t xml:space="preserve"> gegeven de </w:t>
              </w:r>
              <w:r>
                <w:rPr>
                  <w:szCs w:val="22"/>
                </w:rPr>
                <w:t>onduidelijk</w:t>
              </w:r>
              <w:r w:rsidRPr="00897AAE">
                <w:rPr>
                  <w:szCs w:val="22"/>
                </w:rPr>
                <w:t xml:space="preserve">heid van de </w:t>
              </w:r>
              <w:r w:rsidRPr="00897AAE">
                <w:rPr>
                  <w:szCs w:val="22"/>
                </w:rPr>
                <w:t xml:space="preserve">omschrijving. De wet biedt in het voorstel in ieder geval veel minder houvast </w:t>
              </w:r>
              <w:r>
                <w:rPr>
                  <w:szCs w:val="22"/>
                </w:rPr>
                <w:t xml:space="preserve">dan voorheen, </w:t>
              </w:r>
              <w:r w:rsidRPr="00897AAE">
                <w:rPr>
                  <w:szCs w:val="22"/>
                </w:rPr>
                <w:t xml:space="preserve">met als risico dat dienstverleners hier verschillend mee omgaan. </w:t>
              </w:r>
            </w:p>
            <w:p w:rsidRPr="00897AAE" w:rsidR="004075B0" w:rsidP="00897AAE" w:rsidRDefault="007C4C65">
              <w:pPr>
                <w:rPr>
                  <w:szCs w:val="22"/>
                </w:rPr>
              </w:pPr>
            </w:p>
            <w:p w:rsidRPr="00897AAE" w:rsidR="004075B0" w:rsidP="00897AAE" w:rsidRDefault="007C4C65">
              <w:pPr>
                <w:rPr>
                  <w:szCs w:val="22"/>
                </w:rPr>
              </w:pPr>
              <w:r w:rsidRPr="00897AAE">
                <w:rPr>
                  <w:szCs w:val="22"/>
                </w:rPr>
                <w:t xml:space="preserve">De Afdeling adviseert </w:t>
              </w:r>
              <w:r>
                <w:rPr>
                  <w:szCs w:val="22"/>
                </w:rPr>
                <w:t>de omschrijving van het begrip PEP te verduidelijken</w:t>
              </w:r>
              <w:r w:rsidRPr="00897AAE">
                <w:rPr>
                  <w:szCs w:val="22"/>
                </w:rPr>
                <w:t>.</w:t>
              </w:r>
            </w:p>
            <w:p w:rsidRPr="00897AAE" w:rsidR="004075B0" w:rsidP="00897AAE" w:rsidRDefault="007C4C65">
              <w:pPr>
                <w:rPr>
                  <w:szCs w:val="22"/>
                </w:rPr>
              </w:pPr>
            </w:p>
            <w:p w:rsidRPr="009F2C6B" w:rsidR="004075B0" w:rsidP="009F2C6B" w:rsidRDefault="007C4C65">
              <w:pPr>
                <w:keepNext/>
                <w:ind w:left="705" w:hanging="705"/>
                <w:rPr>
                  <w:szCs w:val="22"/>
                  <w:u w:val="single"/>
                </w:rPr>
              </w:pPr>
              <w:r w:rsidRPr="009F2C6B">
                <w:rPr>
                  <w:szCs w:val="22"/>
                </w:rPr>
                <w:t>4.</w:t>
              </w:r>
              <w:r w:rsidRPr="009F2C6B">
                <w:rPr>
                  <w:szCs w:val="22"/>
                </w:rPr>
                <w:tab/>
              </w:r>
              <w:r w:rsidRPr="009F2C6B">
                <w:rPr>
                  <w:szCs w:val="22"/>
                  <w:u w:val="single"/>
                </w:rPr>
                <w:t>Delen van persoon</w:t>
              </w:r>
              <w:r w:rsidRPr="009F2C6B">
                <w:rPr>
                  <w:szCs w:val="22"/>
                  <w:u w:val="single"/>
                </w:rPr>
                <w:t>sgegevens met toezichtautoriteiten en opsporingsdiensten</w:t>
              </w:r>
            </w:p>
            <w:p w:rsidRPr="00897AAE" w:rsidR="00033ACA" w:rsidP="00897AAE" w:rsidRDefault="007C4C65">
              <w:pPr>
                <w:rPr>
                  <w:szCs w:val="22"/>
                </w:rPr>
              </w:pPr>
            </w:p>
            <w:p w:rsidRPr="00897AAE" w:rsidR="004075B0" w:rsidP="00897AAE" w:rsidRDefault="007C4C65">
              <w:pPr>
                <w:rPr>
                  <w:szCs w:val="22"/>
                </w:rPr>
              </w:pPr>
              <w:r>
                <w:rPr>
                  <w:szCs w:val="22"/>
                </w:rPr>
                <w:t>Met het oog op de noodzakelijke bestrijding van witwassen in Caribisch Nederland, worden d</w:t>
              </w:r>
              <w:r w:rsidRPr="00897AAE">
                <w:rPr>
                  <w:szCs w:val="22"/>
                </w:rPr>
                <w:t>e toezichtautoriteiten</w:t>
              </w:r>
              <w:r>
                <w:rPr>
                  <w:rStyle w:val="Voetnootmarkering"/>
                  <w:szCs w:val="22"/>
                </w:rPr>
                <w:footnoteReference w:id="8"/>
              </w:r>
              <w:r w:rsidRPr="00897AAE">
                <w:rPr>
                  <w:szCs w:val="22"/>
                </w:rPr>
                <w:t xml:space="preserve"> in het voorstel bevoegd informatie, waaronder persoonsgegevens, die ingevolge deze w</w:t>
              </w:r>
              <w:r w:rsidRPr="00897AAE">
                <w:rPr>
                  <w:szCs w:val="22"/>
                </w:rPr>
                <w:t>et is verstrekt of ontvangen, te verstrekken aan</w:t>
              </w:r>
              <w:r>
                <w:rPr>
                  <w:szCs w:val="22"/>
                </w:rPr>
                <w:t xml:space="preserve"> een reeks andere instanties</w:t>
              </w:r>
              <w:r>
                <w:rPr>
                  <w:rStyle w:val="Voetnootmarkering"/>
                  <w:szCs w:val="22"/>
                </w:rPr>
                <w:footnoteReference w:id="9"/>
              </w:r>
              <w:r>
                <w:rPr>
                  <w:szCs w:val="22"/>
                </w:rPr>
                <w:t xml:space="preserve"> </w:t>
              </w:r>
              <w:r w:rsidRPr="00897AAE">
                <w:rPr>
                  <w:szCs w:val="22"/>
                </w:rPr>
                <w:t>voor zover de gegevens of inlichtingen dienstig zijn voor de uitoefening van hun wettelijke taken.</w:t>
              </w:r>
            </w:p>
            <w:p w:rsidRPr="00897AAE" w:rsidR="004075B0" w:rsidP="00897AAE" w:rsidRDefault="007C4C65">
              <w:pPr>
                <w:rPr>
                  <w:szCs w:val="22"/>
                </w:rPr>
              </w:pPr>
            </w:p>
            <w:p w:rsidRPr="00897AAE" w:rsidR="004075B0" w:rsidP="00897AAE" w:rsidRDefault="007C4C65">
              <w:pPr>
                <w:rPr>
                  <w:szCs w:val="22"/>
                </w:rPr>
              </w:pPr>
              <w:r w:rsidRPr="00897AAE">
                <w:rPr>
                  <w:szCs w:val="22"/>
                </w:rPr>
                <w:t xml:space="preserve">Het </w:t>
              </w:r>
              <w:r>
                <w:rPr>
                  <w:szCs w:val="22"/>
                </w:rPr>
                <w:t>wets</w:t>
              </w:r>
              <w:r w:rsidRPr="00897AAE">
                <w:rPr>
                  <w:szCs w:val="22"/>
                </w:rPr>
                <w:t>voorstel voorziet zo in een uitbreiding van de mogelijkheden om (perso</w:t>
              </w:r>
              <w:r w:rsidRPr="00897AAE">
                <w:rPr>
                  <w:szCs w:val="22"/>
                </w:rPr>
                <w:t>ons)gegevens te delen tussen toezichthouders en opsporingsdiensten. Dit is gedaan in reactie op ‘knelpunten uit de praktijk’.</w:t>
              </w:r>
              <w:r w:rsidRPr="00897AAE">
                <w:rPr>
                  <w:rStyle w:val="Voetnootmarkering"/>
                  <w:szCs w:val="22"/>
                </w:rPr>
                <w:footnoteReference w:id="10"/>
              </w:r>
              <w:r w:rsidRPr="00897AAE">
                <w:rPr>
                  <w:szCs w:val="22"/>
                </w:rPr>
                <w:t xml:space="preserve"> De privacy-autoriteit Cbp BES </w:t>
              </w:r>
              <w:r>
                <w:rPr>
                  <w:szCs w:val="22"/>
                </w:rPr>
                <w:t>merkt</w:t>
              </w:r>
              <w:r w:rsidRPr="00897AAE">
                <w:rPr>
                  <w:szCs w:val="22"/>
                </w:rPr>
                <w:t xml:space="preserve"> in reactie op dit wetsvoorstel </w:t>
              </w:r>
              <w:r>
                <w:rPr>
                  <w:szCs w:val="22"/>
                </w:rPr>
                <w:t xml:space="preserve">op </w:t>
              </w:r>
              <w:r w:rsidRPr="00897AAE">
                <w:rPr>
                  <w:szCs w:val="22"/>
                </w:rPr>
                <w:t>dat de noodzaak van deze uitbreiding van gegevensdeling</w:t>
              </w:r>
              <w:r>
                <w:rPr>
                  <w:szCs w:val="22"/>
                </w:rPr>
                <w:t>, me</w:t>
              </w:r>
              <w:r>
                <w:rPr>
                  <w:szCs w:val="22"/>
                </w:rPr>
                <w:t>de met het oog op artikel 8 EVRM,</w:t>
              </w:r>
              <w:r>
                <w:rPr>
                  <w:rStyle w:val="Voetnootmarkering"/>
                  <w:szCs w:val="22"/>
                </w:rPr>
                <w:footnoteReference w:id="11"/>
              </w:r>
              <w:r w:rsidRPr="00897AAE">
                <w:rPr>
                  <w:szCs w:val="22"/>
                </w:rPr>
                <w:t xml:space="preserve"> onvoldoende is aangetoond. De Afdeling merkt hierover het volgende op.</w:t>
              </w:r>
            </w:p>
            <w:p w:rsidRPr="00897AAE" w:rsidR="00D16AD5" w:rsidP="00897AAE" w:rsidRDefault="007C4C65">
              <w:pPr>
                <w:rPr>
                  <w:szCs w:val="22"/>
                </w:rPr>
              </w:pPr>
            </w:p>
            <w:p w:rsidRPr="00897AAE" w:rsidR="00CA6504" w:rsidP="00897AAE" w:rsidRDefault="007C4C65">
              <w:pPr>
                <w:rPr>
                  <w:szCs w:val="22"/>
                </w:rPr>
              </w:pPr>
              <w:r w:rsidRPr="00897AAE">
                <w:rPr>
                  <w:szCs w:val="22"/>
                </w:rPr>
                <w:t>a.</w:t>
              </w:r>
              <w:r w:rsidRPr="00897AAE">
                <w:rPr>
                  <w:szCs w:val="22"/>
                </w:rPr>
                <w:tab/>
              </w:r>
              <w:r w:rsidRPr="00897AAE">
                <w:rPr>
                  <w:i/>
                  <w:szCs w:val="22"/>
                </w:rPr>
                <w:t xml:space="preserve">Aard en omvang knelpunten </w:t>
              </w:r>
            </w:p>
            <w:p w:rsidRPr="00897AAE" w:rsidR="004075B0" w:rsidP="00897AAE" w:rsidRDefault="007C4C65">
              <w:pPr>
                <w:rPr>
                  <w:szCs w:val="22"/>
                </w:rPr>
              </w:pPr>
              <w:r w:rsidRPr="00897AAE">
                <w:rPr>
                  <w:szCs w:val="22"/>
                </w:rPr>
                <w:t xml:space="preserve">Ten eerste gaat de toelichting niet in op de precieze aard en omvang van de knelpunten die zich in de praktijk voordoen. De </w:t>
              </w:r>
              <w:r>
                <w:rPr>
                  <w:szCs w:val="22"/>
                </w:rPr>
                <w:t>vraag is daarom</w:t>
              </w:r>
              <w:r w:rsidRPr="00897AAE">
                <w:rPr>
                  <w:szCs w:val="22"/>
                </w:rPr>
                <w:t xml:space="preserve"> of de voorgestelde uitbreiding van de gegevensdeling noodzakelijk en proportioneel is. Voor het antwoord op deze vra</w:t>
              </w:r>
              <w:r w:rsidRPr="00897AAE">
                <w:rPr>
                  <w:szCs w:val="22"/>
                </w:rPr>
                <w:t>ag is het van belang om duidelijkheid te geven over de aard en omvang van de knelpunten die deze uitbreiding kennelijk noodzakelijk maken.</w:t>
              </w:r>
            </w:p>
            <w:p w:rsidRPr="00897AAE" w:rsidR="00D16AD5" w:rsidP="00897AAE" w:rsidRDefault="007C4C65">
              <w:pPr>
                <w:rPr>
                  <w:szCs w:val="22"/>
                </w:rPr>
              </w:pPr>
            </w:p>
            <w:p w:rsidRPr="00897AAE" w:rsidR="00D16AD5" w:rsidP="00897AAE" w:rsidRDefault="007C4C65">
              <w:pPr>
                <w:rPr>
                  <w:szCs w:val="22"/>
                </w:rPr>
              </w:pPr>
              <w:r w:rsidRPr="00897AAE">
                <w:rPr>
                  <w:szCs w:val="22"/>
                </w:rPr>
                <w:t>De Afdeling adviseert de toelichting aan te vullen ten aanzien van de vraag of de verruimde mogelijkheden noodzakeli</w:t>
              </w:r>
              <w:r w:rsidRPr="00897AAE">
                <w:rPr>
                  <w:szCs w:val="22"/>
                </w:rPr>
                <w:t>jk en proportioneel zijn</w:t>
              </w:r>
              <w:r>
                <w:rPr>
                  <w:szCs w:val="22"/>
                </w:rPr>
                <w:t>.</w:t>
              </w:r>
              <w:r w:rsidRPr="00897AAE">
                <w:rPr>
                  <w:szCs w:val="22"/>
                </w:rPr>
                <w:t xml:space="preserve"> </w:t>
              </w:r>
              <w:r>
                <w:rPr>
                  <w:szCs w:val="22"/>
                </w:rPr>
                <w:t>D</w:t>
              </w:r>
              <w:r w:rsidRPr="00897AAE">
                <w:rPr>
                  <w:szCs w:val="22"/>
                </w:rPr>
                <w:t xml:space="preserve">aarbij </w:t>
              </w:r>
              <w:r>
                <w:rPr>
                  <w:szCs w:val="22"/>
                </w:rPr>
                <w:t xml:space="preserve">dient </w:t>
              </w:r>
              <w:r w:rsidRPr="00897AAE">
                <w:rPr>
                  <w:szCs w:val="22"/>
                </w:rPr>
                <w:t xml:space="preserve">specifiek te </w:t>
              </w:r>
              <w:r>
                <w:rPr>
                  <w:szCs w:val="22"/>
                </w:rPr>
                <w:t>worden inge</w:t>
              </w:r>
              <w:r w:rsidRPr="00897AAE">
                <w:rPr>
                  <w:szCs w:val="22"/>
                </w:rPr>
                <w:t>gaan op aard en omvang van de knelpunten in de praktijk.</w:t>
              </w:r>
            </w:p>
            <w:p w:rsidRPr="00897AAE" w:rsidR="00D16AD5" w:rsidP="00897AAE" w:rsidRDefault="007C4C65">
              <w:pPr>
                <w:rPr>
                  <w:szCs w:val="22"/>
                </w:rPr>
              </w:pPr>
            </w:p>
            <w:p w:rsidRPr="00897AAE" w:rsidR="00CA6504" w:rsidP="00897AAE" w:rsidRDefault="007C4C65">
              <w:pPr>
                <w:rPr>
                  <w:szCs w:val="22"/>
                </w:rPr>
              </w:pPr>
              <w:r w:rsidRPr="00897AAE">
                <w:rPr>
                  <w:szCs w:val="22"/>
                </w:rPr>
                <w:t>b.</w:t>
              </w:r>
              <w:r w:rsidRPr="00897AAE">
                <w:rPr>
                  <w:szCs w:val="22"/>
                </w:rPr>
                <w:tab/>
              </w:r>
              <w:r w:rsidRPr="00897AAE">
                <w:rPr>
                  <w:i/>
                  <w:szCs w:val="22"/>
                </w:rPr>
                <w:t>Doelbepaling</w:t>
              </w:r>
            </w:p>
            <w:p w:rsidR="00B30301" w:rsidP="00897AAE" w:rsidRDefault="007C4C65">
              <w:pPr>
                <w:rPr>
                  <w:szCs w:val="22"/>
                </w:rPr>
              </w:pPr>
              <w:r w:rsidRPr="00897AAE">
                <w:rPr>
                  <w:szCs w:val="22"/>
                </w:rPr>
                <w:t xml:space="preserve">Ten tweede mogen gegevens en inlichtingen worden gedeeld met de genoemde instanties </w:t>
              </w:r>
              <w:r>
                <w:rPr>
                  <w:szCs w:val="22"/>
                </w:rPr>
                <w:t>“</w:t>
              </w:r>
              <w:r w:rsidRPr="00897AAE">
                <w:rPr>
                  <w:szCs w:val="22"/>
                </w:rPr>
                <w:t>voor zover [deze] dienstig zijn voor de uitoefening van hun wettelijke taken</w:t>
              </w:r>
              <w:r>
                <w:rPr>
                  <w:szCs w:val="22"/>
                </w:rPr>
                <w:t>”</w:t>
              </w:r>
              <w:r w:rsidRPr="00897AAE">
                <w:rPr>
                  <w:szCs w:val="22"/>
                </w:rPr>
                <w:t>. Dit betekent dat informatie verkregen op grond van de Wwft BES mag worden verstrekt aan inst</w:t>
              </w:r>
              <w:r w:rsidRPr="00897AAE">
                <w:rPr>
                  <w:szCs w:val="22"/>
                </w:rPr>
                <w:t xml:space="preserve">anties die deze informatie kunnen gebruiken voor </w:t>
              </w:r>
              <w:r>
                <w:rPr>
                  <w:szCs w:val="22"/>
                </w:rPr>
                <w:t>andere doeleinden dan waarvoor de gegevens oorspronkelijk zijn verzameld</w:t>
              </w:r>
              <w:r w:rsidRPr="00897AAE">
                <w:rPr>
                  <w:szCs w:val="22"/>
                </w:rPr>
                <w:t xml:space="preserve">. </w:t>
              </w:r>
              <w:r>
                <w:rPr>
                  <w:szCs w:val="22"/>
                </w:rPr>
                <w:t xml:space="preserve">In de </w:t>
              </w:r>
              <w:r>
                <w:rPr>
                  <w:szCs w:val="22"/>
                </w:rPr>
                <w:lastRenderedPageBreak/>
                <w:t xml:space="preserve">toelichting wordt niet uiteengezet hoe dit zich verhoudt tot het principe van doelbinding zoals vastgelegd in de </w:t>
              </w:r>
              <w:r w:rsidRPr="000409FB">
                <w:rPr>
                  <w:szCs w:val="22"/>
                </w:rPr>
                <w:t>Algemene veror</w:t>
              </w:r>
              <w:r w:rsidRPr="000409FB">
                <w:rPr>
                  <w:szCs w:val="22"/>
                </w:rPr>
                <w:t>dening gegevensbescherming</w:t>
              </w:r>
              <w:r w:rsidRPr="00897AAE">
                <w:rPr>
                  <w:szCs w:val="22"/>
                </w:rPr>
                <w:t>.</w:t>
              </w:r>
              <w:r>
                <w:rPr>
                  <w:rStyle w:val="Voetnootmarkering"/>
                  <w:szCs w:val="22"/>
                </w:rPr>
                <w:footnoteReference w:id="12"/>
              </w:r>
              <w:r>
                <w:rPr>
                  <w:szCs w:val="22"/>
                </w:rPr>
                <w:t xml:space="preserve"> Met het oog daarop zou in de wet gepreciseerd moeten worden</w:t>
              </w:r>
              <w:r w:rsidRPr="00897AAE">
                <w:rPr>
                  <w:szCs w:val="22"/>
                </w:rPr>
                <w:t xml:space="preserve"> voor welke wettelijke doelen toezichthoudende instanties en opsporingsdiensten ontvangen gegevens kunnen gebruiken.</w:t>
              </w:r>
            </w:p>
            <w:p w:rsidR="00B30301" w:rsidP="00897AAE" w:rsidRDefault="007C4C65">
              <w:pPr>
                <w:rPr>
                  <w:szCs w:val="22"/>
                </w:rPr>
              </w:pPr>
            </w:p>
            <w:p w:rsidRPr="00897AAE" w:rsidR="00BC4299" w:rsidP="00897AAE" w:rsidRDefault="007C4C65">
              <w:pPr>
                <w:rPr>
                  <w:szCs w:val="22"/>
                </w:rPr>
              </w:pPr>
              <w:r w:rsidRPr="00897AAE">
                <w:rPr>
                  <w:szCs w:val="22"/>
                </w:rPr>
                <w:t xml:space="preserve">De Afdeling adviseert </w:t>
              </w:r>
              <w:r>
                <w:rPr>
                  <w:szCs w:val="22"/>
                </w:rPr>
                <w:t>het wetsvoorstel op dit punt</w:t>
              </w:r>
              <w:r>
                <w:rPr>
                  <w:szCs w:val="22"/>
                </w:rPr>
                <w:t xml:space="preserve"> aan te passen.</w:t>
              </w:r>
            </w:p>
            <w:p w:rsidRPr="00897AAE" w:rsidR="00BC4299" w:rsidP="00897AAE" w:rsidRDefault="007C4C65">
              <w:pPr>
                <w:rPr>
                  <w:szCs w:val="22"/>
                </w:rPr>
              </w:pPr>
            </w:p>
            <w:p w:rsidR="00D103F2" w:rsidRDefault="007C4C65">
              <w:pPr>
                <w:rPr>
                  <w:szCs w:val="22"/>
                  <w:u w:val="single"/>
                </w:rPr>
              </w:pPr>
              <w:r w:rsidRPr="009F2C6B">
                <w:rPr>
                  <w:szCs w:val="22"/>
                </w:rPr>
                <w:t>5.</w:t>
              </w:r>
              <w:r w:rsidRPr="009F2C6B">
                <w:rPr>
                  <w:szCs w:val="22"/>
                </w:rPr>
                <w:tab/>
              </w:r>
              <w:r w:rsidRPr="009F2C6B">
                <w:rPr>
                  <w:szCs w:val="22"/>
                  <w:u w:val="single"/>
                </w:rPr>
                <w:t>Praktijk</w:t>
              </w:r>
            </w:p>
            <w:p w:rsidRPr="00897AAE" w:rsidR="00033ACA" w:rsidP="00897AAE" w:rsidRDefault="007C4C65">
              <w:pPr>
                <w:rPr>
                  <w:szCs w:val="22"/>
                </w:rPr>
              </w:pPr>
            </w:p>
            <w:p w:rsidRPr="00897AAE" w:rsidR="00036D46" w:rsidP="00897AAE" w:rsidRDefault="007C4C65">
              <w:pPr>
                <w:rPr>
                  <w:szCs w:val="22"/>
                </w:rPr>
              </w:pPr>
              <w:r w:rsidRPr="00897AAE">
                <w:rPr>
                  <w:szCs w:val="22"/>
                </w:rPr>
                <w:t xml:space="preserve">De huidige wijzigingen zijn vooral gericht op compliance aan de internationale afspraken, mede in het licht van een FAFT-evaluatie die Nederland zal ondergaan in 2021. </w:t>
              </w:r>
              <w:r>
                <w:rPr>
                  <w:szCs w:val="22"/>
                </w:rPr>
                <w:t>Gezien het belang van de bestrijding van witwassen, is h</w:t>
              </w:r>
              <w:r w:rsidRPr="00897AAE">
                <w:rPr>
                  <w:szCs w:val="22"/>
                </w:rPr>
                <w:t>et</w:t>
              </w:r>
              <w:r>
                <w:rPr>
                  <w:szCs w:val="22"/>
                </w:rPr>
                <w:t xml:space="preserve"> essentieel</w:t>
              </w:r>
              <w:r w:rsidRPr="00897AAE">
                <w:rPr>
                  <w:szCs w:val="22"/>
                </w:rPr>
                <w:t xml:space="preserve"> dat het stelsel (inclusief de in dit wetsvoorstel voorgestelde uitbreidingen) in de praktijk van </w:t>
              </w:r>
              <w:r>
                <w:rPr>
                  <w:szCs w:val="22"/>
                </w:rPr>
                <w:t>Caribisch Nederland</w:t>
              </w:r>
              <w:r w:rsidRPr="00897AAE">
                <w:rPr>
                  <w:szCs w:val="22"/>
                </w:rPr>
                <w:t xml:space="preserve"> </w:t>
              </w:r>
              <w:r>
                <w:rPr>
                  <w:szCs w:val="22"/>
                </w:rPr>
                <w:t xml:space="preserve">in de praktijk </w:t>
              </w:r>
              <w:r w:rsidRPr="00897AAE">
                <w:rPr>
                  <w:szCs w:val="22"/>
                </w:rPr>
                <w:t>effectief is.</w:t>
              </w:r>
            </w:p>
            <w:p w:rsidRPr="00897AAE" w:rsidR="00036D46" w:rsidP="00897AAE" w:rsidRDefault="007C4C65">
              <w:pPr>
                <w:rPr>
                  <w:szCs w:val="22"/>
                </w:rPr>
              </w:pPr>
            </w:p>
            <w:p w:rsidRPr="0020209B" w:rsidR="00313E9B" w:rsidP="00897AAE" w:rsidRDefault="007C4C65">
              <w:pPr>
                <w:rPr>
                  <w:szCs w:val="22"/>
                </w:rPr>
              </w:pPr>
              <w:r>
                <w:rPr>
                  <w:szCs w:val="22"/>
                </w:rPr>
                <w:t>D</w:t>
              </w:r>
              <w:r w:rsidRPr="00897AAE">
                <w:rPr>
                  <w:szCs w:val="22"/>
                </w:rPr>
                <w:t xml:space="preserve">e Afdeling </w:t>
              </w:r>
              <w:r>
                <w:rPr>
                  <w:szCs w:val="22"/>
                </w:rPr>
                <w:t xml:space="preserve">vraagt daarom </w:t>
              </w:r>
              <w:r w:rsidRPr="00897AAE">
                <w:rPr>
                  <w:szCs w:val="22"/>
                </w:rPr>
                <w:t xml:space="preserve">aandacht voor </w:t>
              </w:r>
              <w:r>
                <w:rPr>
                  <w:szCs w:val="22"/>
                </w:rPr>
                <w:t xml:space="preserve">het gegeven dat steeds minder </w:t>
              </w:r>
              <w:r w:rsidRPr="00897AAE">
                <w:rPr>
                  <w:szCs w:val="22"/>
                </w:rPr>
                <w:t xml:space="preserve">financiële instellingen </w:t>
              </w:r>
              <w:r>
                <w:rPr>
                  <w:szCs w:val="22"/>
                </w:rPr>
                <w:t>act</w:t>
              </w:r>
              <w:r>
                <w:rPr>
                  <w:szCs w:val="22"/>
                </w:rPr>
                <w:t>ief zijn in</w:t>
              </w:r>
              <w:r w:rsidRPr="00897AAE">
                <w:rPr>
                  <w:szCs w:val="22"/>
                </w:rPr>
                <w:t xml:space="preserve"> het Cari</w:t>
              </w:r>
              <w:r>
                <w:rPr>
                  <w:szCs w:val="22"/>
                </w:rPr>
                <w:t>b</w:t>
              </w:r>
              <w:r w:rsidRPr="00897AAE">
                <w:rPr>
                  <w:szCs w:val="22"/>
                </w:rPr>
                <w:t xml:space="preserve">isch gebied </w:t>
              </w:r>
              <w:r>
                <w:rPr>
                  <w:szCs w:val="22"/>
                </w:rPr>
                <w:t xml:space="preserve">in het kader </w:t>
              </w:r>
              <w:r w:rsidRPr="0020209B">
                <w:rPr>
                  <w:szCs w:val="22"/>
                </w:rPr>
                <w:t>van hun de-risking-beleid.</w:t>
              </w:r>
              <w:r w:rsidRPr="0020209B">
                <w:rPr>
                  <w:rStyle w:val="Voetnootmarkering"/>
                  <w:szCs w:val="22"/>
                </w:rPr>
                <w:footnoteReference w:id="13"/>
              </w:r>
              <w:r w:rsidRPr="0020209B">
                <w:rPr>
                  <w:szCs w:val="22"/>
                </w:rPr>
                <w:t xml:space="preserve"> Hoe minder financiële instellingen, hoe meer sprake zou kunnen zijn van een verschuiving naar een minder transparante ‘cash based’ economie, met meer risico op witwassen.</w:t>
              </w:r>
              <w:r w:rsidRPr="0020209B">
                <w:rPr>
                  <w:rStyle w:val="Voetnootmarkering"/>
                  <w:szCs w:val="22"/>
                </w:rPr>
                <w:footnoteReference w:id="14"/>
              </w:r>
              <w:r w:rsidRPr="0020209B">
                <w:rPr>
                  <w:szCs w:val="22"/>
                </w:rPr>
                <w:t xml:space="preserve"> </w:t>
              </w:r>
              <w:r w:rsidRPr="0020209B">
                <w:t>De verdere aanscherping van de regelgeving zou in de praktijk van Caribisch Nederla</w:t>
              </w:r>
              <w:r w:rsidRPr="0020209B">
                <w:t>nd deze ontwikkeling wellicht verder kunnen versterken.</w:t>
              </w:r>
            </w:p>
            <w:p w:rsidR="00710815" w:rsidP="00897AAE" w:rsidRDefault="007C4C65">
              <w:pPr>
                <w:rPr>
                  <w:szCs w:val="22"/>
                </w:rPr>
              </w:pPr>
            </w:p>
            <w:p w:rsidRPr="00897AAE" w:rsidR="00036D46" w:rsidP="00897AAE" w:rsidRDefault="007C4C65">
              <w:pPr>
                <w:rPr>
                  <w:szCs w:val="22"/>
                </w:rPr>
              </w:pPr>
              <w:r w:rsidRPr="00897AAE">
                <w:rPr>
                  <w:szCs w:val="22"/>
                </w:rPr>
                <w:t xml:space="preserve">Een ander praktisch aandachtspunt is dat </w:t>
              </w:r>
              <w:r>
                <w:rPr>
                  <w:szCs w:val="22"/>
                </w:rPr>
                <w:t xml:space="preserve">noch </w:t>
              </w:r>
              <w:r w:rsidRPr="00897AAE">
                <w:rPr>
                  <w:szCs w:val="22"/>
                </w:rPr>
                <w:t xml:space="preserve">de toezichthouders en het meldpunt, noch bepaalde dienstverleners in Caribisch Nederland zijn gevestigd. Zo zijn in Saba en St. Eustatius geen advocaten </w:t>
              </w:r>
              <w:r w:rsidRPr="00897AAE">
                <w:rPr>
                  <w:szCs w:val="22"/>
                </w:rPr>
                <w:t xml:space="preserve">of notarissen gevestigd. </w:t>
              </w:r>
              <w:r>
                <w:rPr>
                  <w:szCs w:val="22"/>
                </w:rPr>
                <w:t xml:space="preserve">Notarissen werken </w:t>
              </w:r>
              <w:r w:rsidRPr="00897AAE">
                <w:rPr>
                  <w:szCs w:val="22"/>
                </w:rPr>
                <w:t>doorgaans vanuit S</w:t>
              </w:r>
              <w:r>
                <w:rPr>
                  <w:szCs w:val="22"/>
                </w:rPr>
                <w:t>in</w:t>
              </w:r>
              <w:r w:rsidRPr="00897AAE">
                <w:rPr>
                  <w:szCs w:val="22"/>
                </w:rPr>
                <w:t xml:space="preserve">t Maarten en passeren </w:t>
              </w:r>
              <w:r>
                <w:rPr>
                  <w:szCs w:val="22"/>
                </w:rPr>
                <w:t>leverings</w:t>
              </w:r>
              <w:r w:rsidRPr="00897AAE">
                <w:rPr>
                  <w:szCs w:val="22"/>
                </w:rPr>
                <w:t xml:space="preserve">aktes van onroerend goed </w:t>
              </w:r>
              <w:r>
                <w:rPr>
                  <w:szCs w:val="22"/>
                </w:rPr>
                <w:t>gelegen</w:t>
              </w:r>
              <w:r w:rsidRPr="00897AAE">
                <w:rPr>
                  <w:szCs w:val="22"/>
                </w:rPr>
                <w:t xml:space="preserve"> op Saba en S</w:t>
              </w:r>
              <w:r>
                <w:rPr>
                  <w:szCs w:val="22"/>
                </w:rPr>
                <w:t>in</w:t>
              </w:r>
              <w:r w:rsidRPr="00897AAE">
                <w:rPr>
                  <w:szCs w:val="22"/>
                </w:rPr>
                <w:t>t Eustatius soms op deze eilanden zelf, en soms op S</w:t>
              </w:r>
              <w:r>
                <w:rPr>
                  <w:szCs w:val="22"/>
                </w:rPr>
                <w:t>in</w:t>
              </w:r>
              <w:r w:rsidRPr="00897AAE">
                <w:rPr>
                  <w:szCs w:val="22"/>
                </w:rPr>
                <w:t>t Maarten. De vraag is dan welk regime geldt.</w:t>
              </w:r>
            </w:p>
            <w:p w:rsidRPr="00897AAE" w:rsidR="00036D46" w:rsidP="00897AAE" w:rsidRDefault="007C4C65">
              <w:pPr>
                <w:rPr>
                  <w:szCs w:val="22"/>
                </w:rPr>
              </w:pPr>
            </w:p>
            <w:p w:rsidR="0020209B" w:rsidRDefault="007C4C65">
              <w:pPr>
                <w:rPr>
                  <w:szCs w:val="22"/>
                </w:rPr>
              </w:pPr>
              <w:r w:rsidRPr="00897AAE">
                <w:rPr>
                  <w:szCs w:val="22"/>
                </w:rPr>
                <w:t>De Afdeling ad</w:t>
              </w:r>
              <w:r w:rsidRPr="00897AAE">
                <w:rPr>
                  <w:szCs w:val="22"/>
                </w:rPr>
                <w:t xml:space="preserve">viseert in de toelichting </w:t>
              </w:r>
              <w:r>
                <w:rPr>
                  <w:szCs w:val="22"/>
                </w:rPr>
                <w:t xml:space="preserve">op het voorgaande </w:t>
              </w:r>
              <w:r w:rsidRPr="00897AAE">
                <w:rPr>
                  <w:szCs w:val="22"/>
                </w:rPr>
                <w:t>in te gaan</w:t>
              </w:r>
              <w:r w:rsidRPr="00D56625">
                <w:rPr>
                  <w:szCs w:val="22"/>
                </w:rPr>
                <w:t>.</w:t>
              </w:r>
              <w:r>
                <w:rPr>
                  <w:szCs w:val="22"/>
                </w:rPr>
                <w:br w:type="page"/>
              </w:r>
            </w:p>
            <w:p w:rsidRPr="00897AAE" w:rsidR="0031089B" w:rsidP="00897AAE" w:rsidRDefault="007C4C65">
              <w:pPr>
                <w:rPr>
                  <w:szCs w:val="22"/>
                </w:rPr>
              </w:pP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7C4C65">
              <w:r>
                <w:t>6.</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EB0B7C" w:rsidRDefault="007C4C65">
              <w:r>
                <w:t>De Afdeling advisering van de Raad van State heeft een aantal opmerkingen bij het voorstel en adviseert daarmee r</w:t>
              </w:r>
              <w:r>
                <w:t xml:space="preserve">ekening te houden voordat het voorstel bij de Tweede Kamer der Staten-Generaal wordt ingediend. </w:t>
              </w:r>
              <w:r>
                <w:br/>
              </w:r>
              <w:r>
                <w:br/>
              </w:r>
              <w:r>
                <w:br/>
                <w:t xml:space="preserve">De waarnemend vice-president van de Raad van State, </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W06.19.0406</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E70C71" w:rsidP="00BB2887" w:rsidRDefault="007C4C65">
              <w:pPr>
                <w:numPr>
                  <w:ilvl w:val="0"/>
                  <w:numId w:val="1"/>
                </w:numPr>
              </w:pPr>
              <w:r w:rsidRPr="00A4481A">
                <w:t xml:space="preserve">De </w:t>
              </w:r>
              <w:r>
                <w:t>m</w:t>
              </w:r>
              <w:r w:rsidRPr="00A4481A">
                <w:t xml:space="preserve">emorie van </w:t>
              </w:r>
              <w:r>
                <w:t>t</w:t>
              </w:r>
              <w:r w:rsidRPr="00A4481A">
                <w:t xml:space="preserve">oelichting </w:t>
              </w:r>
              <w:r>
                <w:t xml:space="preserve">aanvullen met een overzicht van </w:t>
              </w:r>
              <w:r w:rsidRPr="00A4481A">
                <w:t xml:space="preserve">de </w:t>
              </w:r>
              <w:r>
                <w:t xml:space="preserve">voorgestelde </w:t>
              </w:r>
              <w:r w:rsidRPr="00A4481A">
                <w:t xml:space="preserve">wijzigingen in de Wwft BES </w:t>
              </w:r>
              <w:r>
                <w:t xml:space="preserve">die </w:t>
              </w:r>
              <w:r w:rsidRPr="00A4481A">
                <w:t>verder of minder ver gaan d</w:t>
              </w:r>
              <w:r w:rsidRPr="00A4481A">
                <w:t xml:space="preserve">an de Wwft </w:t>
              </w:r>
              <w:r>
                <w:t>die van toepassing is op</w:t>
              </w:r>
              <w:r w:rsidRPr="00A4481A">
                <w:t xml:space="preserve"> het Europese deel van Nederland.</w:t>
              </w:r>
            </w:p>
          </w:sdtContent>
        </w:sdt>
        <w:p w:rsidR="00C50D4F" w:rsidP="005841EA" w:rsidRDefault="007C4C65">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094" w:rsidRDefault="007C4C65" w:rsidP="005B3E03">
      <w:r>
        <w:separator/>
      </w:r>
    </w:p>
    <w:p w:rsidR="002D0ACF" w:rsidRDefault="007C4C65"/>
  </w:endnote>
  <w:endnote w:type="continuationSeparator" w:id="0">
    <w:p w:rsidR="00847094" w:rsidRDefault="007C4C65" w:rsidP="005B3E03">
      <w:r>
        <w:continuationSeparator/>
      </w:r>
    </w:p>
    <w:p w:rsidR="002D0ACF" w:rsidRDefault="007C4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ACF" w:rsidRDefault="007C4C65">
      <w:r>
        <w:separator/>
      </w:r>
    </w:p>
  </w:footnote>
  <w:footnote w:type="continuationSeparator" w:id="0">
    <w:p w:rsidR="002D0ACF" w:rsidRDefault="007C4C65">
      <w:r>
        <w:continuationSeparator/>
      </w:r>
    </w:p>
  </w:footnote>
  <w:footnote w:id="1">
    <w:p w:rsidR="00FC109B" w:rsidRDefault="007C4C65">
      <w:pPr>
        <w:pStyle w:val="Voetnoottekst"/>
      </w:pPr>
      <w:r>
        <w:rPr>
          <w:rStyle w:val="Voetnootmarkering"/>
        </w:rPr>
        <w:footnoteRef/>
      </w:r>
      <w:r>
        <w:t xml:space="preserve"> </w:t>
      </w:r>
      <w:r>
        <w:tab/>
        <w:t>De wetgeving voor het Europese deel van Nederland is gebaseerd op de Europese witwasrichtlijn (R</w:t>
      </w:r>
      <w:r w:rsidRPr="00FC109B">
        <w:t>ichtlijn (</w:t>
      </w:r>
      <w:r>
        <w:t>EU</w:t>
      </w:r>
      <w:r w:rsidRPr="00FC109B">
        <w:t xml:space="preserve">) 2015/849 van het </w:t>
      </w:r>
      <w:r>
        <w:t>E</w:t>
      </w:r>
      <w:r w:rsidRPr="00FC109B">
        <w:t xml:space="preserve">uropees parlement en de </w:t>
      </w:r>
      <w:r>
        <w:t>R</w:t>
      </w:r>
      <w:r w:rsidRPr="00FC109B">
        <w:t>aad van 20 mei 2015 inzake de voorkoming van het gebruik van het financiële stelsel voor het witwassen van geld of terrorismefinanciering</w:t>
      </w:r>
      <w:r>
        <w:t>). Deze richtlijn is niet van toepassing op Caribisch Nederland.</w:t>
      </w:r>
    </w:p>
  </w:footnote>
  <w:footnote w:id="2">
    <w:p w:rsidR="0081564D" w:rsidRDefault="007C4C65">
      <w:pPr>
        <w:pStyle w:val="Voetnoottekst"/>
      </w:pPr>
      <w:r>
        <w:rPr>
          <w:rStyle w:val="Voetnootmarkering"/>
        </w:rPr>
        <w:footnoteRef/>
      </w:r>
      <w:r>
        <w:t xml:space="preserve"> </w:t>
      </w:r>
      <w:r>
        <w:tab/>
        <w:t>Z</w:t>
      </w:r>
      <w:r w:rsidRPr="0081564D">
        <w:t>oals banken en trustkanto</w:t>
      </w:r>
      <w:r w:rsidRPr="0081564D">
        <w:t>ren</w:t>
      </w:r>
      <w:r>
        <w:t>.</w:t>
      </w:r>
    </w:p>
  </w:footnote>
  <w:footnote w:id="3">
    <w:p w:rsidR="0081564D" w:rsidRDefault="007C4C65">
      <w:pPr>
        <w:pStyle w:val="Voetnoottekst"/>
      </w:pPr>
      <w:r>
        <w:rPr>
          <w:rStyle w:val="Voetnootmarkering"/>
        </w:rPr>
        <w:footnoteRef/>
      </w:r>
      <w:r>
        <w:t xml:space="preserve"> </w:t>
      </w:r>
      <w:r>
        <w:tab/>
        <w:t>Z</w:t>
      </w:r>
      <w:r w:rsidRPr="0081564D">
        <w:t>oals juweliers en autohandelaren</w:t>
      </w:r>
      <w:r>
        <w:t>.</w:t>
      </w:r>
    </w:p>
  </w:footnote>
  <w:footnote w:id="4">
    <w:p w:rsidR="003543E4" w:rsidRDefault="007C4C65" w:rsidP="003543E4">
      <w:pPr>
        <w:pStyle w:val="Voetnoottekst"/>
      </w:pPr>
      <w:r>
        <w:rPr>
          <w:rStyle w:val="Voetnootmarkering"/>
        </w:rPr>
        <w:footnoteRef/>
      </w:r>
      <w:r>
        <w:t xml:space="preserve"> </w:t>
      </w:r>
      <w:r>
        <w:tab/>
        <w:t>WODC, National Risk Assessment Witwassen en Terrorismefinanciering Bonaire, Sint Eustatius en Saba, Cahier 2018-17, Den Haag. Op pagina 4 wordt vermeld dat de risicoanalyse is gebaseerd op gesprekken met expert</w:t>
      </w:r>
      <w:r>
        <w:t>s en niet op kwantitatieve data. Het gaat dan ook meer om risico</w:t>
      </w:r>
      <w:r w:rsidRPr="00906989">
        <w:rPr>
          <w:i/>
          <w:iCs/>
        </w:rPr>
        <w:t>perceptie</w:t>
      </w:r>
      <w:r>
        <w:rPr>
          <w:i/>
          <w:iCs/>
        </w:rPr>
        <w:t>s</w:t>
      </w:r>
      <w:r>
        <w:t xml:space="preserve"> dan om objectief vastgestelde risico’s (op witwassen).</w:t>
      </w:r>
    </w:p>
  </w:footnote>
  <w:footnote w:id="5">
    <w:p w:rsidR="0029046F" w:rsidRPr="00BE68DD" w:rsidRDefault="007C4C65">
      <w:pPr>
        <w:pStyle w:val="Voetnoottekst"/>
      </w:pPr>
      <w:r>
        <w:rPr>
          <w:rStyle w:val="Voetnootmarkering"/>
        </w:rPr>
        <w:footnoteRef/>
      </w:r>
      <w:r w:rsidRPr="00BE68DD">
        <w:t xml:space="preserve"> </w:t>
      </w:r>
      <w:r w:rsidRPr="00BE68DD">
        <w:tab/>
        <w:t>Politically Exposed Person.</w:t>
      </w:r>
    </w:p>
  </w:footnote>
  <w:footnote w:id="6">
    <w:p w:rsidR="00472E49" w:rsidRPr="00472E49" w:rsidRDefault="007C4C65">
      <w:pPr>
        <w:pStyle w:val="Voetnoottekst"/>
      </w:pPr>
      <w:r>
        <w:rPr>
          <w:rStyle w:val="Voetnootmarkering"/>
        </w:rPr>
        <w:footnoteRef/>
      </w:r>
      <w:r w:rsidRPr="00472E49">
        <w:t xml:space="preserve"> </w:t>
      </w:r>
      <w:r>
        <w:tab/>
        <w:t>Een dergelijke lijst geldt ook in de witwaswetgeving voor het Europese deel van Nederland en</w:t>
      </w:r>
      <w:r>
        <w:t xml:space="preserve"> vloeit voort uit de Europese witwasrichtlijn.</w:t>
      </w:r>
    </w:p>
  </w:footnote>
  <w:footnote w:id="7">
    <w:p w:rsidR="00313E9B" w:rsidRDefault="007C4C65" w:rsidP="00313E9B">
      <w:pPr>
        <w:pStyle w:val="Voetnoottekst"/>
      </w:pPr>
      <w:r>
        <w:rPr>
          <w:rStyle w:val="Voetnootmarkering"/>
        </w:rPr>
        <w:footnoteRef/>
      </w:r>
      <w:r>
        <w:t xml:space="preserve"> </w:t>
      </w:r>
      <w:r>
        <w:tab/>
      </w:r>
      <w:r>
        <w:t xml:space="preserve">Volgens de Memorie van toelichting sluit het wetsvoorstel op dit punt aan bij de definitie uit de Landsverordening identificatie bij dienstverlening van </w:t>
      </w:r>
      <w:r>
        <w:rPr>
          <w:szCs w:val="22"/>
        </w:rPr>
        <w:t>Curaçao.</w:t>
      </w:r>
    </w:p>
  </w:footnote>
  <w:footnote w:id="8">
    <w:p w:rsidR="00067C21" w:rsidRDefault="007C4C65">
      <w:pPr>
        <w:pStyle w:val="Voetnoottekst"/>
      </w:pPr>
      <w:r>
        <w:rPr>
          <w:rStyle w:val="Voetnootmarkering"/>
        </w:rPr>
        <w:footnoteRef/>
      </w:r>
      <w:r>
        <w:t xml:space="preserve"> </w:t>
      </w:r>
      <w:r>
        <w:tab/>
      </w:r>
      <w:r w:rsidRPr="00067C21">
        <w:t>DNB, AFM en Bureau toezicht Wwft BES</w:t>
      </w:r>
      <w:r>
        <w:t>.</w:t>
      </w:r>
    </w:p>
  </w:footnote>
  <w:footnote w:id="9">
    <w:p w:rsidR="00BE68DD" w:rsidRDefault="007C4C65">
      <w:pPr>
        <w:pStyle w:val="Voetnoottekst"/>
      </w:pPr>
      <w:r>
        <w:rPr>
          <w:rStyle w:val="Voetnootmarkering"/>
        </w:rPr>
        <w:footnoteRef/>
      </w:r>
      <w:r>
        <w:t xml:space="preserve"> </w:t>
      </w:r>
      <w:r>
        <w:tab/>
        <w:t>D</w:t>
      </w:r>
      <w:r w:rsidRPr="00BE68DD">
        <w:t xml:space="preserve">e Belastingdienst, de Fiscale </w:t>
      </w:r>
      <w:r w:rsidRPr="00BE68DD">
        <w:t>Inlichtingen- en Opsporingsdienst, de Koninklijke Marechaussee, het Korps Politie Caribisch Nederland, het meldpunt, en het Openbaar Ministerie</w:t>
      </w:r>
      <w:r>
        <w:t>.</w:t>
      </w:r>
    </w:p>
  </w:footnote>
  <w:footnote w:id="10">
    <w:p w:rsidR="00CA6504" w:rsidRPr="00C5509C" w:rsidRDefault="007C4C65">
      <w:pPr>
        <w:pStyle w:val="Voetnoottekst"/>
      </w:pPr>
      <w:r>
        <w:rPr>
          <w:rStyle w:val="Voetnootmarkering"/>
        </w:rPr>
        <w:footnoteRef/>
      </w:r>
      <w:r w:rsidRPr="00C5509C">
        <w:t xml:space="preserve"> </w:t>
      </w:r>
      <w:r w:rsidRPr="00C5509C">
        <w:tab/>
        <w:t>Memorie van toelichting, paragraaf 1.2.</w:t>
      </w:r>
    </w:p>
  </w:footnote>
  <w:footnote w:id="11">
    <w:p w:rsidR="0059031F" w:rsidRDefault="007C4C65">
      <w:pPr>
        <w:pStyle w:val="Voetnoottekst"/>
      </w:pPr>
      <w:r>
        <w:rPr>
          <w:rStyle w:val="Voetnootmarkering"/>
        </w:rPr>
        <w:footnoteRef/>
      </w:r>
      <w:r>
        <w:t xml:space="preserve"> </w:t>
      </w:r>
      <w:r>
        <w:tab/>
        <w:t>De meeste betrokken instanties zijn gevestigd in het Europese dee</w:t>
      </w:r>
      <w:r>
        <w:t xml:space="preserve">l van Nederland. Voor deze instanties geldt niet alleen het EVRM maar ook de </w:t>
      </w:r>
      <w:r w:rsidRPr="00996B08">
        <w:t>Algemene verordening gegevensbescherming</w:t>
      </w:r>
      <w:r>
        <w:t xml:space="preserve"> (AVG).</w:t>
      </w:r>
    </w:p>
  </w:footnote>
  <w:footnote w:id="12">
    <w:p w:rsidR="00045C03" w:rsidRPr="00045C03" w:rsidRDefault="007C4C65">
      <w:pPr>
        <w:pStyle w:val="Voetnoottekst"/>
      </w:pPr>
      <w:r>
        <w:rPr>
          <w:rStyle w:val="Voetnootmarkering"/>
        </w:rPr>
        <w:footnoteRef/>
      </w:r>
      <w:r w:rsidRPr="00045C03">
        <w:t xml:space="preserve"> </w:t>
      </w:r>
      <w:bookmarkStart w:id="0" w:name="_Hlk32405832"/>
      <w:r>
        <w:tab/>
      </w:r>
      <w:r w:rsidRPr="00BE68DD">
        <w:t xml:space="preserve">Artikel 5, </w:t>
      </w:r>
      <w:r>
        <w:t xml:space="preserve">eerste </w:t>
      </w:r>
      <w:r w:rsidRPr="00BE68DD">
        <w:t>lid 1</w:t>
      </w:r>
      <w:r>
        <w:t>, onderdeel</w:t>
      </w:r>
      <w:r w:rsidRPr="00BE68DD">
        <w:t xml:space="preserve"> b AVG</w:t>
      </w:r>
      <w:bookmarkEnd w:id="0"/>
      <w:r w:rsidRPr="00BE68DD">
        <w:t>: ‘P</w:t>
      </w:r>
      <w:r>
        <w:t>ersoonsgegevens mogen voor welbepaalde, uitdrukkelijk omschreven en gerechtvaardigde</w:t>
      </w:r>
      <w:r>
        <w:t xml:space="preserve"> doeleinden worden verzameld </w:t>
      </w:r>
      <w:r w:rsidRPr="0059031F">
        <w:t>en mogen vervolgens niet verder op een met die doeleinden onverenigbare wijze worden verwerkt</w:t>
      </w:r>
      <w:r>
        <w:t>’.</w:t>
      </w:r>
    </w:p>
  </w:footnote>
  <w:footnote w:id="13">
    <w:p w:rsidR="00E0403A" w:rsidRPr="00CC1531" w:rsidRDefault="007C4C65" w:rsidP="00BE68DD">
      <w:pPr>
        <w:pStyle w:val="Voetnoottekst"/>
        <w:ind w:left="284" w:hanging="284"/>
      </w:pPr>
      <w:r>
        <w:rPr>
          <w:rStyle w:val="Voetnootmarkering"/>
        </w:rPr>
        <w:footnoteRef/>
      </w:r>
      <w:r w:rsidRPr="00313E9B">
        <w:t xml:space="preserve"> </w:t>
      </w:r>
      <w:r>
        <w:tab/>
        <w:t xml:space="preserve">Bijvoorbeeld: </w:t>
      </w:r>
      <w:hyperlink r:id="rId1" w:history="1">
        <w:r w:rsidRPr="00BE68DD">
          <w:rPr>
            <w:rStyle w:val="Hyperlink"/>
          </w:rPr>
          <w:t>https://k</w:t>
        </w:r>
        <w:r w:rsidRPr="00BE68DD">
          <w:rPr>
            <w:rStyle w:val="Hyperlink"/>
          </w:rPr>
          <w:t>oninkrijk.nu/2020/02/03/de-risking-ook-serieuze-bedreiging-antilliaanse-banken/</w:t>
        </w:r>
      </w:hyperlink>
      <w:r>
        <w:t xml:space="preserve">. </w:t>
      </w:r>
      <w:r w:rsidRPr="00CC1531">
        <w:t>Zie meer algemeen: Wer</w:t>
      </w:r>
      <w:r>
        <w:t>eldb</w:t>
      </w:r>
      <w:r w:rsidRPr="00CC1531">
        <w:t xml:space="preserve">ank (2017) </w:t>
      </w:r>
      <w:r w:rsidRPr="00CC1531">
        <w:rPr>
          <w:i/>
          <w:iCs/>
        </w:rPr>
        <w:t>De-Risking and Other Challenges in the Emerging Market Financial Sector</w:t>
      </w:r>
      <w:r w:rsidRPr="00CC1531">
        <w:t xml:space="preserve">: </w:t>
      </w:r>
      <w:hyperlink r:id="rId2" w:history="1">
        <w:r w:rsidRPr="00CC1531">
          <w:rPr>
            <w:rStyle w:val="Hyperlink"/>
          </w:rPr>
          <w:t>http://documents.worldbank.org/curated/en/895821510730571841/pdf/121275-WP-IFC-2017-Survey-on-Correspondent-Banking-in-EMs-PUBLIC.pdf</w:t>
        </w:r>
      </w:hyperlink>
      <w:r w:rsidRPr="00CC1531">
        <w:t xml:space="preserve"> </w:t>
      </w:r>
    </w:p>
  </w:footnote>
  <w:footnote w:id="14">
    <w:p w:rsidR="00A50A71" w:rsidRPr="00BE68DD" w:rsidRDefault="007C4C65">
      <w:pPr>
        <w:pStyle w:val="Voetnoottekst"/>
      </w:pPr>
      <w:r>
        <w:rPr>
          <w:rStyle w:val="Voetnootmarkering"/>
        </w:rPr>
        <w:footnoteRef/>
      </w:r>
      <w:r w:rsidRPr="00A50A71">
        <w:rPr>
          <w:lang w:val="en-GB"/>
        </w:rPr>
        <w:t xml:space="preserve"> </w:t>
      </w:r>
      <w:r>
        <w:rPr>
          <w:lang w:val="en-GB"/>
        </w:rPr>
        <w:tab/>
      </w:r>
      <w:r w:rsidRPr="00A50A71">
        <w:rPr>
          <w:lang w:val="en-GB"/>
        </w:rPr>
        <w:t xml:space="preserve">Caribbean Financial Action </w:t>
      </w:r>
      <w:r w:rsidRPr="00A50A71">
        <w:rPr>
          <w:lang w:val="en-GB"/>
        </w:rPr>
        <w:t>Task Force (CFATF)</w:t>
      </w:r>
      <w:r>
        <w:rPr>
          <w:lang w:val="en-GB"/>
        </w:rPr>
        <w:t xml:space="preserve">: </w:t>
      </w:r>
      <w:r>
        <w:fldChar w:fldCharType="begin"/>
      </w:r>
      <w:r w:rsidRPr="007C4C65">
        <w:rPr>
          <w:lang w:val="en-GB"/>
        </w:rPr>
        <w:instrText xml:space="preserve"> HYPERLINK "https://www.cfatf-gafic.org/home/cfatf-news/449-de-risking" </w:instrText>
      </w:r>
      <w:r>
        <w:fldChar w:fldCharType="separate"/>
      </w:r>
      <w:r w:rsidRPr="000A7830">
        <w:rPr>
          <w:rStyle w:val="Hyperlink"/>
          <w:lang w:val="en-GB"/>
        </w:rPr>
        <w:t>https://www.cfatf-gafic.org/home/cfatf-news/449-de-risking</w:t>
      </w:r>
      <w:r>
        <w:rPr>
          <w:rStyle w:val="Hyperlink"/>
          <w:lang w:val="en-GB"/>
        </w:rPr>
        <w:fldChar w:fldCharType="end"/>
      </w:r>
      <w:r>
        <w:rPr>
          <w:rStyle w:val="Hyperlink"/>
          <w:lang w:val="en-GB"/>
        </w:rPr>
        <w:t>.</w:t>
      </w:r>
      <w:r>
        <w:rPr>
          <w:lang w:val="en-GB"/>
        </w:rPr>
        <w:t xml:space="preserve"> </w:t>
      </w:r>
      <w:r w:rsidRPr="00BE68DD">
        <w:t xml:space="preserve">Het is denkbaar dat een vergelijkbaar patroon zich </w:t>
      </w:r>
      <w:r>
        <w:t xml:space="preserve">ook </w:t>
      </w:r>
      <w:r w:rsidRPr="00BE68DD">
        <w:t xml:space="preserve">voordoet bij </w:t>
      </w:r>
      <w:r>
        <w:t>niet-financiële dienstverleners.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05326EBD"/>
    <w:multiLevelType w:val="hybridMultilevel"/>
    <w:tmpl w:val="35267A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A2C6995"/>
    <w:multiLevelType w:val="hybridMultilevel"/>
    <w:tmpl w:val="7A1ACF26"/>
    <w:lvl w:ilvl="0" w:tplc="C05C1A5C">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305D35"/>
    <w:multiLevelType w:val="hybridMultilevel"/>
    <w:tmpl w:val="5DFCE652"/>
    <w:lvl w:ilvl="0" w:tplc="D5CED86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8B127B5"/>
    <w:multiLevelType w:val="hybridMultilevel"/>
    <w:tmpl w:val="4CAE412E"/>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F49032B"/>
    <w:multiLevelType w:val="hybridMultilevel"/>
    <w:tmpl w:val="76062D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9C42CCB"/>
    <w:multiLevelType w:val="hybridMultilevel"/>
    <w:tmpl w:val="13C618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7C4C65"/>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B0B7C"/>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C5FCBB3"/>
  <w15:docId w15:val="{2DBFF4C0-14D5-40BC-9D1B-84521F45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paragraph" w:customStyle="1" w:styleId="Default">
    <w:name w:val="Default"/>
    <w:rsid w:val="00934EAA"/>
    <w:pPr>
      <w:autoSpaceDE w:val="0"/>
      <w:autoSpaceDN w:val="0"/>
      <w:adjustRightInd w:val="0"/>
    </w:pPr>
    <w:rPr>
      <w:rFonts w:ascii="Univers" w:hAnsi="Univers" w:cs="Univers"/>
      <w:color w:val="000000"/>
      <w:sz w:val="24"/>
      <w:szCs w:val="24"/>
    </w:rPr>
  </w:style>
  <w:style w:type="character" w:styleId="Voetnootmarkering">
    <w:name w:val="footnote reference"/>
    <w:basedOn w:val="Standaardalinea-lettertype"/>
    <w:semiHidden/>
    <w:unhideWhenUsed/>
    <w:rsid w:val="003543E4"/>
    <w:rPr>
      <w:vertAlign w:val="superscript"/>
    </w:rPr>
  </w:style>
  <w:style w:type="character" w:styleId="Hyperlink">
    <w:name w:val="Hyperlink"/>
    <w:basedOn w:val="Standaardalinea-lettertype"/>
    <w:unhideWhenUsed/>
    <w:rsid w:val="00A50A71"/>
    <w:rPr>
      <w:color w:val="0000FF" w:themeColor="hyperlink"/>
      <w:u w:val="single"/>
    </w:rPr>
  </w:style>
  <w:style w:type="character" w:styleId="Onopgelostemelding">
    <w:name w:val="Unresolved Mention"/>
    <w:basedOn w:val="Standaardalinea-lettertype"/>
    <w:uiPriority w:val="99"/>
    <w:semiHidden/>
    <w:unhideWhenUsed/>
    <w:rsid w:val="00A50A71"/>
    <w:rPr>
      <w:color w:val="605E5C"/>
      <w:shd w:val="clear" w:color="auto" w:fill="E1DFDD"/>
    </w:rPr>
  </w:style>
  <w:style w:type="character" w:styleId="Verwijzingopmerking">
    <w:name w:val="annotation reference"/>
    <w:basedOn w:val="Standaardalinea-lettertype"/>
    <w:semiHidden/>
    <w:unhideWhenUsed/>
    <w:rsid w:val="00067C21"/>
    <w:rPr>
      <w:sz w:val="16"/>
      <w:szCs w:val="16"/>
    </w:rPr>
  </w:style>
  <w:style w:type="paragraph" w:styleId="Tekstopmerking">
    <w:name w:val="annotation text"/>
    <w:basedOn w:val="Standaard"/>
    <w:link w:val="TekstopmerkingChar"/>
    <w:semiHidden/>
    <w:unhideWhenUsed/>
    <w:rsid w:val="00067C21"/>
    <w:rPr>
      <w:sz w:val="20"/>
      <w:szCs w:val="20"/>
    </w:rPr>
  </w:style>
  <w:style w:type="character" w:customStyle="1" w:styleId="TekstopmerkingChar">
    <w:name w:val="Tekst opmerking Char"/>
    <w:basedOn w:val="Standaardalinea-lettertype"/>
    <w:link w:val="Tekstopmerking"/>
    <w:semiHidden/>
    <w:rsid w:val="00067C21"/>
    <w:rPr>
      <w:rFonts w:ascii="Univers" w:hAnsi="Univers"/>
    </w:rPr>
  </w:style>
  <w:style w:type="paragraph" w:styleId="Onderwerpvanopmerking">
    <w:name w:val="annotation subject"/>
    <w:basedOn w:val="Tekstopmerking"/>
    <w:next w:val="Tekstopmerking"/>
    <w:link w:val="OnderwerpvanopmerkingChar"/>
    <w:semiHidden/>
    <w:unhideWhenUsed/>
    <w:rsid w:val="00067C21"/>
    <w:rPr>
      <w:b/>
      <w:bCs/>
    </w:rPr>
  </w:style>
  <w:style w:type="character" w:customStyle="1" w:styleId="OnderwerpvanopmerkingChar">
    <w:name w:val="Onderwerp van opmerking Char"/>
    <w:basedOn w:val="TekstopmerkingChar"/>
    <w:link w:val="Onderwerpvanopmerking"/>
    <w:semiHidden/>
    <w:rsid w:val="00067C21"/>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documents.worldbank.org/curated/en/895821510730571841/pdf/121275-WP-IFC-2017-Survey-on-Correspondent-Banking-in-EMs-PUBLIC.pdf" TargetMode="External"/><Relationship Id="rId1" Type="http://schemas.openxmlformats.org/officeDocument/2006/relationships/hyperlink" Target="https://koninkrijk.nu/2020/02/03/de-risking-ook-serieuze-bedreiging-antilliaanse-bank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1390</ap:Words>
  <ap:Characters>8008</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2020-03-05T07:08:00.0000000Z</lastPrinted>
  <dcterms:created xsi:type="dcterms:W3CDTF">2013-05-08T08:42:00.0000000Z</dcterms:created>
  <dcterms:modified xsi:type="dcterms:W3CDTF">2020-03-05T07:08:00.0000000Z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0x0101001A0E344E7BC2DD429837EF0D31F4A7C1</vt:lpwstr>
  </property>
</Properties>
</file>