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A0E9B" w:rsidR="004676F8" w:rsidRDefault="00CD1E6A" w14:paraId="132A88CD" w14:textId="77777777">
      <w:pPr>
        <w:rPr>
          <w:b/>
          <w:sz w:val="28"/>
          <w:lang w:val="en-US"/>
        </w:rPr>
      </w:pPr>
      <w:r w:rsidRPr="00BA0E9B">
        <w:rPr>
          <w:b/>
          <w:sz w:val="28"/>
          <w:lang w:val="en-US"/>
        </w:rPr>
        <w:t>Position Paper Routekaart Groengas</w:t>
      </w:r>
    </w:p>
    <w:p w:rsidRPr="00CD1E6A" w:rsidR="00CD1E6A" w:rsidRDefault="00CD1E6A" w14:paraId="61CED140" w14:textId="77777777">
      <w:pPr>
        <w:rPr>
          <w:lang w:val="en-US"/>
        </w:rPr>
      </w:pPr>
      <w:r w:rsidRPr="00CD1E6A">
        <w:rPr>
          <w:lang w:val="en-US"/>
        </w:rPr>
        <w:t>Attero, 24 april 2020</w:t>
      </w:r>
    </w:p>
    <w:p w:rsidR="00CD1E6A" w:rsidRDefault="00CD1E6A" w14:paraId="563E679B" w14:textId="77777777">
      <w:r w:rsidRPr="00CD1E6A">
        <w:t xml:space="preserve">Als grote groengasproducent </w:t>
      </w:r>
      <w:r>
        <w:t>omarmt</w:t>
      </w:r>
      <w:r w:rsidRPr="00CD1E6A">
        <w:t xml:space="preserve"> Attero de </w:t>
      </w:r>
      <w:r>
        <w:t xml:space="preserve">ambities in de Routekaart Groengas, maar heeft Attero hierbij nog wel de </w:t>
      </w:r>
      <w:r w:rsidRPr="00CD1E6A">
        <w:t>volgende aandachtspunten</w:t>
      </w:r>
      <w:r>
        <w:t>:</w:t>
      </w:r>
    </w:p>
    <w:p w:rsidR="00CD1E6A" w:rsidP="00CD1E6A" w:rsidRDefault="00CD1E6A" w14:paraId="3319799B" w14:textId="77777777">
      <w:pPr>
        <w:pStyle w:val="Lijstalinea"/>
        <w:numPr>
          <w:ilvl w:val="0"/>
          <w:numId w:val="1"/>
        </w:numPr>
      </w:pPr>
      <w:r>
        <w:t xml:space="preserve">SDE++: </w:t>
      </w:r>
      <w:r w:rsidRPr="00CD1E6A">
        <w:t>Om de ambitie te behalen acht Attero het noodzakelijk om een specifieke stimulering beschikbaar te stellen voor de productie van duurzaam gassen uit vergisting en vergassing. De minister wordt verzocht, omwille van het belang van beschikbaarheid van voldoende groene gasvormige energiedragers in de toekomst, schotten in de SDE++ regeling op te nemen waarmee budget wordt zeker gesteld om groen gas projecten te realiseren.</w:t>
      </w:r>
    </w:p>
    <w:p w:rsidR="00CD1E6A" w:rsidP="00CD1E6A" w:rsidRDefault="00CD1E6A" w14:paraId="735AF00B" w14:textId="77777777">
      <w:pPr>
        <w:pStyle w:val="Lijstalinea"/>
        <w:numPr>
          <w:ilvl w:val="0"/>
          <w:numId w:val="1"/>
        </w:numPr>
      </w:pPr>
      <w:r>
        <w:t xml:space="preserve">REDII: </w:t>
      </w:r>
      <w:r w:rsidRPr="00CD1E6A">
        <w:t>Gelet onderstaande onderbouwing verzoeken wij u Staatssecretaris Van Veldhoven te vragen de vermenging van fossiele stromen met biogene stromen bij aflevering en transport van Groengas toe te blijven staan in een gesloten Groengas massabalans systematiek via het Vertogas GvO systeem in bewezen combinatie met het NEa HBE systeem en tevens aan haar te vragen, in het kader van het na de zomer te behandelen Wetsvoorstel, om voor inzet Groengas als dubbeltellende transportbrandstof onder RED-II geen strengere eisen te stellen aan deze werkwijze dan de Europese wetgeving voorschrijft.</w:t>
      </w:r>
    </w:p>
    <w:p w:rsidR="00CD1E6A" w:rsidP="00CD1E6A" w:rsidRDefault="00CD1E6A" w14:paraId="02B7D3CE" w14:textId="77777777">
      <w:pPr>
        <w:pStyle w:val="Lijstalinea"/>
        <w:numPr>
          <w:ilvl w:val="0"/>
          <w:numId w:val="1"/>
        </w:numPr>
      </w:pPr>
      <w:r>
        <w:t xml:space="preserve">Beschikbaarheid biomassa: </w:t>
      </w:r>
      <w:r w:rsidR="0044373C">
        <w:t>Attero vraagt aandacht van d</w:t>
      </w:r>
      <w:r>
        <w:t xml:space="preserve">e overheid </w:t>
      </w:r>
      <w:r w:rsidR="0044373C">
        <w:t>om haar</w:t>
      </w:r>
      <w:r>
        <w:t xml:space="preserve"> mogelijkheden </w:t>
      </w:r>
      <w:r w:rsidR="0044373C">
        <w:t xml:space="preserve">te benutten </w:t>
      </w:r>
      <w:r>
        <w:t xml:space="preserve">om meer biomassa voor vergisting te ontsluiten </w:t>
      </w:r>
      <w:r w:rsidR="0044373C">
        <w:t>en</w:t>
      </w:r>
      <w:r>
        <w:t xml:space="preserve"> haar beleid op gft-afval en berm- en slootmaaisel </w:t>
      </w:r>
      <w:r w:rsidR="0044373C">
        <w:t xml:space="preserve">hiervoor </w:t>
      </w:r>
      <w:r>
        <w:t>aan te passen.</w:t>
      </w:r>
    </w:p>
    <w:p w:rsidRPr="00CD1E6A" w:rsidR="00CD1E6A" w:rsidP="00CD1E6A" w:rsidRDefault="00CD1E6A" w14:paraId="61453869" w14:textId="77777777">
      <w:pPr>
        <w:rPr>
          <w:b/>
        </w:rPr>
      </w:pPr>
      <w:r w:rsidRPr="00CD1E6A">
        <w:rPr>
          <w:b/>
        </w:rPr>
        <w:t>Inleiding</w:t>
      </w:r>
    </w:p>
    <w:p w:rsidR="00CD1E6A" w:rsidP="00CD1E6A" w:rsidRDefault="00CD1E6A" w14:paraId="3792054A" w14:textId="77777777">
      <w:r>
        <w:t xml:space="preserve">Attero produceerde in 2018  zo’n 23% van het Nederlandse groengas (bron: CBS) en maakt al jaren haar ambities waar door de productie hiervan steeds verder op te schroeven. Groengas wordt geproduceerd uit een groeiende hoeveelheid gft-afval en organisch materiaal uit restafval en voor een klein deel uit afgevangen biogas uit stortplaatsen. Attero buigt daarmee afval om in duurzame energie en beperkt schadelijke methaanemissies. Attero heeft kennis genomen van de Routekaart Groengas en diverse standpunten rond de Nederlandse implementatie van de hiermee samenhangende Renewable Energy Directive phase 2 (RED-II) en doet in deze position paper graag suggesties voor de nadere uitwerking van beiden.  </w:t>
      </w:r>
    </w:p>
    <w:p w:rsidRPr="0044373C" w:rsidR="00CD1E6A" w:rsidP="00CD1E6A" w:rsidRDefault="0044373C" w14:paraId="77E1BD00" w14:textId="77777777">
      <w:pPr>
        <w:rPr>
          <w:b/>
        </w:rPr>
      </w:pPr>
      <w:r w:rsidRPr="0044373C">
        <w:rPr>
          <w:b/>
        </w:rPr>
        <w:lastRenderedPageBreak/>
        <w:t xml:space="preserve">Schotten in </w:t>
      </w:r>
      <w:r w:rsidRPr="0044373C" w:rsidR="00CD1E6A">
        <w:rPr>
          <w:b/>
        </w:rPr>
        <w:t>SDE</w:t>
      </w:r>
      <w:r w:rsidRPr="0044373C">
        <w:rPr>
          <w:b/>
        </w:rPr>
        <w:t>++ nodig om groengas ambities waar te kunnen maken</w:t>
      </w:r>
    </w:p>
    <w:p w:rsidR="00CD1E6A" w:rsidP="00CD1E6A" w:rsidRDefault="00CD1E6A" w14:paraId="2A1C9007" w14:textId="77777777">
      <w:r>
        <w:t>In de routekaart groen gas wordt een stevige ambitie gesteld om 25 PJ aan duurzaam gas te produceren uit vergisting. Echter wordt deze ambitie te weinig vertaald in de beschikbare stimuleringsmaatregelen. Beschreven wordt dat de SDE ++ het primaire instrument zal blijven voor het stimuleren van de groengasproductie. De nieuwe systematiek van ranking van technologieën in de SDE++ leidt ertoe dat projecten in bijvoorbeeld zon en wind voorrang hebben op groen gas, waardoor het beschikbare budget voor productie van duurzame gassen beperkt wordt.</w:t>
      </w:r>
    </w:p>
    <w:p w:rsidR="00CD1E6A" w:rsidP="00CD1E6A" w:rsidRDefault="00CD1E6A" w14:paraId="24CE2D18" w14:textId="32E02991">
      <w:r>
        <w:t>Om de ambitie te behalen acht Attero het noodzakelijk om een specifieke stimulering beschikbaar te stellen voor de productie van duurzam</w:t>
      </w:r>
      <w:r w:rsidR="001579DB">
        <w:t>e</w:t>
      </w:r>
      <w:r>
        <w:t xml:space="preserve"> gassen uit vergisting en vergassing. De minister wordt verzocht, omwille van het belang van beschikbaarheid van voldoende groene gasvormige energiedragers in de toekomst, schotten in de SDE++ regeling op te nemen waarmee budget wordt zeker gesteld om groen gas projecten te realiseren.</w:t>
      </w:r>
    </w:p>
    <w:p w:rsidR="004A201D" w:rsidP="00CD1E6A" w:rsidRDefault="004A201D" w14:paraId="14A4AF50" w14:textId="292CB31D">
      <w:r>
        <w:t>Het zou bij de uitwerking van de SDE++ daarnaast logisch zijn dat groengas-technologieën die het beste aansluiten bij de ambities op het gebied van circulariteit niet achter worden gesteld op technologieën die daar minder op scoren.</w:t>
      </w:r>
      <w:r w:rsidR="000000F2">
        <w:t xml:space="preserve"> Bij vergisting tot groengas komt digestaat vrij dat na opwerking toegepast kan worden waarmee organische stof en </w:t>
      </w:r>
      <w:r w:rsidR="000000F2">
        <w:t>nutriënten</w:t>
      </w:r>
      <w:r w:rsidR="000000F2">
        <w:t xml:space="preserve"> behouden blijven tot de bodem.</w:t>
      </w:r>
      <w:r w:rsidR="000000F2">
        <w:t xml:space="preserve"> </w:t>
      </w:r>
      <w:r>
        <w:t>Bij vergassing blijft de productie beperkt tot groengas. Attero kan de suggestie in de Routekaart om voor vergassing aanvullende stimuleringsmaatregelen binnen SDE++ te ontwikkelen in dit kader dan ook niet plaatsen.</w:t>
      </w:r>
    </w:p>
    <w:p w:rsidRPr="0044373C" w:rsidR="0044373C" w:rsidP="00CD1E6A" w:rsidRDefault="00BA0E9B" w14:paraId="0CE64F61" w14:textId="77777777">
      <w:pPr>
        <w:rPr>
          <w:b/>
        </w:rPr>
      </w:pPr>
      <w:r>
        <w:rPr>
          <w:b/>
        </w:rPr>
        <w:t xml:space="preserve">Behoud </w:t>
      </w:r>
      <w:r w:rsidRPr="0044373C" w:rsidR="0044373C">
        <w:rPr>
          <w:b/>
        </w:rPr>
        <w:t>systematiek G</w:t>
      </w:r>
      <w:r>
        <w:rPr>
          <w:b/>
        </w:rPr>
        <w:t>vO</w:t>
      </w:r>
      <w:r w:rsidRPr="0044373C" w:rsidR="0044373C">
        <w:rPr>
          <w:b/>
        </w:rPr>
        <w:t xml:space="preserve"> </w:t>
      </w:r>
      <w:r>
        <w:rPr>
          <w:b/>
        </w:rPr>
        <w:t xml:space="preserve">bij implementatie REDII </w:t>
      </w:r>
      <w:r w:rsidRPr="0044373C" w:rsidR="0044373C">
        <w:rPr>
          <w:b/>
        </w:rPr>
        <w:t>noodzakelijk voor rendabele business cases</w:t>
      </w:r>
    </w:p>
    <w:p w:rsidR="0044373C" w:rsidP="00CD1E6A" w:rsidRDefault="0044373C" w14:paraId="7A80025E" w14:textId="77777777">
      <w:r w:rsidRPr="0044373C">
        <w:t xml:space="preserve">Een bijmengverplichting blijkt een beproefde methode om het gebruik van fossiele grondstoffen terug te dringen. Dit geldt voor brandstoffen maar ook voor producten. In het Circular Economy Action Plan worden ook bijmengverplichtingen voorgesteld voor producten in de bouw, automotive en verpakkingen (% toegepast gerecycled plastic), waardoor consistentie in beleid gewaarborgd wordt.  </w:t>
      </w:r>
    </w:p>
    <w:p w:rsidR="0044373C" w:rsidP="0044373C" w:rsidRDefault="0044373C" w14:paraId="1BE7D0F4" w14:textId="758B3776">
      <w:r>
        <w:t xml:space="preserve">Voor wat betreft de bijmengverplichting is er momenteel discussie over de traceerbaarheid van biobrandstoffen (implementatie EU-REDII). Attero volgt een eigen koers </w:t>
      </w:r>
      <w:r>
        <w:lastRenderedPageBreak/>
        <w:t>in deze discussie en legitimeert dat via de bijzondere positie die zij als producent van Groengas inneemt in de keten van afval naar hernieuwbare transportbrandstof. Als Nederlandse producent van Groengas als duurzame transport brandstof delen wij de zorgen van de politiek, handhaving (o.a. NEa) en ambtelijke beleidsmakers. Alleen maken wij ons nu ook zorgen dat er bij de verscherpte discussie rond de RED-II invoering een polarisatie ontstaat vanuit standpunten die uitvoeringsregels voor inzet van Groengas als geavanceerde transportbrandstof gaan raken. Een onbedoeld gevolg kan zijn dat ongelijke gevallen onder NL RED-II uitvoeringsregels gelijk zullen worden behandeld. Dit zou zeer onterecht zijn en sterk ten nadele uitpakken van de Groengas keten in deze markt. Groengas uit vergisti</w:t>
      </w:r>
      <w:r w:rsidR="001B6A1D">
        <w:t>ng geldt als een “Geavanceerde</w:t>
      </w:r>
      <w:r w:rsidR="000000F2">
        <w:t xml:space="preserve"> </w:t>
      </w:r>
      <w:r w:rsidR="001B6A1D">
        <w:t>T</w:t>
      </w:r>
      <w:r w:rsidR="000000F2">
        <w:t>ransportbrandstof</w:t>
      </w:r>
      <w:r w:rsidR="001B6A1D">
        <w:t>”</w:t>
      </w:r>
      <w:r w:rsidR="000000F2">
        <w:t xml:space="preserve"> conform</w:t>
      </w:r>
      <w:r>
        <w:t xml:space="preserve"> RED-1</w:t>
      </w:r>
      <w:r w:rsidR="001B6A1D">
        <w:t xml:space="preserve">, waardoor HBE’s </w:t>
      </w:r>
      <w:r w:rsidRPr="001B6A1D" w:rsidR="001B6A1D">
        <w:t>dubbel tellen</w:t>
      </w:r>
      <w:r w:rsidRPr="001B6A1D">
        <w:t>. De inkomsten uit HBE per eenheid Groengas gaan halveren als dubbeltelling vervalt.</w:t>
      </w:r>
      <w:r>
        <w:t xml:space="preserve"> De vraag naar HBE uit Groengas zal heel sterk verminderen als een duurzaam cyclisch product uit afval in dezelfde categorie wordt ingedeeld als in overvloed verkrijgbare HBE met een hogere CO</w:t>
      </w:r>
      <w:r w:rsidRPr="0044373C">
        <w:rPr>
          <w:vertAlign w:val="subscript"/>
        </w:rPr>
        <w:t>2</w:t>
      </w:r>
      <w:r>
        <w:t xml:space="preserve"> footprint plus uit veel minder duurzame biomassa en productiemethode.</w:t>
      </w:r>
      <w:r w:rsidR="001B6A1D">
        <w:t xml:space="preserve"> </w:t>
      </w:r>
    </w:p>
    <w:p w:rsidR="0044373C" w:rsidP="0044373C" w:rsidRDefault="0044373C" w14:paraId="2747DD69" w14:textId="77777777">
      <w:r>
        <w:t>Als Nederlandse producent van Groengas zet Attero zich in voor een betrouwbare en transparante waardeketen. Op die manier kunnen én willen wij ook bijdragen aan de verduurzaming van transport. De bestaande systematiek met GvO Groengas (Door Vertogas in Nederland gesloten biobrandstoffen productie-toepassing balans) voldoet in principe aan zowel HBE RED-I als RED-II EU eisen om dit te waarborgen. Op het naleven van de GvO-Groengas en HBE systematiek wordt toezicht gehouden door Europees erkende certificerende instanties (vrijwillige schema’s, zoals Nederlandse  NTA8080 en ISCC EU). Alle partijen in de productieketen Groengas worden hiervoor geauditeerd door in het kader van RED en ook door Nederland officieel erkende auditeurs. Uiteraard delen wij de zorgen omtrent fraude en treden wij graag in gesprek met het Ministerie over strikte handhaving bij uitvoering van maatregelen hoe deze zorgen weg te nemen zijn. Echter, de gevolgen van de huidige interpretatie van het Ministerie en/of reacties vanuit andere marktpartijen hierop zou in onze ogen, zoals bovenstaand onderbouwd, disproportioneel kunnen uitpakken voor de Groengas transportbrandstoffen keten.</w:t>
      </w:r>
    </w:p>
    <w:p w:rsidR="000B4E1A" w:rsidP="0044373C" w:rsidRDefault="000B4E1A" w14:paraId="78DB996F" w14:textId="062FA5CB">
      <w:r>
        <w:t>Bij strengere eisen bij de Nederlandse implementatie van de EU-RED</w:t>
      </w:r>
      <w:r>
        <w:t>II</w:t>
      </w:r>
      <w:r>
        <w:t xml:space="preserve"> dan hierin voorgeschreven is het risico groot dat</w:t>
      </w:r>
      <w:r>
        <w:t xml:space="preserve"> investeringen in groengasprojecten onvoldoende rendabel</w:t>
      </w:r>
      <w:r>
        <w:t xml:space="preserve"> worden.</w:t>
      </w:r>
    </w:p>
    <w:p w:rsidRPr="0044373C" w:rsidR="0044373C" w:rsidP="0044373C" w:rsidRDefault="0044373C" w14:paraId="0B05C48A" w14:textId="77777777">
      <w:pPr>
        <w:rPr>
          <w:b/>
        </w:rPr>
      </w:pPr>
      <w:r w:rsidRPr="0044373C">
        <w:rPr>
          <w:b/>
        </w:rPr>
        <w:t>Denk ook aan het ontsluiten van biomassa</w:t>
      </w:r>
    </w:p>
    <w:p w:rsidR="0044373C" w:rsidP="0044373C" w:rsidRDefault="0044373C" w14:paraId="775188DE" w14:textId="77777777">
      <w:r>
        <w:lastRenderedPageBreak/>
        <w:t>Als we de Groengas-ambities willen halen dan zal er veel meer biomassa ontsloten moeten worden. Uiteraard dient daarbij geborgd te worden dat biomassa die als voedsel dient niet de energieroute in gaat. Stromen die nog beter ontsloten kunnen worden zijn berm- en slootmaaisel en gft-afval.</w:t>
      </w:r>
    </w:p>
    <w:p w:rsidR="0044373C" w:rsidP="0044373C" w:rsidRDefault="0044373C" w14:paraId="0DFCA955" w14:textId="77777777">
      <w:r>
        <w:t>In Nederland hebben we naar schatting tot 1 miljoen ton berm- en slootmaaisel. Dit wordt nu voor een belangrijk deel ondergeploegd op akkers en voor een belangrijk deel gecomposteerd. In 2018 heeft de regering de Vrijstellingsregeling Plantenresten aangepast zodat overheden hun berm- en slootmaaisel in een straal van 5 km. kunnen onderploegen. Onderploegen is goedkoper dan vergisten en composteren waardoor de populariteit van deze route hoog is. Nadeel van deze verruiming van de Vrijstellingsregeling Plantenresten is dat plastic dat zich in berm- en slootmaaisel bevindt ook op akkers beland, iets dat ook al meermalen door de Plastic Soup Foundation is geagendeerd (</w:t>
      </w:r>
      <w:hyperlink w:history="1" r:id="rId6">
        <w:r w:rsidRPr="005C4F6E">
          <w:rPr>
            <w:rStyle w:val="Hyperlink"/>
          </w:rPr>
          <w:t>https://www.plasticsoupfoundation.org/2018/03/nieuwe-vrijstellingsregeling-zorgt-nog-meer-verspreiding-zwerfplastic/</w:t>
        </w:r>
      </w:hyperlink>
      <w:r>
        <w:t xml:space="preserve">). Een ander nadeel is dat invasieve exoten (zoals de Japanse duizendknoop) zich nu nog sneller verspreiden. Als berm- en slootmaaisel wordt vergist en daarna gecomposteerd dan wordt niet alleen groengas geproduceerd maar worden ook de plastics grotendeels verwijderd en de invasieve exoten afgedood. Het enige wat hiervoor nodig is, is dat overheden vergisting in hun aanbestedingen waarderen met gunningspunten.    </w:t>
      </w:r>
    </w:p>
    <w:p w:rsidR="0044373C" w:rsidP="0044373C" w:rsidRDefault="0044373C" w14:paraId="30F8DEF2" w14:textId="77777777">
      <w:r>
        <w:t>Van het Nederlandse gft-afval belandt nog circa de helft (1,5 miljoen ton) niet in de groene bak, maar in het restafval. Daarnaast is de vervuiling in het gft-afval dat door gemeenten wordt ingezameld de afgelopen twintig jaar verviervoudigd. Hier is nog winst te behalen voor gemeenten als zij de communicatie en dienstverlening richting burgers verder optimaliseren. En ook hier geldt dat het aan de gemeenten is om in hun aanbesteding voor de verwerking van gft-afval gunningspunten toe te kennen aan vergisting. Dit gebeurt regelmatig, maar zeker niet in alle aanbestedingen.</w:t>
      </w:r>
    </w:p>
    <w:p w:rsidRPr="00CD1E6A" w:rsidR="0044373C" w:rsidP="0044373C" w:rsidRDefault="0044373C" w14:paraId="568DC52D" w14:textId="727C07A2">
      <w:r>
        <w:t xml:space="preserve">Attero is graag bereid nadere toelichting te geven op haar zienswijze. Neem daarvoor contact op met </w:t>
      </w:r>
      <w:r w:rsidR="000B4E1A">
        <w:t xml:space="preserve">Robert Corijn: </w:t>
      </w:r>
      <w:hyperlink w:history="1" r:id="rId7">
        <w:r w:rsidRPr="00CA1007" w:rsidR="000B4E1A">
          <w:rPr>
            <w:rStyle w:val="Hyperlink"/>
          </w:rPr>
          <w:t>Robert.corijn@</w:t>
        </w:r>
        <w:bookmarkStart w:name="_GoBack" w:id="0"/>
        <w:bookmarkEnd w:id="0"/>
        <w:r w:rsidRPr="00CA1007" w:rsidR="000B4E1A">
          <w:rPr>
            <w:rStyle w:val="Hyperlink"/>
          </w:rPr>
          <w:t>attero.nl</w:t>
        </w:r>
      </w:hyperlink>
      <w:r w:rsidR="000B4E1A">
        <w:t xml:space="preserve"> of 06 15 85 70 95 </w:t>
      </w:r>
    </w:p>
    <w:sectPr w:rsidRPr="00CD1E6A" w:rsidR="0044373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4F6976"/>
    <w:multiLevelType w:val="hybridMultilevel"/>
    <w:tmpl w:val="3E0E2BC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E6A"/>
    <w:rsid w:val="000000F2"/>
    <w:rsid w:val="000B4E1A"/>
    <w:rsid w:val="001579DB"/>
    <w:rsid w:val="001B6A1D"/>
    <w:rsid w:val="0044373C"/>
    <w:rsid w:val="004A201D"/>
    <w:rsid w:val="0079758D"/>
    <w:rsid w:val="00BA0E9B"/>
    <w:rsid w:val="00BA2E4A"/>
    <w:rsid w:val="00CD1E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DA2EB"/>
  <w15:chartTrackingRefBased/>
  <w15:docId w15:val="{90580827-795D-412F-86A4-A61D25DA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D1E6A"/>
    <w:pPr>
      <w:ind w:left="720"/>
      <w:contextualSpacing/>
    </w:pPr>
  </w:style>
  <w:style w:type="character" w:styleId="Hyperlink">
    <w:name w:val="Hyperlink"/>
    <w:basedOn w:val="Standaardalinea-lettertype"/>
    <w:uiPriority w:val="99"/>
    <w:unhideWhenUsed/>
    <w:rsid w:val="0044373C"/>
    <w:rPr>
      <w:color w:val="0563C1" w:themeColor="hyperlink"/>
      <w:u w:val="single"/>
    </w:rPr>
  </w:style>
  <w:style w:type="paragraph" w:styleId="Ballontekst">
    <w:name w:val="Balloon Text"/>
    <w:basedOn w:val="Standaard"/>
    <w:link w:val="BallontekstChar"/>
    <w:uiPriority w:val="99"/>
    <w:semiHidden/>
    <w:unhideWhenUsed/>
    <w:rsid w:val="001579D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579DB"/>
    <w:rPr>
      <w:rFonts w:ascii="Segoe UI" w:hAnsi="Segoe UI" w:cs="Segoe UI"/>
      <w:sz w:val="18"/>
      <w:szCs w:val="18"/>
    </w:rPr>
  </w:style>
  <w:style w:type="character" w:styleId="Verwijzingopmerking">
    <w:name w:val="annotation reference"/>
    <w:basedOn w:val="Standaardalinea-lettertype"/>
    <w:uiPriority w:val="99"/>
    <w:semiHidden/>
    <w:unhideWhenUsed/>
    <w:rsid w:val="001579DB"/>
    <w:rPr>
      <w:sz w:val="16"/>
      <w:szCs w:val="16"/>
    </w:rPr>
  </w:style>
  <w:style w:type="paragraph" w:styleId="Tekstopmerking">
    <w:name w:val="annotation text"/>
    <w:basedOn w:val="Standaard"/>
    <w:link w:val="TekstopmerkingChar"/>
    <w:uiPriority w:val="99"/>
    <w:semiHidden/>
    <w:unhideWhenUsed/>
    <w:rsid w:val="001579D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579DB"/>
    <w:rPr>
      <w:sz w:val="20"/>
      <w:szCs w:val="20"/>
    </w:rPr>
  </w:style>
  <w:style w:type="paragraph" w:styleId="Onderwerpvanopmerking">
    <w:name w:val="annotation subject"/>
    <w:basedOn w:val="Tekstopmerking"/>
    <w:next w:val="Tekstopmerking"/>
    <w:link w:val="OnderwerpvanopmerkingChar"/>
    <w:uiPriority w:val="99"/>
    <w:semiHidden/>
    <w:unhideWhenUsed/>
    <w:rsid w:val="001579DB"/>
    <w:rPr>
      <w:b/>
      <w:bCs/>
    </w:rPr>
  </w:style>
  <w:style w:type="character" w:customStyle="1" w:styleId="OnderwerpvanopmerkingChar">
    <w:name w:val="Onderwerp van opmerking Char"/>
    <w:basedOn w:val="TekstopmerkingChar"/>
    <w:link w:val="Onderwerpvanopmerking"/>
    <w:uiPriority w:val="99"/>
    <w:semiHidden/>
    <w:rsid w:val="001579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hyperlink" Target="mailto:Robert.corijn@attero.nl" TargetMode="External" Id="rId7" /><Relationship Type="http://schemas.openxmlformats.org/officeDocument/2006/relationships/numbering" Target="numbering.xml" Id="rId2" /><Relationship Type="http://schemas.openxmlformats.org/officeDocument/2006/relationships/hyperlink" Target="https://www.plasticsoupfoundation.org/2018/03/nieuwe-vrijstellingsregeling-zorgt-nog-meer-verspreiding-zwerfplastic/" TargetMode="Externa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1460</ap:Words>
  <ap:Characters>8032</ap:Characters>
  <ap:DocSecurity>4</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2020-04-24T14:33:00.0000000Z</dcterms:created>
  <dcterms:modified xsi:type="dcterms:W3CDTF">2020-04-24T14:33:00.0000000Z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0x0101004B3AC6C483C2DD4D887929800403E354</vt:lpwstr>
  </property>
</Properties>
</file>