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1EE4" w:rsidR="00B22950" w:rsidP="00050D86" w:rsidRDefault="00050D86" w14:paraId="37719688" w14:textId="12A2C02C">
      <w:pPr>
        <w:contextualSpacing/>
        <w:rPr>
          <w:b/>
          <w:szCs w:val="16"/>
          <w:u w:val="single"/>
        </w:rPr>
      </w:pPr>
      <w:bookmarkStart w:name="_GoBack" w:id="0"/>
      <w:bookmarkEnd w:id="0"/>
      <w:r w:rsidRPr="00E81EE4">
        <w:rPr>
          <w:b/>
          <w:szCs w:val="16"/>
          <w:u w:val="single"/>
        </w:rPr>
        <w:t>Bijlage uitvoer</w:t>
      </w:r>
      <w:r w:rsidRPr="00E81EE4" w:rsidR="005472E2">
        <w:rPr>
          <w:b/>
          <w:szCs w:val="16"/>
          <w:u w:val="single"/>
        </w:rPr>
        <w:t xml:space="preserve">ing moties en toezeggingen </w:t>
      </w:r>
      <w:r w:rsidRPr="00E81EE4" w:rsidR="00692532">
        <w:rPr>
          <w:b/>
          <w:szCs w:val="16"/>
          <w:u w:val="single"/>
        </w:rPr>
        <w:t>voorjaar 2020</w:t>
      </w:r>
    </w:p>
    <w:p w:rsidRPr="00B330AF" w:rsidR="00050D86" w:rsidP="00050D86" w:rsidRDefault="00050D86" w14:paraId="1BA8ABD6" w14:textId="77777777">
      <w:pPr>
        <w:contextualSpacing/>
        <w:jc w:val="right"/>
        <w:rPr>
          <w:b/>
          <w:sz w:val="16"/>
          <w:szCs w:val="16"/>
          <w:u w:val="single"/>
        </w:rPr>
      </w:pPr>
    </w:p>
    <w:p w:rsidRPr="00B330AF" w:rsidR="00050D86" w:rsidP="00050D86" w:rsidRDefault="00CA3310" w14:paraId="30D4EEB6" w14:textId="6C9DB273">
      <w:pPr>
        <w:pStyle w:val="Lijstalinea"/>
        <w:numPr>
          <w:ilvl w:val="0"/>
          <w:numId w:val="1"/>
        </w:numPr>
        <w:rPr>
          <w:b/>
          <w:sz w:val="16"/>
          <w:szCs w:val="16"/>
        </w:rPr>
      </w:pPr>
      <w:r w:rsidRPr="00B330AF">
        <w:rPr>
          <w:b/>
          <w:sz w:val="16"/>
          <w:szCs w:val="16"/>
        </w:rPr>
        <w:t>Moties</w:t>
      </w:r>
    </w:p>
    <w:p w:rsidRPr="00B330AF" w:rsidR="00CA3310" w:rsidP="00CA3310" w:rsidRDefault="00CA3310" w14:paraId="78D3DE8F" w14:textId="77777777">
      <w:pPr>
        <w:pStyle w:val="Lijstalinea"/>
        <w:ind w:left="360"/>
        <w:rPr>
          <w:b/>
          <w:sz w:val="16"/>
          <w:szCs w:val="16"/>
        </w:rPr>
      </w:pPr>
    </w:p>
    <w:tbl>
      <w:tblPr>
        <w:tblStyle w:val="Tabelraster"/>
        <w:tblW w:w="13750" w:type="dxa"/>
        <w:tblInd w:w="108" w:type="dxa"/>
        <w:tblLayout w:type="fixed"/>
        <w:tblLook w:val="04A0" w:firstRow="1" w:lastRow="0" w:firstColumn="1" w:lastColumn="0" w:noHBand="0" w:noVBand="1"/>
      </w:tblPr>
      <w:tblGrid>
        <w:gridCol w:w="567"/>
        <w:gridCol w:w="2439"/>
        <w:gridCol w:w="2835"/>
        <w:gridCol w:w="7909"/>
      </w:tblGrid>
      <w:tr w:rsidRPr="00B330AF" w:rsidR="00050D86" w:rsidTr="00AF304A" w14:paraId="05C2FD8A" w14:textId="77777777">
        <w:tc>
          <w:tcPr>
            <w:tcW w:w="13750" w:type="dxa"/>
            <w:gridSpan w:val="4"/>
            <w:shd w:val="clear" w:color="auto" w:fill="A6A6A6" w:themeFill="background1" w:themeFillShade="A6"/>
          </w:tcPr>
          <w:p w:rsidRPr="00B330AF" w:rsidR="00050D86" w:rsidP="00AF304A" w:rsidRDefault="00050D86" w14:paraId="73D677E8" w14:textId="77777777">
            <w:pPr>
              <w:contextualSpacing/>
              <w:jc w:val="center"/>
              <w:rPr>
                <w:b/>
                <w:sz w:val="16"/>
                <w:szCs w:val="16"/>
                <w:lang w:eastAsia="zh-CN" w:bidi="hi-IN"/>
              </w:rPr>
            </w:pPr>
          </w:p>
        </w:tc>
      </w:tr>
      <w:tr w:rsidRPr="00B330AF" w:rsidR="00050D86" w:rsidTr="00737B2A" w14:paraId="70B125EF" w14:textId="77777777">
        <w:tc>
          <w:tcPr>
            <w:tcW w:w="567" w:type="dxa"/>
          </w:tcPr>
          <w:p w:rsidRPr="00B330AF" w:rsidR="00050D86" w:rsidP="009122EC" w:rsidRDefault="00050D86" w14:paraId="24854D28" w14:textId="77777777">
            <w:pPr>
              <w:spacing w:line="240" w:lineRule="atLeast"/>
              <w:contextualSpacing/>
              <w:rPr>
                <w:b/>
                <w:sz w:val="16"/>
                <w:szCs w:val="16"/>
              </w:rPr>
            </w:pPr>
            <w:r w:rsidRPr="00B330AF">
              <w:rPr>
                <w:b/>
                <w:sz w:val="16"/>
                <w:szCs w:val="16"/>
              </w:rPr>
              <w:t>Nr.</w:t>
            </w:r>
          </w:p>
        </w:tc>
        <w:tc>
          <w:tcPr>
            <w:tcW w:w="2439" w:type="dxa"/>
          </w:tcPr>
          <w:p w:rsidRPr="00390E3E" w:rsidR="00050D86" w:rsidP="009122EC" w:rsidRDefault="00050D86" w14:paraId="28EDCFF3" w14:textId="77777777">
            <w:pPr>
              <w:spacing w:line="240" w:lineRule="atLeast"/>
              <w:contextualSpacing/>
              <w:rPr>
                <w:b/>
                <w:color w:val="auto"/>
                <w:sz w:val="16"/>
                <w:szCs w:val="16"/>
              </w:rPr>
            </w:pPr>
            <w:r w:rsidRPr="00B330AF">
              <w:rPr>
                <w:b/>
                <w:sz w:val="16"/>
                <w:szCs w:val="16"/>
              </w:rPr>
              <w:t>Betreft</w:t>
            </w:r>
            <w:r w:rsidRPr="00B330AF" w:rsidR="00B22950">
              <w:rPr>
                <w:b/>
                <w:sz w:val="16"/>
                <w:szCs w:val="16"/>
              </w:rPr>
              <w:t xml:space="preserve"> </w:t>
            </w:r>
          </w:p>
          <w:p w:rsidRPr="00390E3E" w:rsidR="00B22950" w:rsidP="009122EC" w:rsidRDefault="00B22950" w14:paraId="464F5DA4" w14:textId="72BF4BCC">
            <w:pPr>
              <w:spacing w:line="240" w:lineRule="atLeast"/>
              <w:contextualSpacing/>
              <w:rPr>
                <w:i/>
                <w:color w:val="auto"/>
                <w:sz w:val="16"/>
                <w:szCs w:val="16"/>
              </w:rPr>
            </w:pPr>
          </w:p>
        </w:tc>
        <w:tc>
          <w:tcPr>
            <w:tcW w:w="2835" w:type="dxa"/>
          </w:tcPr>
          <w:p w:rsidRPr="00B330AF" w:rsidR="00050D86" w:rsidP="009122EC" w:rsidRDefault="00050D86" w14:paraId="6DC8378A" w14:textId="77777777">
            <w:pPr>
              <w:spacing w:line="240" w:lineRule="atLeast"/>
              <w:contextualSpacing/>
              <w:rPr>
                <w:b/>
                <w:sz w:val="16"/>
                <w:szCs w:val="16"/>
              </w:rPr>
            </w:pPr>
            <w:r w:rsidRPr="00B330AF">
              <w:rPr>
                <w:b/>
                <w:sz w:val="16"/>
                <w:szCs w:val="16"/>
              </w:rPr>
              <w:t>Vindplaats</w:t>
            </w:r>
            <w:r w:rsidRPr="00B330AF" w:rsidR="00B22950">
              <w:rPr>
                <w:b/>
                <w:sz w:val="16"/>
                <w:szCs w:val="16"/>
              </w:rPr>
              <w:t xml:space="preserve"> Kamerstuk </w:t>
            </w:r>
          </w:p>
          <w:p w:rsidRPr="00B330AF" w:rsidR="00B22950" w:rsidP="009122EC" w:rsidRDefault="00B22950" w14:paraId="7F297A51" w14:textId="77777777">
            <w:pPr>
              <w:spacing w:line="240" w:lineRule="atLeast"/>
              <w:contextualSpacing/>
              <w:rPr>
                <w:b/>
                <w:sz w:val="16"/>
                <w:szCs w:val="16"/>
              </w:rPr>
            </w:pPr>
          </w:p>
        </w:tc>
        <w:tc>
          <w:tcPr>
            <w:tcW w:w="7909" w:type="dxa"/>
          </w:tcPr>
          <w:p w:rsidRPr="00B330AF" w:rsidR="0041042A" w:rsidP="009122EC" w:rsidRDefault="00050D86" w14:paraId="2B40D17B" w14:textId="025BF2AD">
            <w:pPr>
              <w:spacing w:line="240" w:lineRule="atLeast"/>
              <w:contextualSpacing/>
              <w:rPr>
                <w:b/>
                <w:sz w:val="16"/>
                <w:szCs w:val="16"/>
              </w:rPr>
            </w:pPr>
            <w:r w:rsidRPr="00B330AF">
              <w:rPr>
                <w:b/>
                <w:sz w:val="16"/>
                <w:szCs w:val="16"/>
              </w:rPr>
              <w:t xml:space="preserve">Reactie </w:t>
            </w:r>
            <w:r w:rsidRPr="00B330AF" w:rsidR="0041042A">
              <w:rPr>
                <w:i/>
                <w:color w:val="FF0000"/>
                <w:sz w:val="16"/>
                <w:szCs w:val="16"/>
              </w:rPr>
              <w:t xml:space="preserve"> </w:t>
            </w:r>
          </w:p>
        </w:tc>
      </w:tr>
      <w:tr w:rsidRPr="00B330AF" w:rsidR="00C47CBD" w:rsidTr="00737B2A" w14:paraId="6F4F2DEC" w14:textId="77777777">
        <w:tc>
          <w:tcPr>
            <w:tcW w:w="567" w:type="dxa"/>
          </w:tcPr>
          <w:p w:rsidRPr="00B330AF" w:rsidR="00C47CBD" w:rsidP="009122EC" w:rsidRDefault="00C47CBD" w14:paraId="57094240" w14:textId="77777777">
            <w:pPr>
              <w:spacing w:line="240" w:lineRule="atLeast"/>
              <w:contextualSpacing/>
              <w:rPr>
                <w:sz w:val="16"/>
                <w:szCs w:val="16"/>
              </w:rPr>
            </w:pPr>
            <w:r w:rsidRPr="00B330AF">
              <w:rPr>
                <w:sz w:val="16"/>
                <w:szCs w:val="16"/>
              </w:rPr>
              <w:t>1.</w:t>
            </w:r>
          </w:p>
        </w:tc>
        <w:tc>
          <w:tcPr>
            <w:tcW w:w="2439" w:type="dxa"/>
          </w:tcPr>
          <w:p w:rsidRPr="00632773" w:rsidR="00C47CBD" w:rsidP="009122EC" w:rsidRDefault="007B3EA7" w14:paraId="193F77FB" w14:textId="618C11FE">
            <w:pPr>
              <w:spacing w:line="240" w:lineRule="atLeast"/>
              <w:contextualSpacing/>
              <w:rPr>
                <w:sz w:val="16"/>
                <w:szCs w:val="16"/>
              </w:rPr>
            </w:pPr>
            <w:r>
              <w:rPr>
                <w:sz w:val="16"/>
                <w:szCs w:val="16"/>
              </w:rPr>
              <w:t>Motie lid Nijboer: verzoekt het kabinet, in</w:t>
            </w:r>
            <w:r w:rsidRPr="00632773" w:rsidR="00632773">
              <w:rPr>
                <w:iCs/>
                <w:sz w:val="16"/>
                <w:szCs w:val="16"/>
              </w:rPr>
              <w:t xml:space="preserve"> gesprek </w:t>
            </w:r>
            <w:r>
              <w:rPr>
                <w:iCs/>
                <w:sz w:val="16"/>
                <w:szCs w:val="16"/>
              </w:rPr>
              <w:t xml:space="preserve">te </w:t>
            </w:r>
            <w:r w:rsidRPr="00632773" w:rsidR="00632773">
              <w:rPr>
                <w:iCs/>
                <w:sz w:val="16"/>
                <w:szCs w:val="16"/>
              </w:rPr>
              <w:t>gaan met banken om ervoor te zorgen dat de besparingen die gepaard gaan met minder betalingen in cash ook ten goede komen van de consumenten</w:t>
            </w:r>
          </w:p>
        </w:tc>
        <w:tc>
          <w:tcPr>
            <w:tcW w:w="2835" w:type="dxa"/>
          </w:tcPr>
          <w:p w:rsidRPr="00B330AF" w:rsidR="00C47CBD" w:rsidP="009122EC" w:rsidRDefault="00D570A9" w14:paraId="32EA8CC9" w14:textId="62EE4CBB">
            <w:pPr>
              <w:spacing w:line="240" w:lineRule="atLeast"/>
              <w:contextualSpacing/>
              <w:rPr>
                <w:sz w:val="16"/>
                <w:szCs w:val="16"/>
              </w:rPr>
            </w:pPr>
            <w:r>
              <w:rPr>
                <w:sz w:val="16"/>
                <w:szCs w:val="16"/>
              </w:rPr>
              <w:t>Debat over contant geld in de samenleving, d.d. 15 januari 2019 (Kamerstukken II 2018-2019, 27863, nr. 77)</w:t>
            </w:r>
          </w:p>
        </w:tc>
        <w:tc>
          <w:tcPr>
            <w:tcW w:w="7909" w:type="dxa"/>
          </w:tcPr>
          <w:p w:rsidRPr="00B330AF" w:rsidR="00C47CBD" w:rsidP="009122EC" w:rsidRDefault="009259F0" w14:paraId="6B27C220" w14:textId="2569CFF4">
            <w:pPr>
              <w:spacing w:line="240" w:lineRule="atLeast"/>
              <w:rPr>
                <w:sz w:val="16"/>
                <w:szCs w:val="16"/>
                <w:highlight w:val="yellow"/>
              </w:rPr>
            </w:pPr>
            <w:r>
              <w:rPr>
                <w:sz w:val="16"/>
                <w:szCs w:val="16"/>
              </w:rPr>
              <w:t>Uit</w:t>
            </w:r>
            <w:r w:rsidR="00E81EE4">
              <w:rPr>
                <w:sz w:val="16"/>
                <w:szCs w:val="16"/>
              </w:rPr>
              <w:t xml:space="preserve"> </w:t>
            </w:r>
            <w:r w:rsidR="00271945">
              <w:rPr>
                <w:sz w:val="16"/>
                <w:szCs w:val="16"/>
              </w:rPr>
              <w:t>eerdere</w:t>
            </w:r>
            <w:r>
              <w:rPr>
                <w:sz w:val="16"/>
                <w:szCs w:val="16"/>
              </w:rPr>
              <w:t xml:space="preserve"> </w:t>
            </w:r>
            <w:r w:rsidR="00E81EE4">
              <w:rPr>
                <w:sz w:val="16"/>
                <w:szCs w:val="16"/>
              </w:rPr>
              <w:t>onderzoek</w:t>
            </w:r>
            <w:r>
              <w:rPr>
                <w:sz w:val="16"/>
                <w:szCs w:val="16"/>
              </w:rPr>
              <w:t>en naar</w:t>
            </w:r>
            <w:r w:rsidR="00E81EE4">
              <w:rPr>
                <w:sz w:val="16"/>
                <w:szCs w:val="16"/>
              </w:rPr>
              <w:t xml:space="preserve"> de kosten en winstgevendheid van het betalingsve</w:t>
            </w:r>
            <w:r w:rsidR="00C505A5">
              <w:rPr>
                <w:sz w:val="16"/>
                <w:szCs w:val="16"/>
              </w:rPr>
              <w:t xml:space="preserve">rkeer over </w:t>
            </w:r>
            <w:r>
              <w:rPr>
                <w:sz w:val="16"/>
                <w:szCs w:val="16"/>
              </w:rPr>
              <w:t xml:space="preserve">2005 en 2010 bleek dat </w:t>
            </w:r>
            <w:r w:rsidR="00E81EE4">
              <w:rPr>
                <w:sz w:val="16"/>
                <w:szCs w:val="16"/>
              </w:rPr>
              <w:t>h</w:t>
            </w:r>
            <w:r w:rsidR="004E08F6">
              <w:rPr>
                <w:sz w:val="16"/>
                <w:szCs w:val="16"/>
              </w:rPr>
              <w:t>et betalingsverkeer in Nederland</w:t>
            </w:r>
            <w:r>
              <w:rPr>
                <w:sz w:val="16"/>
                <w:szCs w:val="16"/>
              </w:rPr>
              <w:t xml:space="preserve"> </w:t>
            </w:r>
            <w:r w:rsidR="00E81EE4">
              <w:rPr>
                <w:sz w:val="16"/>
                <w:szCs w:val="16"/>
              </w:rPr>
              <w:t>ongeveer kostendekkend was</w:t>
            </w:r>
            <w:r w:rsidRPr="00B330AF" w:rsidR="00B330AF">
              <w:rPr>
                <w:sz w:val="16"/>
                <w:szCs w:val="16"/>
              </w:rPr>
              <w:t>.</w:t>
            </w:r>
            <w:r w:rsidRPr="00B330AF" w:rsidR="00B330AF">
              <w:rPr>
                <w:rStyle w:val="Voetnootmarkering"/>
                <w:sz w:val="16"/>
                <w:szCs w:val="16"/>
              </w:rPr>
              <w:footnoteReference w:id="1"/>
            </w:r>
            <w:r w:rsidRPr="00B330AF" w:rsidR="00B330AF">
              <w:rPr>
                <w:sz w:val="16"/>
                <w:szCs w:val="16"/>
              </w:rPr>
              <w:t xml:space="preserve"> In 2020 heeft </w:t>
            </w:r>
            <w:r w:rsidR="00D74F62">
              <w:rPr>
                <w:sz w:val="16"/>
                <w:szCs w:val="16"/>
              </w:rPr>
              <w:t>De Nederlandse Bank (</w:t>
            </w:r>
            <w:r w:rsidRPr="00B330AF" w:rsidR="00B330AF">
              <w:rPr>
                <w:sz w:val="16"/>
                <w:szCs w:val="16"/>
              </w:rPr>
              <w:t>DNB</w:t>
            </w:r>
            <w:r w:rsidR="00D74F62">
              <w:rPr>
                <w:sz w:val="16"/>
                <w:szCs w:val="16"/>
              </w:rPr>
              <w:t>)</w:t>
            </w:r>
            <w:r w:rsidRPr="00B330AF" w:rsidR="00B330AF">
              <w:rPr>
                <w:sz w:val="16"/>
                <w:szCs w:val="16"/>
              </w:rPr>
              <w:t xml:space="preserve"> het rapport ‘Veranderen voor vertrouwen: lenen, sparen en betalen in het datatijdperk’ gepubliceerd. In dit rapport maakt DNB de inschatting dat het betalingsverkeer in Nederland op dit moment verlieslatend is.</w:t>
            </w:r>
            <w:r w:rsidRPr="00B330AF" w:rsidR="00B330AF">
              <w:rPr>
                <w:rStyle w:val="Voetnootmarkering"/>
                <w:sz w:val="16"/>
                <w:szCs w:val="16"/>
              </w:rPr>
              <w:footnoteReference w:id="2"/>
            </w:r>
            <w:r w:rsidRPr="00B330AF" w:rsidR="00B330AF">
              <w:rPr>
                <w:sz w:val="16"/>
                <w:szCs w:val="16"/>
              </w:rPr>
              <w:t xml:space="preserve"> </w:t>
            </w:r>
            <w:r w:rsidR="002222E2">
              <w:rPr>
                <w:sz w:val="16"/>
                <w:szCs w:val="16"/>
              </w:rPr>
              <w:t xml:space="preserve">Volgens </w:t>
            </w:r>
            <w:r w:rsidRPr="00B330AF" w:rsidR="00B330AF">
              <w:rPr>
                <w:sz w:val="16"/>
                <w:szCs w:val="16"/>
              </w:rPr>
              <w:t xml:space="preserve">DNB </w:t>
            </w:r>
            <w:r w:rsidR="002222E2">
              <w:rPr>
                <w:sz w:val="16"/>
                <w:szCs w:val="16"/>
              </w:rPr>
              <w:t xml:space="preserve">zijn </w:t>
            </w:r>
            <w:r w:rsidRPr="00B330AF" w:rsidR="00B330AF">
              <w:rPr>
                <w:sz w:val="16"/>
                <w:szCs w:val="16"/>
              </w:rPr>
              <w:t xml:space="preserve">de opbrengsten van </w:t>
            </w:r>
            <w:r w:rsidR="00D74F62">
              <w:rPr>
                <w:sz w:val="16"/>
                <w:szCs w:val="16"/>
              </w:rPr>
              <w:t xml:space="preserve">de </w:t>
            </w:r>
            <w:r w:rsidRPr="00B330AF" w:rsidR="00B330AF">
              <w:rPr>
                <w:sz w:val="16"/>
                <w:szCs w:val="16"/>
              </w:rPr>
              <w:t>banken de afgelopen jaren gestegen door onder andere de stijging van tarieven en door kostenbesparingen die gepaard gaa</w:t>
            </w:r>
            <w:r w:rsidR="002222E2">
              <w:rPr>
                <w:sz w:val="16"/>
                <w:szCs w:val="16"/>
              </w:rPr>
              <w:t xml:space="preserve">n met minder betalingen in cash. </w:t>
            </w:r>
            <w:r w:rsidR="002369E5">
              <w:rPr>
                <w:sz w:val="16"/>
                <w:szCs w:val="16"/>
              </w:rPr>
              <w:t>Echte</w:t>
            </w:r>
            <w:r w:rsidR="00200297">
              <w:rPr>
                <w:sz w:val="16"/>
                <w:szCs w:val="16"/>
              </w:rPr>
              <w:t>r</w:t>
            </w:r>
            <w:r>
              <w:rPr>
                <w:sz w:val="16"/>
                <w:szCs w:val="16"/>
              </w:rPr>
              <w:t xml:space="preserve"> zijn </w:t>
            </w:r>
            <w:r w:rsidR="00737B2A">
              <w:rPr>
                <w:sz w:val="16"/>
                <w:szCs w:val="16"/>
              </w:rPr>
              <w:t xml:space="preserve">volgens DNB </w:t>
            </w:r>
            <w:r>
              <w:rPr>
                <w:sz w:val="16"/>
                <w:szCs w:val="16"/>
              </w:rPr>
              <w:t xml:space="preserve">de kosten </w:t>
            </w:r>
            <w:r w:rsidR="00B63AFC">
              <w:rPr>
                <w:sz w:val="16"/>
                <w:szCs w:val="16"/>
              </w:rPr>
              <w:t xml:space="preserve">die banken </w:t>
            </w:r>
            <w:r w:rsidR="00C505A5">
              <w:rPr>
                <w:sz w:val="16"/>
                <w:szCs w:val="16"/>
              </w:rPr>
              <w:t xml:space="preserve">de afgelopen jaren </w:t>
            </w:r>
            <w:r w:rsidR="00B63AFC">
              <w:rPr>
                <w:sz w:val="16"/>
                <w:szCs w:val="16"/>
              </w:rPr>
              <w:t>hebben gemaakt meer toegenomen door de investeringe</w:t>
            </w:r>
            <w:r w:rsidR="00C505A5">
              <w:rPr>
                <w:sz w:val="16"/>
                <w:szCs w:val="16"/>
              </w:rPr>
              <w:t>n die zij hebben gedaan</w:t>
            </w:r>
            <w:r w:rsidR="00071AC0">
              <w:rPr>
                <w:sz w:val="16"/>
                <w:szCs w:val="16"/>
              </w:rPr>
              <w:t xml:space="preserve"> voor onder andere</w:t>
            </w:r>
            <w:r w:rsidR="00D74F62">
              <w:rPr>
                <w:sz w:val="16"/>
                <w:szCs w:val="16"/>
              </w:rPr>
              <w:t xml:space="preserve"> </w:t>
            </w:r>
            <w:r w:rsidR="00C505A5">
              <w:rPr>
                <w:sz w:val="16"/>
                <w:szCs w:val="16"/>
              </w:rPr>
              <w:t xml:space="preserve">de </w:t>
            </w:r>
            <w:r w:rsidR="00B63AFC">
              <w:rPr>
                <w:sz w:val="16"/>
                <w:szCs w:val="16"/>
              </w:rPr>
              <w:t xml:space="preserve">overgang </w:t>
            </w:r>
            <w:r w:rsidR="00C505A5">
              <w:rPr>
                <w:sz w:val="16"/>
                <w:szCs w:val="16"/>
              </w:rPr>
              <w:t>op IBAN en</w:t>
            </w:r>
            <w:r w:rsidR="00B63AFC">
              <w:rPr>
                <w:sz w:val="16"/>
                <w:szCs w:val="16"/>
              </w:rPr>
              <w:t xml:space="preserve"> </w:t>
            </w:r>
            <w:r w:rsidR="00D74F62">
              <w:rPr>
                <w:sz w:val="16"/>
                <w:szCs w:val="16"/>
              </w:rPr>
              <w:t xml:space="preserve">voor </w:t>
            </w:r>
            <w:r w:rsidR="00C505A5">
              <w:rPr>
                <w:sz w:val="16"/>
                <w:szCs w:val="16"/>
              </w:rPr>
              <w:t xml:space="preserve">de invoering van </w:t>
            </w:r>
            <w:r w:rsidR="00B63AFC">
              <w:rPr>
                <w:sz w:val="16"/>
                <w:szCs w:val="16"/>
              </w:rPr>
              <w:t>PSD2</w:t>
            </w:r>
            <w:r w:rsidR="00D74F62">
              <w:rPr>
                <w:sz w:val="16"/>
                <w:szCs w:val="16"/>
              </w:rPr>
              <w:t xml:space="preserve"> en instant payment</w:t>
            </w:r>
            <w:r w:rsidR="00071AC0">
              <w:rPr>
                <w:sz w:val="16"/>
                <w:szCs w:val="16"/>
              </w:rPr>
              <w:t>s</w:t>
            </w:r>
            <w:r w:rsidRPr="00B330AF" w:rsidR="00B330AF">
              <w:rPr>
                <w:sz w:val="16"/>
                <w:szCs w:val="16"/>
              </w:rPr>
              <w:t>.</w:t>
            </w:r>
            <w:r w:rsidR="0066350A">
              <w:rPr>
                <w:sz w:val="16"/>
                <w:szCs w:val="16"/>
              </w:rPr>
              <w:t xml:space="preserve"> </w:t>
            </w:r>
            <w:r w:rsidR="00ED77A3">
              <w:rPr>
                <w:sz w:val="16"/>
                <w:szCs w:val="16"/>
              </w:rPr>
              <w:t>Daarnaast</w:t>
            </w:r>
            <w:r w:rsidRPr="00B330AF" w:rsidR="00B330AF">
              <w:rPr>
                <w:sz w:val="16"/>
                <w:szCs w:val="16"/>
              </w:rPr>
              <w:t xml:space="preserve"> is een belangrijke inkomstenbron voor banken, namelijk de rente die zij ontvangen op het uitzett</w:t>
            </w:r>
            <w:r w:rsidR="00ED77A3">
              <w:rPr>
                <w:sz w:val="16"/>
                <w:szCs w:val="16"/>
              </w:rPr>
              <w:t xml:space="preserve">en van betaalsaldi, afgenomen. </w:t>
            </w:r>
          </w:p>
        </w:tc>
      </w:tr>
    </w:tbl>
    <w:p w:rsidRPr="00B330AF" w:rsidR="00050D86" w:rsidP="009122EC" w:rsidRDefault="00050D86" w14:paraId="5B728DFD" w14:textId="67ADD911">
      <w:pPr>
        <w:spacing w:line="240" w:lineRule="atLeast"/>
        <w:rPr>
          <w:b/>
          <w:sz w:val="16"/>
          <w:szCs w:val="16"/>
        </w:rPr>
      </w:pPr>
    </w:p>
    <w:p w:rsidRPr="00B330AF" w:rsidR="00050D86" w:rsidP="009122EC" w:rsidRDefault="00050D86" w14:paraId="54BE031E" w14:textId="77777777">
      <w:pPr>
        <w:spacing w:line="240" w:lineRule="atLeast"/>
        <w:rPr>
          <w:b/>
          <w:sz w:val="16"/>
          <w:szCs w:val="16"/>
        </w:rPr>
      </w:pPr>
    </w:p>
    <w:p w:rsidRPr="00B330AF" w:rsidR="00050D86" w:rsidP="009122EC" w:rsidRDefault="00050D86" w14:paraId="188A786F" w14:textId="247ED7DA">
      <w:pPr>
        <w:pStyle w:val="Lijstalinea"/>
        <w:numPr>
          <w:ilvl w:val="0"/>
          <w:numId w:val="1"/>
        </w:numPr>
        <w:rPr>
          <w:b/>
          <w:sz w:val="16"/>
          <w:szCs w:val="16"/>
        </w:rPr>
      </w:pPr>
      <w:r w:rsidRPr="00B330AF">
        <w:rPr>
          <w:b/>
          <w:sz w:val="16"/>
          <w:szCs w:val="16"/>
        </w:rPr>
        <w:t>Toezeggingen</w:t>
      </w:r>
    </w:p>
    <w:p w:rsidRPr="00B330AF" w:rsidR="00CA3310" w:rsidP="009122EC" w:rsidRDefault="00CA3310" w14:paraId="312B9865" w14:textId="77777777">
      <w:pPr>
        <w:pStyle w:val="Lijstalinea"/>
        <w:ind w:left="360"/>
        <w:rPr>
          <w:b/>
          <w:sz w:val="16"/>
          <w:szCs w:val="16"/>
        </w:rPr>
      </w:pPr>
    </w:p>
    <w:tbl>
      <w:tblPr>
        <w:tblStyle w:val="Tabelraster"/>
        <w:tblW w:w="13750" w:type="dxa"/>
        <w:tblInd w:w="108" w:type="dxa"/>
        <w:tblLayout w:type="fixed"/>
        <w:tblLook w:val="04A0" w:firstRow="1" w:lastRow="0" w:firstColumn="1" w:lastColumn="0" w:noHBand="0" w:noVBand="1"/>
      </w:tblPr>
      <w:tblGrid>
        <w:gridCol w:w="567"/>
        <w:gridCol w:w="2439"/>
        <w:gridCol w:w="2835"/>
        <w:gridCol w:w="7909"/>
      </w:tblGrid>
      <w:tr w:rsidRPr="00B330AF" w:rsidR="00050D86" w:rsidTr="00AF304A" w14:paraId="55EFCC96" w14:textId="77777777">
        <w:tc>
          <w:tcPr>
            <w:tcW w:w="13750" w:type="dxa"/>
            <w:gridSpan w:val="4"/>
            <w:shd w:val="clear" w:color="auto" w:fill="A6A6A6" w:themeFill="background1" w:themeFillShade="A6"/>
          </w:tcPr>
          <w:p w:rsidRPr="00B330AF" w:rsidR="00050D86" w:rsidP="009122EC" w:rsidRDefault="00050D86" w14:paraId="133AE855" w14:textId="77777777">
            <w:pPr>
              <w:spacing w:line="240" w:lineRule="atLeast"/>
              <w:contextualSpacing/>
              <w:jc w:val="center"/>
              <w:rPr>
                <w:b/>
                <w:sz w:val="16"/>
                <w:szCs w:val="16"/>
                <w:lang w:eastAsia="zh-CN" w:bidi="hi-IN"/>
              </w:rPr>
            </w:pPr>
          </w:p>
        </w:tc>
      </w:tr>
      <w:tr w:rsidRPr="00B330AF" w:rsidR="00050D86" w:rsidTr="00737B2A" w14:paraId="0C04341B" w14:textId="77777777">
        <w:trPr>
          <w:trHeight w:val="477"/>
        </w:trPr>
        <w:tc>
          <w:tcPr>
            <w:tcW w:w="567" w:type="dxa"/>
          </w:tcPr>
          <w:p w:rsidRPr="00B330AF" w:rsidR="00050D86" w:rsidP="009122EC" w:rsidRDefault="00050D86" w14:paraId="6B8869CF" w14:textId="77777777">
            <w:pPr>
              <w:spacing w:line="240" w:lineRule="atLeast"/>
              <w:contextualSpacing/>
              <w:rPr>
                <w:b/>
                <w:sz w:val="16"/>
                <w:szCs w:val="16"/>
              </w:rPr>
            </w:pPr>
            <w:r w:rsidRPr="00B330AF">
              <w:rPr>
                <w:b/>
                <w:sz w:val="16"/>
                <w:szCs w:val="16"/>
              </w:rPr>
              <w:t>Nr.</w:t>
            </w:r>
          </w:p>
        </w:tc>
        <w:tc>
          <w:tcPr>
            <w:tcW w:w="2439" w:type="dxa"/>
          </w:tcPr>
          <w:p w:rsidRPr="00B330AF" w:rsidR="0041042A" w:rsidP="009122EC" w:rsidRDefault="00632773" w14:paraId="7D608432" w14:textId="613EAD2F">
            <w:pPr>
              <w:spacing w:line="240" w:lineRule="atLeast"/>
              <w:contextualSpacing/>
              <w:rPr>
                <w:b/>
                <w:sz w:val="16"/>
                <w:szCs w:val="16"/>
              </w:rPr>
            </w:pPr>
            <w:r>
              <w:rPr>
                <w:b/>
                <w:sz w:val="16"/>
                <w:szCs w:val="16"/>
              </w:rPr>
              <w:t>Betreft</w:t>
            </w:r>
          </w:p>
        </w:tc>
        <w:tc>
          <w:tcPr>
            <w:tcW w:w="2835" w:type="dxa"/>
          </w:tcPr>
          <w:p w:rsidRPr="00632773" w:rsidR="00053029" w:rsidP="009122EC" w:rsidRDefault="00050D86" w14:paraId="3B58D5CF" w14:textId="0DD9F03E">
            <w:pPr>
              <w:spacing w:line="240" w:lineRule="atLeast"/>
              <w:contextualSpacing/>
              <w:rPr>
                <w:b/>
                <w:sz w:val="16"/>
                <w:szCs w:val="16"/>
              </w:rPr>
            </w:pPr>
            <w:r w:rsidRPr="00B330AF">
              <w:rPr>
                <w:b/>
                <w:sz w:val="16"/>
                <w:szCs w:val="16"/>
              </w:rPr>
              <w:t>Vindplaats</w:t>
            </w:r>
          </w:p>
          <w:p w:rsidRPr="00B330AF" w:rsidR="0041042A" w:rsidP="009122EC" w:rsidRDefault="0041042A" w14:paraId="62C53CDF" w14:textId="77777777">
            <w:pPr>
              <w:spacing w:line="240" w:lineRule="atLeast"/>
              <w:contextualSpacing/>
              <w:rPr>
                <w:b/>
                <w:sz w:val="16"/>
                <w:szCs w:val="16"/>
              </w:rPr>
            </w:pPr>
          </w:p>
        </w:tc>
        <w:tc>
          <w:tcPr>
            <w:tcW w:w="7909" w:type="dxa"/>
          </w:tcPr>
          <w:p w:rsidRPr="00632773" w:rsidR="0041042A" w:rsidP="009122EC" w:rsidRDefault="00050D86" w14:paraId="4C91AF70" w14:textId="6FD2B194">
            <w:pPr>
              <w:spacing w:line="240" w:lineRule="atLeast"/>
              <w:contextualSpacing/>
              <w:rPr>
                <w:b/>
                <w:sz w:val="16"/>
                <w:szCs w:val="16"/>
              </w:rPr>
            </w:pPr>
            <w:r w:rsidRPr="00B330AF">
              <w:rPr>
                <w:b/>
                <w:sz w:val="16"/>
                <w:szCs w:val="16"/>
              </w:rPr>
              <w:t xml:space="preserve">Reactie </w:t>
            </w:r>
          </w:p>
        </w:tc>
      </w:tr>
      <w:tr w:rsidRPr="00B330AF" w:rsidR="00B66D60" w:rsidTr="00737B2A" w14:paraId="53DDF39B" w14:textId="77777777">
        <w:tc>
          <w:tcPr>
            <w:tcW w:w="567" w:type="dxa"/>
          </w:tcPr>
          <w:p w:rsidRPr="00B330AF" w:rsidR="00B66D60" w:rsidP="009122EC" w:rsidRDefault="004B636A" w14:paraId="63B1728F" w14:textId="50CCDA2E">
            <w:pPr>
              <w:spacing w:line="240" w:lineRule="atLeast"/>
              <w:contextualSpacing/>
              <w:rPr>
                <w:sz w:val="16"/>
                <w:szCs w:val="16"/>
              </w:rPr>
            </w:pPr>
            <w:r w:rsidRPr="00B330AF">
              <w:rPr>
                <w:sz w:val="16"/>
                <w:szCs w:val="16"/>
              </w:rPr>
              <w:t>1</w:t>
            </w:r>
            <w:r w:rsidRPr="00B330AF" w:rsidR="00B66D60">
              <w:rPr>
                <w:sz w:val="16"/>
                <w:szCs w:val="16"/>
              </w:rPr>
              <w:t>.</w:t>
            </w:r>
          </w:p>
        </w:tc>
        <w:tc>
          <w:tcPr>
            <w:tcW w:w="2439" w:type="dxa"/>
            <w:tcBorders>
              <w:bottom w:val="single" w:color="auto" w:sz="4" w:space="0"/>
            </w:tcBorders>
          </w:tcPr>
          <w:p w:rsidRPr="00B330AF" w:rsidR="00B66D60" w:rsidP="009122EC" w:rsidRDefault="000550D0" w14:paraId="2984C918" w14:textId="361278A6">
            <w:pPr>
              <w:spacing w:line="240" w:lineRule="atLeast"/>
              <w:rPr>
                <w:sz w:val="16"/>
                <w:szCs w:val="16"/>
              </w:rPr>
            </w:pPr>
            <w:r w:rsidRPr="00B330AF">
              <w:rPr>
                <w:sz w:val="16"/>
                <w:szCs w:val="16"/>
              </w:rPr>
              <w:t xml:space="preserve">Nagaan waarom het zilvervlootsparen op basis van de Jeugdspaarwet is afgeschaft </w:t>
            </w:r>
          </w:p>
        </w:tc>
        <w:tc>
          <w:tcPr>
            <w:tcW w:w="2835" w:type="dxa"/>
            <w:tcBorders>
              <w:bottom w:val="single" w:color="auto" w:sz="4" w:space="0"/>
            </w:tcBorders>
          </w:tcPr>
          <w:p w:rsidRPr="00B330AF" w:rsidR="00B66D60" w:rsidP="009122EC" w:rsidRDefault="000550D0" w14:paraId="66235BD5" w14:textId="6E95EF85">
            <w:pPr>
              <w:spacing w:line="240" w:lineRule="atLeast"/>
              <w:contextualSpacing/>
              <w:rPr>
                <w:sz w:val="16"/>
                <w:szCs w:val="16"/>
              </w:rPr>
            </w:pPr>
            <w:r w:rsidRPr="00B330AF">
              <w:rPr>
                <w:sz w:val="16"/>
                <w:szCs w:val="16"/>
              </w:rPr>
              <w:t xml:space="preserve">AO Financiële markten, d.d. 15 januari 2020 </w:t>
            </w:r>
            <w:r w:rsidR="00F25BFE">
              <w:rPr>
                <w:sz w:val="16"/>
                <w:szCs w:val="16"/>
              </w:rPr>
              <w:t>(Kamerstukken II 2019-2020, 32013, nr. 234)</w:t>
            </w:r>
          </w:p>
        </w:tc>
        <w:tc>
          <w:tcPr>
            <w:tcW w:w="7909" w:type="dxa"/>
            <w:tcBorders>
              <w:bottom w:val="single" w:color="auto" w:sz="4" w:space="0"/>
            </w:tcBorders>
          </w:tcPr>
          <w:p w:rsidR="000550D0" w:rsidP="009122EC" w:rsidRDefault="000550D0" w14:paraId="385079E8" w14:textId="69FFE331">
            <w:pPr>
              <w:spacing w:line="240" w:lineRule="atLeast"/>
              <w:rPr>
                <w:sz w:val="16"/>
                <w:szCs w:val="16"/>
              </w:rPr>
            </w:pPr>
            <w:r w:rsidRPr="00B330AF">
              <w:rPr>
                <w:sz w:val="16"/>
                <w:szCs w:val="16"/>
              </w:rPr>
              <w:t xml:space="preserve">Naar aanleiding van de discussie over negatieve rente had het lid Ronnes (CDA) een vraag over het zogenoemde zilvervlootsparen op basis van de Jeugdspaarwet, die </w:t>
            </w:r>
            <w:r w:rsidR="00737B2A">
              <w:rPr>
                <w:sz w:val="16"/>
                <w:szCs w:val="16"/>
              </w:rPr>
              <w:t xml:space="preserve">bestond </w:t>
            </w:r>
            <w:r w:rsidRPr="00B330AF">
              <w:rPr>
                <w:sz w:val="16"/>
                <w:szCs w:val="16"/>
              </w:rPr>
              <w:t>tussen 1958 en 1992.</w:t>
            </w:r>
            <w:r w:rsidRPr="00B330AF">
              <w:rPr>
                <w:sz w:val="16"/>
                <w:szCs w:val="16"/>
                <w:vertAlign w:val="superscript"/>
              </w:rPr>
              <w:footnoteReference w:id="3"/>
            </w:r>
            <w:r w:rsidRPr="00B330AF">
              <w:rPr>
                <w:sz w:val="16"/>
                <w:szCs w:val="16"/>
              </w:rPr>
              <w:t xml:space="preserve"> Tijdens het algemeen overleg heb ik toegezegd na te gaan waarom de Jeugdspaarwet destijds is afgeschaft. </w:t>
            </w:r>
          </w:p>
          <w:p w:rsidRPr="00B330AF" w:rsidR="002B0610" w:rsidP="009122EC" w:rsidRDefault="002B0610" w14:paraId="4A50A09C" w14:textId="77777777">
            <w:pPr>
              <w:spacing w:line="240" w:lineRule="atLeast"/>
              <w:rPr>
                <w:sz w:val="16"/>
                <w:szCs w:val="16"/>
              </w:rPr>
            </w:pPr>
          </w:p>
          <w:p w:rsidRPr="00B330AF" w:rsidR="000550D0" w:rsidP="009122EC" w:rsidRDefault="000550D0" w14:paraId="02619586" w14:textId="7C57E350">
            <w:pPr>
              <w:spacing w:line="240" w:lineRule="atLeast"/>
              <w:rPr>
                <w:sz w:val="16"/>
                <w:szCs w:val="16"/>
              </w:rPr>
            </w:pPr>
            <w:r w:rsidRPr="00B330AF">
              <w:rPr>
                <w:sz w:val="16"/>
                <w:szCs w:val="16"/>
              </w:rPr>
              <w:t>Op grond van de Jeugdspaarwet kregen jongeren een eenmalige spaarpremie van 10% van de staat. De wet werd ingevoerd in de naoorlogse periode van wederopbou</w:t>
            </w:r>
            <w:r w:rsidR="002B0610">
              <w:rPr>
                <w:sz w:val="16"/>
                <w:szCs w:val="16"/>
              </w:rPr>
              <w:t xml:space="preserve">w toen de welvaart zich op een </w:t>
            </w:r>
            <w:r w:rsidRPr="00B330AF">
              <w:rPr>
                <w:sz w:val="16"/>
                <w:szCs w:val="16"/>
              </w:rPr>
              <w:t>relatief laag niveau bevond. De wet had een met name educatief oogmerk om de spaarzin bij de</w:t>
            </w:r>
            <w:r w:rsidR="00737B2A">
              <w:rPr>
                <w:sz w:val="16"/>
                <w:szCs w:val="16"/>
              </w:rPr>
              <w:t xml:space="preserve"> jeugd te bevorderen. In 1991 werden bij het voorstel om de Jeugdspaarwet in te trekken </w:t>
            </w:r>
            <w:r w:rsidRPr="00B330AF">
              <w:rPr>
                <w:sz w:val="16"/>
                <w:szCs w:val="16"/>
              </w:rPr>
              <w:t>de volgende redenen</w:t>
            </w:r>
            <w:r w:rsidR="00737B2A">
              <w:rPr>
                <w:sz w:val="16"/>
                <w:szCs w:val="16"/>
              </w:rPr>
              <w:t xml:space="preserve"> gegeven</w:t>
            </w:r>
            <w:r w:rsidRPr="00B330AF">
              <w:rPr>
                <w:sz w:val="16"/>
                <w:szCs w:val="16"/>
              </w:rPr>
              <w:t xml:space="preserve">: </w:t>
            </w:r>
          </w:p>
          <w:p w:rsidRPr="00B330AF" w:rsidR="000550D0" w:rsidP="009122EC" w:rsidRDefault="000550D0" w14:paraId="74B1D9CB" w14:textId="77777777">
            <w:pPr>
              <w:spacing w:line="240" w:lineRule="atLeast"/>
              <w:rPr>
                <w:sz w:val="16"/>
                <w:szCs w:val="16"/>
              </w:rPr>
            </w:pPr>
            <w:r w:rsidRPr="00B330AF">
              <w:rPr>
                <w:sz w:val="16"/>
                <w:szCs w:val="16"/>
              </w:rPr>
              <w:lastRenderedPageBreak/>
              <w:t>- het productaanbod van banken bevat een groot aanbod van gevarieerde spaarvormen, waaronder ook termijnsparen;</w:t>
            </w:r>
          </w:p>
          <w:p w:rsidRPr="00B330AF" w:rsidR="000550D0" w:rsidP="009122EC" w:rsidRDefault="000550D0" w14:paraId="65FD2FB7" w14:textId="77777777">
            <w:pPr>
              <w:spacing w:line="240" w:lineRule="atLeast"/>
              <w:rPr>
                <w:sz w:val="16"/>
                <w:szCs w:val="16"/>
              </w:rPr>
            </w:pPr>
            <w:r w:rsidRPr="00B330AF">
              <w:rPr>
                <w:sz w:val="16"/>
                <w:szCs w:val="16"/>
              </w:rPr>
              <w:t>- de financiële positie van jongeren verschilt sterk van die ten tijde van de introductie van de Jeugdspaarwet;</w:t>
            </w:r>
          </w:p>
          <w:p w:rsidR="002B0610" w:rsidP="009122EC" w:rsidRDefault="000550D0" w14:paraId="7D6759B5" w14:textId="3FC065FC">
            <w:pPr>
              <w:spacing w:line="240" w:lineRule="atLeast"/>
              <w:rPr>
                <w:sz w:val="16"/>
                <w:szCs w:val="16"/>
              </w:rPr>
            </w:pPr>
            <w:r w:rsidRPr="00B330AF">
              <w:rPr>
                <w:sz w:val="16"/>
                <w:szCs w:val="16"/>
              </w:rPr>
              <w:t>- het beëindigen van een open-einde premieregeling verbetert de beheersbaarheid van rijskuitgaven.</w:t>
            </w:r>
            <w:r w:rsidRPr="00B330AF">
              <w:rPr>
                <w:sz w:val="16"/>
                <w:szCs w:val="16"/>
                <w:vertAlign w:val="superscript"/>
              </w:rPr>
              <w:footnoteReference w:id="4"/>
            </w:r>
            <w:r w:rsidRPr="00B330AF">
              <w:rPr>
                <w:sz w:val="16"/>
                <w:szCs w:val="16"/>
              </w:rPr>
              <w:t xml:space="preserve"> </w:t>
            </w:r>
          </w:p>
          <w:p w:rsidRPr="00B330AF" w:rsidR="000550D0" w:rsidP="009122EC" w:rsidRDefault="000550D0" w14:paraId="071C481D" w14:textId="791988C9">
            <w:pPr>
              <w:spacing w:line="240" w:lineRule="atLeast"/>
              <w:rPr>
                <w:sz w:val="16"/>
                <w:szCs w:val="16"/>
              </w:rPr>
            </w:pPr>
            <w:r w:rsidRPr="00B330AF">
              <w:rPr>
                <w:sz w:val="16"/>
                <w:szCs w:val="16"/>
              </w:rPr>
              <w:t xml:space="preserve">Door de leden Sterk en Ortega-Martijn (CDA) is in 2012 een </w:t>
            </w:r>
            <w:r w:rsidR="00737B2A">
              <w:rPr>
                <w:sz w:val="16"/>
                <w:szCs w:val="16"/>
              </w:rPr>
              <w:t>initiatiefvoorstel gedaan om</w:t>
            </w:r>
            <w:r w:rsidRPr="00B330AF">
              <w:rPr>
                <w:sz w:val="16"/>
                <w:szCs w:val="16"/>
              </w:rPr>
              <w:t xml:space="preserve"> zilvervlootsparen te herintroduceren.</w:t>
            </w:r>
            <w:r w:rsidRPr="00B330AF">
              <w:rPr>
                <w:sz w:val="16"/>
                <w:szCs w:val="16"/>
                <w:vertAlign w:val="superscript"/>
              </w:rPr>
              <w:footnoteReference w:id="5"/>
            </w:r>
            <w:r w:rsidRPr="00B330AF">
              <w:rPr>
                <w:sz w:val="16"/>
                <w:szCs w:val="16"/>
              </w:rPr>
              <w:t xml:space="preserve"> De Afdeling advisering van de Raad van State stelde dat de redenen van afschaffing van </w:t>
            </w:r>
            <w:r w:rsidR="009122EC">
              <w:rPr>
                <w:sz w:val="16"/>
                <w:szCs w:val="16"/>
              </w:rPr>
              <w:t>de Jeugdspaarwet in de jaren negentig</w:t>
            </w:r>
            <w:r w:rsidRPr="00B330AF">
              <w:rPr>
                <w:sz w:val="16"/>
                <w:szCs w:val="16"/>
              </w:rPr>
              <w:t xml:space="preserve"> - zoals hierboven op</w:t>
            </w:r>
            <w:r w:rsidR="00737B2A">
              <w:rPr>
                <w:sz w:val="16"/>
                <w:szCs w:val="16"/>
              </w:rPr>
              <w:t>gesomd - hun gelding niet hadden</w:t>
            </w:r>
            <w:r w:rsidRPr="00B330AF">
              <w:rPr>
                <w:sz w:val="16"/>
                <w:szCs w:val="16"/>
              </w:rPr>
              <w:t xml:space="preserve"> verloren. Ook voorzag de Afdeling advisering dat het initiatiefvoorstel moeilijk te verenigen zou zijn met het vrij verkeer van diensten.</w:t>
            </w:r>
            <w:r w:rsidRPr="00B330AF">
              <w:rPr>
                <w:sz w:val="16"/>
                <w:szCs w:val="16"/>
                <w:vertAlign w:val="superscript"/>
              </w:rPr>
              <w:footnoteReference w:id="6"/>
            </w:r>
            <w:r w:rsidRPr="00B330AF">
              <w:rPr>
                <w:sz w:val="16"/>
                <w:szCs w:val="16"/>
              </w:rPr>
              <w:t xml:space="preserve"> Het voorstel werd na het advies van de Afdeling ingetrokken.</w:t>
            </w:r>
            <w:r w:rsidRPr="00B330AF">
              <w:rPr>
                <w:sz w:val="16"/>
                <w:szCs w:val="16"/>
                <w:vertAlign w:val="superscript"/>
              </w:rPr>
              <w:footnoteReference w:id="7"/>
            </w:r>
            <w:r w:rsidRPr="00B330AF">
              <w:rPr>
                <w:sz w:val="16"/>
                <w:szCs w:val="16"/>
              </w:rPr>
              <w:t xml:space="preserve">  </w:t>
            </w:r>
          </w:p>
          <w:p w:rsidRPr="00B330AF" w:rsidR="002B0610" w:rsidP="009122EC" w:rsidRDefault="00737B2A" w14:paraId="3FDBFABF" w14:textId="2450D843">
            <w:pPr>
              <w:spacing w:line="240" w:lineRule="atLeast"/>
              <w:rPr>
                <w:sz w:val="16"/>
                <w:szCs w:val="16"/>
              </w:rPr>
            </w:pPr>
            <w:r>
              <w:rPr>
                <w:sz w:val="16"/>
                <w:szCs w:val="16"/>
              </w:rPr>
              <w:t>H</w:t>
            </w:r>
            <w:r w:rsidRPr="00B330AF" w:rsidR="000550D0">
              <w:rPr>
                <w:sz w:val="16"/>
                <w:szCs w:val="16"/>
              </w:rPr>
              <w:t>et</w:t>
            </w:r>
            <w:r>
              <w:rPr>
                <w:sz w:val="16"/>
                <w:szCs w:val="16"/>
              </w:rPr>
              <w:t xml:space="preserve"> staat</w:t>
            </w:r>
            <w:r w:rsidRPr="00B330AF" w:rsidR="000550D0">
              <w:rPr>
                <w:sz w:val="16"/>
                <w:szCs w:val="16"/>
              </w:rPr>
              <w:t xml:space="preserve"> banken vrij om spaarproducten specifiek voor jongeren aan te bieden tegen aantrekkelijkere voorwaarden, waaronder ook een hogere rente of een eenmalige premie. Er zijn spaarproducten beschikbaar die bijna identiek zijn aan de vroegere regeling van de Jeugdspaarwet.</w:t>
            </w:r>
            <w:r w:rsidRPr="00B330AF" w:rsidR="000550D0">
              <w:rPr>
                <w:sz w:val="16"/>
                <w:szCs w:val="16"/>
                <w:vertAlign w:val="superscript"/>
              </w:rPr>
              <w:footnoteReference w:id="8"/>
            </w:r>
            <w:r w:rsidRPr="00B330AF" w:rsidR="000550D0">
              <w:rPr>
                <w:sz w:val="16"/>
                <w:szCs w:val="16"/>
              </w:rPr>
              <w:t xml:space="preserve"> De conclusie uit 1991, dat er geen doorslaggevende argumenten voor financiële stimulering vanuit de overheid zijn, geldt nog. </w:t>
            </w:r>
          </w:p>
          <w:p w:rsidRPr="00B330AF" w:rsidR="000550D0" w:rsidP="009122EC" w:rsidRDefault="00EF4ECD" w14:paraId="291AC977" w14:textId="49A758A4">
            <w:pPr>
              <w:spacing w:line="240" w:lineRule="atLeast"/>
              <w:rPr>
                <w:sz w:val="16"/>
                <w:szCs w:val="16"/>
              </w:rPr>
            </w:pPr>
            <w:r>
              <w:rPr>
                <w:sz w:val="16"/>
                <w:szCs w:val="16"/>
              </w:rPr>
              <w:t xml:space="preserve">Het belang van sparen onderken ik. </w:t>
            </w:r>
            <w:r w:rsidRPr="00B330AF" w:rsidR="000550D0">
              <w:rPr>
                <w:sz w:val="16"/>
                <w:szCs w:val="16"/>
              </w:rPr>
              <w:t>Uit cijfers van het meest recente scholierenonderzoek van het Nationaal Instituut voor Budgetvoorlichting (NIBUD) blijkt dat 93% van de Nederlandse jongeren (in de leeftijd 12-18 jaar) spaart.</w:t>
            </w:r>
            <w:r w:rsidRPr="00B330AF" w:rsidR="000550D0">
              <w:rPr>
                <w:sz w:val="16"/>
                <w:szCs w:val="16"/>
                <w:vertAlign w:val="superscript"/>
              </w:rPr>
              <w:footnoteReference w:id="9"/>
            </w:r>
            <w:r w:rsidRPr="00B330AF" w:rsidR="000550D0">
              <w:rPr>
                <w:sz w:val="16"/>
                <w:szCs w:val="16"/>
              </w:rPr>
              <w:t xml:space="preserve"> Om dit percentage te behouden en jongeren te stimuleren ook duurzaam te sparen, blijft de overheid zich </w:t>
            </w:r>
            <w:r w:rsidR="005E52A7">
              <w:rPr>
                <w:sz w:val="16"/>
                <w:szCs w:val="16"/>
              </w:rPr>
              <w:t xml:space="preserve">onder andere </w:t>
            </w:r>
            <w:r>
              <w:rPr>
                <w:sz w:val="16"/>
                <w:szCs w:val="16"/>
              </w:rPr>
              <w:t xml:space="preserve">via het platform wijzer in geldzaken </w:t>
            </w:r>
            <w:r w:rsidRPr="00B330AF" w:rsidR="000550D0">
              <w:rPr>
                <w:sz w:val="16"/>
                <w:szCs w:val="16"/>
              </w:rPr>
              <w:t xml:space="preserve">samen met de financiële sector inzetten voor het verbeteren van financiële vaardigheden van kinderen en jongeren. </w:t>
            </w:r>
          </w:p>
          <w:p w:rsidRPr="00B330AF" w:rsidR="00053029" w:rsidP="009122EC" w:rsidRDefault="00053029" w14:paraId="7586EA78" w14:textId="7C8D0972">
            <w:pPr>
              <w:spacing w:line="240" w:lineRule="atLeast"/>
              <w:rPr>
                <w:sz w:val="16"/>
                <w:szCs w:val="16"/>
              </w:rPr>
            </w:pPr>
          </w:p>
        </w:tc>
      </w:tr>
      <w:tr w:rsidRPr="00B330AF" w:rsidR="00037AEE" w:rsidTr="00737B2A" w14:paraId="653706F5" w14:textId="77777777">
        <w:tc>
          <w:tcPr>
            <w:tcW w:w="567" w:type="dxa"/>
          </w:tcPr>
          <w:p w:rsidRPr="00B330AF" w:rsidR="00037AEE" w:rsidP="009122EC" w:rsidRDefault="004B636A" w14:paraId="04D75E73" w14:textId="4B090C33">
            <w:pPr>
              <w:spacing w:line="240" w:lineRule="atLeast"/>
              <w:contextualSpacing/>
              <w:rPr>
                <w:sz w:val="16"/>
                <w:szCs w:val="16"/>
              </w:rPr>
            </w:pPr>
            <w:r w:rsidRPr="00B330AF">
              <w:rPr>
                <w:sz w:val="16"/>
                <w:szCs w:val="16"/>
              </w:rPr>
              <w:lastRenderedPageBreak/>
              <w:t>2</w:t>
            </w:r>
            <w:r w:rsidRPr="00B330AF" w:rsidR="00037AEE">
              <w:rPr>
                <w:sz w:val="16"/>
                <w:szCs w:val="16"/>
              </w:rPr>
              <w:t>.</w:t>
            </w:r>
          </w:p>
        </w:tc>
        <w:tc>
          <w:tcPr>
            <w:tcW w:w="2439" w:type="dxa"/>
            <w:tcBorders>
              <w:top w:val="single" w:color="auto" w:sz="4" w:space="0"/>
              <w:left w:val="nil"/>
              <w:bottom w:val="single" w:color="auto" w:sz="4" w:space="0"/>
              <w:right w:val="single" w:color="auto" w:sz="4" w:space="0"/>
            </w:tcBorders>
          </w:tcPr>
          <w:p w:rsidRPr="00B330AF" w:rsidR="00037AEE" w:rsidP="009122EC" w:rsidRDefault="004A39A4" w14:paraId="554F0CC9" w14:textId="5D26DD93">
            <w:pPr>
              <w:spacing w:line="240" w:lineRule="atLeast"/>
              <w:rPr>
                <w:rFonts w:cs="Calibri"/>
                <w:sz w:val="16"/>
                <w:szCs w:val="16"/>
              </w:rPr>
            </w:pPr>
            <w:r w:rsidRPr="00B330AF">
              <w:rPr>
                <w:rFonts w:cs="Calibri"/>
                <w:sz w:val="16"/>
                <w:szCs w:val="16"/>
              </w:rPr>
              <w:t>Het belang van transparantie van financiële instellingen in Europa onder de aandacht brengen</w:t>
            </w:r>
          </w:p>
        </w:tc>
        <w:tc>
          <w:tcPr>
            <w:tcW w:w="2835" w:type="dxa"/>
            <w:tcBorders>
              <w:top w:val="single" w:color="auto" w:sz="4" w:space="0"/>
              <w:left w:val="single" w:color="auto" w:sz="4" w:space="0"/>
              <w:bottom w:val="single" w:color="auto" w:sz="4" w:space="0"/>
              <w:right w:val="single" w:color="auto" w:sz="4" w:space="0"/>
            </w:tcBorders>
          </w:tcPr>
          <w:p w:rsidRPr="00B330AF" w:rsidR="00037AEE" w:rsidP="009122EC" w:rsidRDefault="004A39A4" w14:paraId="54AA5EE6" w14:textId="20A11BC7">
            <w:pPr>
              <w:spacing w:line="240" w:lineRule="atLeast"/>
              <w:contextualSpacing/>
              <w:rPr>
                <w:sz w:val="16"/>
                <w:szCs w:val="16"/>
              </w:rPr>
            </w:pPr>
            <w:r w:rsidRPr="00B330AF">
              <w:rPr>
                <w:sz w:val="16"/>
                <w:szCs w:val="16"/>
              </w:rPr>
              <w:t>Plenair debat Wet transparant toezicht financiële markten, d.d. 31 januari 2018 (Handelingen II 2017-2018, nr. 46, item 4)</w:t>
            </w:r>
          </w:p>
        </w:tc>
        <w:tc>
          <w:tcPr>
            <w:tcW w:w="7909" w:type="dxa"/>
            <w:tcBorders>
              <w:top w:val="single" w:color="auto" w:sz="4" w:space="0"/>
              <w:left w:val="single" w:color="auto" w:sz="4" w:space="0"/>
              <w:bottom w:val="single" w:color="auto" w:sz="4" w:space="0"/>
              <w:right w:val="single" w:color="auto" w:sz="4" w:space="0"/>
            </w:tcBorders>
          </w:tcPr>
          <w:p w:rsidRPr="00B330AF" w:rsidR="004A39A4" w:rsidP="009122EC" w:rsidRDefault="00912CFA" w14:paraId="27077C44" w14:textId="724F6709">
            <w:pPr>
              <w:spacing w:line="240" w:lineRule="atLeast"/>
              <w:rPr>
                <w:sz w:val="16"/>
                <w:szCs w:val="16"/>
                <w:lang w:eastAsia="en-US"/>
              </w:rPr>
            </w:pPr>
            <w:r w:rsidRPr="00B330AF">
              <w:rPr>
                <w:sz w:val="16"/>
                <w:szCs w:val="16"/>
                <w:lang w:eastAsia="en-US"/>
              </w:rPr>
              <w:t>In verschillende onderhandelingen over nieuwe Europese regelgeving is het belang van transparantie over financiële ondernemingen benadrukt. Dit heeft geleid tot nieuwe publicatieverplichtingen voor verschillende financiële ondernemingen. Zo heeft Nederland ingezet op meer transparantie over de eisen die resolutieautoriteiten stellen aan de buffers voor bail-in (MREL) die banken aanhouden. Deze eisen zijn nog niet openbaar, al publiceren sommige banken ze wel. In het nieuwe bankenpakket worden op dit punt stappen gezet.</w:t>
            </w:r>
            <w:r w:rsidR="003A64B5">
              <w:rPr>
                <w:sz w:val="16"/>
                <w:szCs w:val="16"/>
                <w:lang w:eastAsia="en-US"/>
              </w:rPr>
              <w:t xml:space="preserve"> </w:t>
            </w:r>
            <w:r w:rsidRPr="00B330AF">
              <w:rPr>
                <w:color w:val="auto"/>
                <w:sz w:val="16"/>
                <w:szCs w:val="16"/>
                <w:lang w:eastAsia="en-US"/>
              </w:rPr>
              <w:t xml:space="preserve">In het kader van het Sustainable Finance Action Plan heeft Nederland zich ingezet voor de totstandkoming van de verordening betreffende informatieverschaffing over duurzaamheid in </w:t>
            </w:r>
            <w:r w:rsidRPr="00B330AF">
              <w:rPr>
                <w:color w:val="auto"/>
                <w:sz w:val="16"/>
                <w:szCs w:val="16"/>
                <w:lang w:eastAsia="en-US"/>
              </w:rPr>
              <w:lastRenderedPageBreak/>
              <w:t xml:space="preserve">de </w:t>
            </w:r>
            <w:r w:rsidRPr="00B330AF" w:rsidR="003A64B5">
              <w:rPr>
                <w:color w:val="auto"/>
                <w:sz w:val="16"/>
                <w:szCs w:val="16"/>
                <w:lang w:eastAsia="en-US"/>
              </w:rPr>
              <w:t>financiële dienstensector</w:t>
            </w:r>
            <w:r w:rsidRPr="00B330AF">
              <w:rPr>
                <w:color w:val="auto"/>
                <w:sz w:val="16"/>
                <w:szCs w:val="16"/>
                <w:lang w:eastAsia="en-US"/>
              </w:rPr>
              <w:t>. Die verordening bevat verplichtingen voor financiële ondernemingen om informatie te publiceren waaruit is op te make</w:t>
            </w:r>
            <w:r w:rsidR="00910785">
              <w:rPr>
                <w:color w:val="auto"/>
                <w:sz w:val="16"/>
                <w:szCs w:val="16"/>
                <w:lang w:eastAsia="en-US"/>
              </w:rPr>
              <w:t>n hoe duurzaam zij investeren. </w:t>
            </w:r>
            <w:r w:rsidRPr="00B330AF">
              <w:rPr>
                <w:color w:val="auto"/>
                <w:sz w:val="16"/>
                <w:szCs w:val="16"/>
                <w:lang w:eastAsia="en-US"/>
              </w:rPr>
              <w:t xml:space="preserve">Nederland heeft zich daarnaast ingezet om informatie die </w:t>
            </w:r>
            <w:r w:rsidRPr="00B330AF">
              <w:rPr>
                <w:sz w:val="16"/>
                <w:szCs w:val="16"/>
                <w:lang w:eastAsia="en-US"/>
              </w:rPr>
              <w:t xml:space="preserve">al openbaar was </w:t>
            </w:r>
            <w:r w:rsidR="00910785">
              <w:rPr>
                <w:sz w:val="16"/>
                <w:szCs w:val="16"/>
                <w:lang w:eastAsia="en-US"/>
              </w:rPr>
              <w:t>beter toegankelijk te maken. Ik heb</w:t>
            </w:r>
            <w:r w:rsidRPr="00B330AF">
              <w:rPr>
                <w:sz w:val="16"/>
                <w:szCs w:val="16"/>
                <w:lang w:eastAsia="en-US"/>
              </w:rPr>
              <w:t xml:space="preserve"> DNB verzocht om de Solvency II balans en solvabiliteitpositie die verzeker</w:t>
            </w:r>
            <w:r w:rsidR="00910785">
              <w:rPr>
                <w:sz w:val="16"/>
                <w:szCs w:val="16"/>
                <w:lang w:eastAsia="en-US"/>
              </w:rPr>
              <w:t xml:space="preserve">aars </w:t>
            </w:r>
            <w:r w:rsidRPr="00B330AF">
              <w:rPr>
                <w:sz w:val="16"/>
                <w:szCs w:val="16"/>
                <w:lang w:eastAsia="en-US"/>
              </w:rPr>
              <w:t>en verzekeringsgroepen moeten publiceren op grond van Solvency II en Solvency II Basic ook op de website van DNB te plaatsen, zodat die informatie beter vindbaar en vergelijkbaar wordt.</w:t>
            </w:r>
          </w:p>
        </w:tc>
      </w:tr>
      <w:tr w:rsidRPr="00B330AF" w:rsidR="00100B49" w:rsidTr="00737B2A" w14:paraId="107129B9" w14:textId="77777777">
        <w:tc>
          <w:tcPr>
            <w:tcW w:w="567" w:type="dxa"/>
          </w:tcPr>
          <w:p w:rsidRPr="00B330AF" w:rsidR="00100B49" w:rsidP="009122EC" w:rsidRDefault="00100B49" w14:paraId="49E00BB1" w14:textId="73F9F84F">
            <w:pPr>
              <w:spacing w:line="240" w:lineRule="atLeast"/>
              <w:contextualSpacing/>
              <w:rPr>
                <w:sz w:val="16"/>
                <w:szCs w:val="16"/>
              </w:rPr>
            </w:pPr>
            <w:r w:rsidRPr="00B330AF">
              <w:rPr>
                <w:sz w:val="16"/>
                <w:szCs w:val="16"/>
              </w:rPr>
              <w:lastRenderedPageBreak/>
              <w:t>3.</w:t>
            </w:r>
          </w:p>
        </w:tc>
        <w:tc>
          <w:tcPr>
            <w:tcW w:w="2439" w:type="dxa"/>
          </w:tcPr>
          <w:p w:rsidRPr="00B330AF" w:rsidR="00100B49" w:rsidP="009122EC" w:rsidRDefault="00062D17" w14:paraId="332D6BCE" w14:textId="3D062C16">
            <w:pPr>
              <w:spacing w:line="240" w:lineRule="atLeast"/>
              <w:rPr>
                <w:rFonts w:cs="Calibri"/>
                <w:sz w:val="16"/>
                <w:szCs w:val="16"/>
              </w:rPr>
            </w:pPr>
            <w:r>
              <w:rPr>
                <w:rFonts w:cs="Calibri"/>
                <w:sz w:val="16"/>
                <w:szCs w:val="16"/>
              </w:rPr>
              <w:t>S</w:t>
            </w:r>
            <w:r w:rsidR="001F12A4">
              <w:rPr>
                <w:rFonts w:cs="Calibri"/>
                <w:sz w:val="16"/>
                <w:szCs w:val="16"/>
              </w:rPr>
              <w:t xml:space="preserve">chriftelijke </w:t>
            </w:r>
            <w:r>
              <w:rPr>
                <w:rFonts w:cs="Calibri"/>
                <w:sz w:val="16"/>
                <w:szCs w:val="16"/>
              </w:rPr>
              <w:t xml:space="preserve">terugkomen op </w:t>
            </w:r>
            <w:r w:rsidR="0054382E">
              <w:rPr>
                <w:rFonts w:cs="Calibri"/>
                <w:sz w:val="16"/>
                <w:szCs w:val="16"/>
              </w:rPr>
              <w:t xml:space="preserve">de inval van de </w:t>
            </w:r>
            <w:r w:rsidR="00737B2A">
              <w:rPr>
                <w:rFonts w:cs="Calibri"/>
                <w:sz w:val="16"/>
                <w:szCs w:val="16"/>
              </w:rPr>
              <w:t>G</w:t>
            </w:r>
            <w:r w:rsidR="00632773">
              <w:rPr>
                <w:rFonts w:cs="Calibri"/>
                <w:sz w:val="16"/>
                <w:szCs w:val="16"/>
              </w:rPr>
              <w:t>endarmerie bij de Financiële Informatie Autoriteit in Vaticaanstad</w:t>
            </w:r>
          </w:p>
        </w:tc>
        <w:tc>
          <w:tcPr>
            <w:tcW w:w="2835" w:type="dxa"/>
          </w:tcPr>
          <w:p w:rsidRPr="00B330AF" w:rsidR="00100B49" w:rsidP="009122EC" w:rsidRDefault="00632773" w14:paraId="708D83E4" w14:textId="2F45673E">
            <w:pPr>
              <w:spacing w:line="240" w:lineRule="atLeast"/>
              <w:rPr>
                <w:sz w:val="16"/>
                <w:szCs w:val="16"/>
              </w:rPr>
            </w:pPr>
            <w:r>
              <w:rPr>
                <w:sz w:val="16"/>
                <w:szCs w:val="16"/>
              </w:rPr>
              <w:t>A</w:t>
            </w:r>
            <w:r w:rsidR="005905C7">
              <w:rPr>
                <w:sz w:val="16"/>
                <w:szCs w:val="16"/>
              </w:rPr>
              <w:t>lgemeen o</w:t>
            </w:r>
            <w:r>
              <w:rPr>
                <w:sz w:val="16"/>
                <w:szCs w:val="16"/>
              </w:rPr>
              <w:t xml:space="preserve">verleg Eurogroep/Ecofin-Raad d.d. 27 november 2019 </w:t>
            </w:r>
            <w:r w:rsidR="00053D94">
              <w:rPr>
                <w:sz w:val="16"/>
                <w:szCs w:val="16"/>
              </w:rPr>
              <w:t>(Kamerstukken II 2019-2020, 21501-07, nr. 1649)</w:t>
            </w:r>
          </w:p>
        </w:tc>
        <w:tc>
          <w:tcPr>
            <w:tcW w:w="7909" w:type="dxa"/>
          </w:tcPr>
          <w:p w:rsidRPr="00B330AF" w:rsidR="00100B49" w:rsidP="009122EC" w:rsidRDefault="00100B49" w14:paraId="787C529D" w14:textId="17F53521">
            <w:pPr>
              <w:spacing w:line="240" w:lineRule="atLeast"/>
              <w:rPr>
                <w:rFonts w:eastAsiaTheme="minorHAnsi" w:cstheme="minorBidi"/>
                <w:color w:val="auto"/>
                <w:sz w:val="16"/>
                <w:szCs w:val="16"/>
              </w:rPr>
            </w:pPr>
            <w:r w:rsidRPr="00B330AF">
              <w:rPr>
                <w:sz w:val="16"/>
                <w:szCs w:val="16"/>
              </w:rPr>
              <w:t xml:space="preserve">In het Algemeen overleg van 27 november 2019 heb ik, naar aanleiding van vragen van het lid Sneller (D66) toegezegd schriftelijk terug te komen op de inval van de Gendarmerie van begin oktober 2019 bij de Financiële Informatie Autoriteit </w:t>
            </w:r>
            <w:r w:rsidR="009122EC">
              <w:rPr>
                <w:sz w:val="16"/>
                <w:szCs w:val="16"/>
              </w:rPr>
              <w:t>(AIF) in Vaticaanstad, waarbij vijf</w:t>
            </w:r>
            <w:r w:rsidRPr="00B330AF">
              <w:rPr>
                <w:sz w:val="16"/>
                <w:szCs w:val="16"/>
              </w:rPr>
              <w:t xml:space="preserve"> medewerkers op non-actief werden gesteld, waaronder de directeur. Naar aanleiding van deze inval besloot de Egmont Group, een internationaal samenwerkingsverband van alle Financial Intelligence Units, de AIF tijdelijk te schorsen.</w:t>
            </w:r>
          </w:p>
          <w:p w:rsidRPr="00B330AF" w:rsidR="00100B49" w:rsidP="009122EC" w:rsidRDefault="00100B49" w14:paraId="547A37C3" w14:textId="3513D49B">
            <w:pPr>
              <w:spacing w:line="240" w:lineRule="atLeast"/>
              <w:rPr>
                <w:sz w:val="16"/>
                <w:szCs w:val="16"/>
              </w:rPr>
            </w:pPr>
            <w:r w:rsidRPr="00B330AF">
              <w:rPr>
                <w:sz w:val="16"/>
                <w:szCs w:val="16"/>
              </w:rPr>
              <w:t>De AIF is de financiële toezichthouder van Vaticaanstad en vervult ook de rol van Finan</w:t>
            </w:r>
            <w:r w:rsidR="00CC0F51">
              <w:rPr>
                <w:sz w:val="16"/>
                <w:szCs w:val="16"/>
              </w:rPr>
              <w:t>ciële Inlichtingen Eenheid</w:t>
            </w:r>
            <w:r w:rsidRPr="00B330AF">
              <w:rPr>
                <w:sz w:val="16"/>
                <w:szCs w:val="16"/>
              </w:rPr>
              <w:t>. Vaticaanstad gebruikt de euro als betaalmiddel, maar is geen lid van de Europese Unie. Het Vaticaan valt om die reden ook niet onder Europese regelgeving, zoals de vierde anti-witwasrich</w:t>
            </w:r>
            <w:r w:rsidR="00A928EA">
              <w:rPr>
                <w:sz w:val="16"/>
                <w:szCs w:val="16"/>
              </w:rPr>
              <w:t>t</w:t>
            </w:r>
            <w:r w:rsidRPr="00B330AF">
              <w:rPr>
                <w:sz w:val="16"/>
                <w:szCs w:val="16"/>
              </w:rPr>
              <w:t xml:space="preserve">ijn. Dat wil niet zeggen dat er geen maatregelen zijn genomen om witwassen of financieren van terrorisme door of via Vaticaanstad te voorkomen. Er zijn diverse waarborgen. Allereerst is het Vaticaan lid van Moneyval, een zusterorganisatie van de Financial Action Task Force (FATF). Dit betekent dat het Vaticaan moet voldoen aan standaarden ter voorkoming van witwassen en financieren van terrorisme. Vaticaanstad wordt daar ook op beoordeeld, waarbij niet alleen wordt gekeken of de regelgeving op orde is, maar ook of effectief aan deze regels wordt voldaan. Het laatste rapport van Moneyval </w:t>
            </w:r>
            <w:r w:rsidR="00CC0F51">
              <w:rPr>
                <w:sz w:val="16"/>
                <w:szCs w:val="16"/>
              </w:rPr>
              <w:t xml:space="preserve">over Vaticaanstad </w:t>
            </w:r>
            <w:r w:rsidRPr="00B330AF">
              <w:rPr>
                <w:sz w:val="16"/>
                <w:szCs w:val="16"/>
              </w:rPr>
              <w:t xml:space="preserve">dateert van 2017. Daarin oordeelde Moneyval dat het systeem voor het melden van transacties goed functioneert en dat zowel de AIF als de justitiële autoriteiten internationaal samenwerken. Wel merkte Moneyval op dat er nog geen zaken voor de strafrechter zijn gebracht en er nog geen tegoeden zijn geconfisqueerd. Dit is een punt van zorg, omdat de effectiviteit van het systeem voornamelijk afhangt van hoe de rechterlijke procedure is vormgegeven en wat de uitkomst hiervan is. Moneyval raadt ook aan om effectief opvolging te geven aan gemelde transacties. In de volgende evaluatie zal Moneyval hier extra alert op zijn en uitdrukkelijk aandacht besteden aan de effectiviteit van rechterlijke procedures. Deze evaluatie staat dit jaar gepland, Moneyval zal daarom halverwege dit jaar een bezoek ter plaatse afleggen. De uitkomsten van dit bezoek worden eind dit jaar of begin volgend jaar besproken in de plenaire vergadering. De verwachting is dat er in 2021 een nieuw rapport beschikbaar is over Vaticaanstad. Inmiddels heeft ook de eerste veroordeling en eerste confiscatie in Vaticaanstad plaatsgevonden. Daarnaast is de schorsing opgeheven en neemt de AIF weer volledig deel aan de Egmont Group. </w:t>
            </w:r>
          </w:p>
          <w:p w:rsidRPr="00B330AF" w:rsidR="00100B49" w:rsidP="009122EC" w:rsidRDefault="00100B49" w14:paraId="0009BBAA" w14:textId="28A3F7D2">
            <w:pPr>
              <w:spacing w:line="240" w:lineRule="atLeast"/>
              <w:rPr>
                <w:sz w:val="16"/>
                <w:szCs w:val="16"/>
              </w:rPr>
            </w:pPr>
          </w:p>
        </w:tc>
      </w:tr>
      <w:tr w:rsidRPr="00B330AF" w:rsidR="00100B49" w:rsidTr="00737B2A" w14:paraId="5900B231" w14:textId="77777777">
        <w:tc>
          <w:tcPr>
            <w:tcW w:w="567" w:type="dxa"/>
          </w:tcPr>
          <w:p w:rsidRPr="00B330AF" w:rsidR="00100B49" w:rsidP="009122EC" w:rsidRDefault="00100B49" w14:paraId="605A6431" w14:textId="2678B415">
            <w:pPr>
              <w:spacing w:line="240" w:lineRule="atLeast"/>
              <w:contextualSpacing/>
              <w:rPr>
                <w:sz w:val="16"/>
                <w:szCs w:val="16"/>
              </w:rPr>
            </w:pPr>
            <w:r w:rsidRPr="00B330AF">
              <w:rPr>
                <w:sz w:val="16"/>
                <w:szCs w:val="16"/>
              </w:rPr>
              <w:t>4.</w:t>
            </w:r>
          </w:p>
        </w:tc>
        <w:tc>
          <w:tcPr>
            <w:tcW w:w="2439" w:type="dxa"/>
          </w:tcPr>
          <w:p w:rsidRPr="00B330AF" w:rsidR="00100B49" w:rsidP="009122EC" w:rsidRDefault="00100B49" w14:paraId="06C285F6" w14:textId="7488B31C">
            <w:pPr>
              <w:spacing w:line="240" w:lineRule="atLeast"/>
              <w:rPr>
                <w:rFonts w:cs="Calibri"/>
                <w:sz w:val="16"/>
                <w:szCs w:val="16"/>
              </w:rPr>
            </w:pPr>
            <w:r w:rsidRPr="00B330AF">
              <w:rPr>
                <w:sz w:val="16"/>
                <w:szCs w:val="16"/>
              </w:rPr>
              <w:t xml:space="preserve">Toezegging van minister Blok om – zelf of een </w:t>
            </w:r>
            <w:r w:rsidRPr="00B330AF">
              <w:rPr>
                <w:sz w:val="16"/>
                <w:szCs w:val="16"/>
              </w:rPr>
              <w:lastRenderedPageBreak/>
              <w:t>collega - schriftelijk terug te komen op vraag of informatie over beleggingen en investeringen van financiële instellingen in olie- en gasbedrijven in Arctisch gebied kan worden opge</w:t>
            </w:r>
            <w:r w:rsidR="008A1708">
              <w:rPr>
                <w:sz w:val="16"/>
                <w:szCs w:val="16"/>
              </w:rPr>
              <w:t>nomen in de duurzame bijsluiter</w:t>
            </w:r>
          </w:p>
        </w:tc>
        <w:tc>
          <w:tcPr>
            <w:tcW w:w="2835" w:type="dxa"/>
          </w:tcPr>
          <w:p w:rsidRPr="00B330AF" w:rsidR="00100B49" w:rsidP="009122EC" w:rsidRDefault="00100B49" w14:paraId="4FD99BD0" w14:textId="77777777">
            <w:pPr>
              <w:spacing w:line="240" w:lineRule="atLeast"/>
              <w:rPr>
                <w:sz w:val="16"/>
                <w:szCs w:val="16"/>
              </w:rPr>
            </w:pPr>
            <w:r w:rsidRPr="00B330AF">
              <w:rPr>
                <w:sz w:val="16"/>
                <w:szCs w:val="16"/>
              </w:rPr>
              <w:lastRenderedPageBreak/>
              <w:t xml:space="preserve">Algemeen Overleg Nederlandse Polaire strategie van 11 februari </w:t>
            </w:r>
            <w:r w:rsidRPr="00B330AF">
              <w:rPr>
                <w:sz w:val="16"/>
                <w:szCs w:val="16"/>
              </w:rPr>
              <w:lastRenderedPageBreak/>
              <w:t>2020. https://www.tweedekamer.nl/debat_en_vergadering/commissievergaderingen/details?id=2019A05176</w:t>
            </w:r>
          </w:p>
          <w:p w:rsidRPr="00B330AF" w:rsidR="00100B49" w:rsidP="009122EC" w:rsidRDefault="00100B49" w14:paraId="6F99EDAE" w14:textId="3D3D8650">
            <w:pPr>
              <w:spacing w:line="240" w:lineRule="atLeast"/>
              <w:contextualSpacing/>
              <w:rPr>
                <w:sz w:val="16"/>
                <w:szCs w:val="16"/>
              </w:rPr>
            </w:pPr>
          </w:p>
        </w:tc>
        <w:tc>
          <w:tcPr>
            <w:tcW w:w="7909" w:type="dxa"/>
          </w:tcPr>
          <w:p w:rsidRPr="00B330AF" w:rsidR="00100B49" w:rsidP="009122EC" w:rsidRDefault="00100B49" w14:paraId="6A3B5EE4" w14:textId="77777777">
            <w:pPr>
              <w:spacing w:line="240" w:lineRule="atLeast"/>
              <w:rPr>
                <w:rFonts w:cs="Calibri" w:eastAsiaTheme="minorHAnsi"/>
                <w:color w:val="auto"/>
                <w:sz w:val="16"/>
                <w:szCs w:val="16"/>
                <w:lang w:eastAsia="en-US"/>
              </w:rPr>
            </w:pPr>
            <w:r w:rsidRPr="00B330AF">
              <w:rPr>
                <w:rFonts w:cs="Calibri" w:eastAsiaTheme="minorHAnsi"/>
                <w:color w:val="auto"/>
                <w:sz w:val="16"/>
                <w:szCs w:val="16"/>
                <w:lang w:eastAsia="en-US"/>
              </w:rPr>
              <w:lastRenderedPageBreak/>
              <w:t xml:space="preserve">Het kabinet deelt de intentie van het lid Sjoerdsma dat financiële instellingen waar mogelijk transparant zijn over hun duurzaamheidsimpact en de duurzaamheidsrisico’s die zij lopen. Hier </w:t>
            </w:r>
            <w:r w:rsidRPr="00B330AF">
              <w:rPr>
                <w:rFonts w:cs="Calibri" w:eastAsiaTheme="minorHAnsi"/>
                <w:color w:val="auto"/>
                <w:sz w:val="16"/>
                <w:szCs w:val="16"/>
                <w:lang w:eastAsia="en-US"/>
              </w:rPr>
              <w:lastRenderedPageBreak/>
              <w:t>zet het kabinet ook op verschillende manieren op in. Het kabinet is van mening dat financiële instellingen in het algemeen transparanter dienen te zijn over de duurzaamheids- en klimaatimpact van hun investeringen, en niet specifiek alleen ten aanzien van olie en gasboringen in het Arctisch gebied. Het kabinet ziet op dat vlak veel goede initiatieven.</w:t>
            </w:r>
          </w:p>
          <w:p w:rsidRPr="00B330AF" w:rsidR="00100B49" w:rsidP="009122EC" w:rsidRDefault="00100B49" w14:paraId="02B432FD" w14:textId="77777777">
            <w:pPr>
              <w:spacing w:line="240" w:lineRule="atLeast"/>
              <w:rPr>
                <w:rFonts w:cs="Calibri" w:eastAsiaTheme="minorHAnsi"/>
                <w:color w:val="auto"/>
                <w:sz w:val="16"/>
                <w:szCs w:val="16"/>
                <w:lang w:eastAsia="en-US"/>
              </w:rPr>
            </w:pPr>
          </w:p>
          <w:p w:rsidRPr="00B330AF" w:rsidR="00100B49" w:rsidP="009122EC" w:rsidRDefault="00100B49" w14:paraId="5614C570" w14:textId="77777777">
            <w:pPr>
              <w:spacing w:line="240" w:lineRule="atLeast"/>
              <w:rPr>
                <w:rFonts w:cs="Calibri" w:eastAsiaTheme="minorHAnsi"/>
                <w:color w:val="auto"/>
                <w:sz w:val="16"/>
                <w:szCs w:val="16"/>
                <w:lang w:eastAsia="en-US"/>
              </w:rPr>
            </w:pPr>
            <w:r w:rsidRPr="00B330AF">
              <w:rPr>
                <w:rFonts w:cs="Calibri" w:eastAsiaTheme="minorHAnsi"/>
                <w:color w:val="auto"/>
                <w:sz w:val="16"/>
                <w:szCs w:val="16"/>
                <w:lang w:eastAsia="en-US"/>
              </w:rPr>
              <w:t>Zo heeft de Nederlandse financiële sector zich gecommitteerd aan het klimaatakkoord. De deelnemende financiële instellingen hebben daarin vastgelegd dat zij het CO2-gehalte van al hun relevante financieringen en beleggingen in kaart gaan brengen, hierover openbaar gaan rapporteren en actieplannen opstellen om deze impact terug te brengen. Nederlandse financiële instellingen hebben methodes ontwikkeld om deze impact te meten. Als onderdeel van het commitment hebben zij afgesproken resultaten vergelijkbaar te maken en stappen te zetten om de meting te verbeteren en te verdiepen.</w:t>
            </w:r>
          </w:p>
          <w:p w:rsidRPr="00B330AF" w:rsidR="00100B49" w:rsidP="009122EC" w:rsidRDefault="00100B49" w14:paraId="75E73600" w14:textId="77777777">
            <w:pPr>
              <w:spacing w:line="240" w:lineRule="atLeast"/>
              <w:rPr>
                <w:rFonts w:cs="Calibri" w:eastAsiaTheme="minorHAnsi"/>
                <w:color w:val="auto"/>
                <w:sz w:val="16"/>
                <w:szCs w:val="16"/>
                <w:lang w:eastAsia="en-US"/>
              </w:rPr>
            </w:pPr>
          </w:p>
          <w:p w:rsidRPr="00B330AF" w:rsidR="00100B49" w:rsidP="009122EC" w:rsidRDefault="00100B49" w14:paraId="420F8673" w14:textId="0B1D052F">
            <w:pPr>
              <w:spacing w:line="240" w:lineRule="atLeast"/>
              <w:rPr>
                <w:sz w:val="16"/>
                <w:szCs w:val="16"/>
              </w:rPr>
            </w:pPr>
            <w:r w:rsidRPr="00B330AF">
              <w:rPr>
                <w:rFonts w:cs="Calibri" w:eastAsiaTheme="minorHAnsi"/>
                <w:color w:val="auto"/>
                <w:sz w:val="16"/>
                <w:szCs w:val="16"/>
                <w:lang w:eastAsia="en-US"/>
              </w:rPr>
              <w:t xml:space="preserve">Ook dienen financiële instellingen op productniveau </w:t>
            </w:r>
            <w:r w:rsidRPr="00B330AF">
              <w:rPr>
                <w:sz w:val="16"/>
                <w:szCs w:val="16"/>
              </w:rPr>
              <w:t xml:space="preserve">vanaf maart 2021 te voldoen aan de Verordening betreffende informatieverschaffing over duurzaamheid in de financiële dienstensector (PbEU 2019, L 317). </w:t>
            </w:r>
            <w:r w:rsidRPr="00B330AF">
              <w:rPr>
                <w:rFonts w:cs="Calibri" w:eastAsiaTheme="minorHAnsi"/>
                <w:color w:val="auto"/>
                <w:sz w:val="16"/>
                <w:szCs w:val="16"/>
                <w:lang w:eastAsia="en-US"/>
              </w:rPr>
              <w:t>Op basis van deze verordening dient in de precontractuele informatie over een beleggingsproduct (bijvoorbeeld in de essentiële beleggersinformatie) te worden opgenomen in hoeverre bij beleggingsbeslissingen rekening wordt gehouden met klimaatrisico’s en de impact van klimaatrisico’s op het rendement van het beleggingsproduct. Indien klimaatrisico’s niet relevant worden geacht dan dient dat te worden toegelicht.</w:t>
            </w:r>
            <w:r w:rsidRPr="00B330AF">
              <w:rPr>
                <w:rFonts w:eastAsiaTheme="minorHAnsi" w:cstheme="minorBidi"/>
                <w:color w:val="auto"/>
                <w:sz w:val="16"/>
                <w:szCs w:val="16"/>
                <w:lang w:eastAsia="en-US"/>
              </w:rPr>
              <w:t xml:space="preserve"> Tevens dient in de precontractuele informatie te worden aangeven of, en zo ja, hoe bij beleggingsbeslissingen rekening wordt gehouden met de negatieve impact op ESG-factoren (“environmental, social &amp; governance”). Indien een product een milieudoelstelling heeft - of duurzaamheid promoot - dan dient in de precontractuele informatie te worden aangegeven hoe en in welke mate is belegd in economische activiteiten die als ecologisch duurzaam kunnen worden aangemerkt. Hierbij is de</w:t>
            </w:r>
            <w:r w:rsidRPr="00B330AF">
              <w:rPr>
                <w:sz w:val="16"/>
                <w:szCs w:val="16"/>
              </w:rPr>
              <w:t xml:space="preserve"> Verordening betreffende de totstandbrenging van een kader ter bevordering van duurzame beleggingen (ook wel bekend als “de taxonomie”) het uitgangspunt. Olie- en gasbedrijven die actief zijn in</w:t>
            </w:r>
            <w:r w:rsidR="00A928EA">
              <w:rPr>
                <w:sz w:val="16"/>
                <w:szCs w:val="16"/>
              </w:rPr>
              <w:t xml:space="preserve"> het</w:t>
            </w:r>
            <w:r w:rsidRPr="00B330AF">
              <w:rPr>
                <w:sz w:val="16"/>
                <w:szCs w:val="16"/>
              </w:rPr>
              <w:t xml:space="preserve"> Arctisch gebied maken geen onderdeel uit van de taxonomie omdat de taxonomie een beschrijving geeft van activiteiten die als economisch duurzaam kunnen worden aangemerkt. Activiteiten die als niet-duurzaam worden aangemerkt, komen dus niet voor in de taxonomie. </w:t>
            </w:r>
            <w:r w:rsidRPr="00B330AF">
              <w:rPr>
                <w:rFonts w:eastAsiaTheme="minorHAnsi" w:cstheme="minorBidi"/>
                <w:color w:val="auto"/>
                <w:sz w:val="16"/>
                <w:szCs w:val="16"/>
                <w:lang w:eastAsia="en-US"/>
              </w:rPr>
              <w:t xml:space="preserve">In de precontractuele informatie dient bovendien het </w:t>
            </w:r>
            <w:r w:rsidRPr="00B330AF">
              <w:rPr>
                <w:sz w:val="16"/>
                <w:szCs w:val="16"/>
              </w:rPr>
              <w:t>aandeel van de beleggingen van het financieel product in ecologisch duurzame economische activiteiten te worden gespecificeerd. De klant moet op basis van de informatie weten in hoeverre bij beleggingsbeslissingen rekening wordt gehouden met klimaatrisico’s en dient te kunnen beoordelen of een beleggingsproduct duurzaam is. Aangezien deze voorschriften volgen uit Europese verordeningen is er geen ruimte voor Nederland om aanvullende informatie-eisen voor de precontractuele informatie te stellen.</w:t>
            </w:r>
          </w:p>
          <w:p w:rsidRPr="00B330AF" w:rsidR="00100B49" w:rsidP="009122EC" w:rsidRDefault="00100B49" w14:paraId="68A5CBB5" w14:textId="77777777">
            <w:pPr>
              <w:spacing w:line="240" w:lineRule="atLeast"/>
              <w:rPr>
                <w:sz w:val="16"/>
                <w:szCs w:val="16"/>
              </w:rPr>
            </w:pPr>
          </w:p>
          <w:p w:rsidRPr="00B330AF" w:rsidR="00100B49" w:rsidP="009122EC" w:rsidRDefault="00100B49" w14:paraId="3B84C81B" w14:textId="1411720F">
            <w:pPr>
              <w:spacing w:line="240" w:lineRule="atLeast"/>
              <w:rPr>
                <w:sz w:val="16"/>
                <w:szCs w:val="16"/>
              </w:rPr>
            </w:pPr>
            <w:r w:rsidRPr="00B330AF">
              <w:rPr>
                <w:sz w:val="16"/>
                <w:szCs w:val="16"/>
              </w:rPr>
              <w:t xml:space="preserve">Vanaf maart 2021 dienen financiële instellingen die beleggingsproducten aanbieden of daarover adviseren (o.a. een bank die vermogensbeheer verleent of beheerder van een </w:t>
            </w:r>
            <w:r w:rsidRPr="00B330AF">
              <w:rPr>
                <w:sz w:val="16"/>
                <w:szCs w:val="16"/>
              </w:rPr>
              <w:lastRenderedPageBreak/>
              <w:t xml:space="preserve">beleggingsfonds) op entiteitniveau informatie op hun website te publiceren over hun beleid inzake de integratie van duurzaamheidsrisico’s in hun beleggingsbeslissingsprocedure. Indien de financiële instelling de belangrijkste negatieve effecten van beleggingsbeslissingen op duurzaamheidsfactoren in aanmerking neemt, dient de financiële instelling een verklaring op te nemen over het </w:t>
            </w:r>
            <w:r w:rsidRPr="00B330AF">
              <w:rPr>
                <w:i/>
                <w:sz w:val="16"/>
                <w:szCs w:val="16"/>
              </w:rPr>
              <w:t>due diligence</w:t>
            </w:r>
            <w:r w:rsidRPr="00B330AF">
              <w:rPr>
                <w:sz w:val="16"/>
                <w:szCs w:val="16"/>
              </w:rPr>
              <w:t xml:space="preserve">-beleid met betrekking tot die effecten. </w:t>
            </w:r>
          </w:p>
          <w:p w:rsidRPr="00B330AF" w:rsidR="00100B49" w:rsidP="009122EC" w:rsidRDefault="00100B49" w14:paraId="6FFD761E" w14:textId="77777777">
            <w:pPr>
              <w:spacing w:line="240" w:lineRule="atLeast"/>
              <w:rPr>
                <w:sz w:val="16"/>
                <w:szCs w:val="16"/>
              </w:rPr>
            </w:pPr>
          </w:p>
          <w:p w:rsidRPr="00B330AF" w:rsidR="00100B49" w:rsidP="009122EC" w:rsidRDefault="00100B49" w14:paraId="7F4018B4" w14:textId="7D22CD5E">
            <w:pPr>
              <w:spacing w:line="240" w:lineRule="atLeast"/>
              <w:rPr>
                <w:sz w:val="16"/>
                <w:szCs w:val="16"/>
              </w:rPr>
            </w:pPr>
            <w:r w:rsidRPr="00B330AF">
              <w:rPr>
                <w:sz w:val="16"/>
                <w:szCs w:val="16"/>
              </w:rPr>
              <w:t>De Richtlijn niet-financiële informatie (2014/95/EU) schrijft voor dat ondernemingen van openbaar belang met meer dan 500 medewerkers (beurgenoteerde ondernemingen, banken en verzekeraars) bepaalde niet-financiële informatie openbaar moeten maken. Op grond van de Taxonomieverordening dienen ondernemingen die vallen onder de Richtlijn niet-financiële informatie in hun bestuursverslag te beschrijven welk deel van hun omzet en kapitaalinvesteringen als economisch duurzaam kan worde</w:t>
            </w:r>
            <w:r w:rsidR="00896112">
              <w:rPr>
                <w:sz w:val="16"/>
                <w:szCs w:val="16"/>
              </w:rPr>
              <w:t>n aangemerkt (Kamerbrief 2019-2</w:t>
            </w:r>
            <w:r w:rsidRPr="00B330AF">
              <w:rPr>
                <w:sz w:val="16"/>
                <w:szCs w:val="16"/>
              </w:rPr>
              <w:t>15711). Het uitgangspunt hierbij is dat informatie wordt verstrekt over duurzame investeringen.</w:t>
            </w:r>
          </w:p>
        </w:tc>
      </w:tr>
      <w:tr w:rsidRPr="00B330AF" w:rsidR="00100B49" w:rsidTr="00737B2A" w14:paraId="5C8EED58" w14:textId="77777777">
        <w:tc>
          <w:tcPr>
            <w:tcW w:w="567" w:type="dxa"/>
          </w:tcPr>
          <w:p w:rsidRPr="00B330AF" w:rsidR="00100B49" w:rsidP="009122EC" w:rsidRDefault="00100B49" w14:paraId="0AC0E4EF" w14:textId="33F2D05C">
            <w:pPr>
              <w:spacing w:line="240" w:lineRule="atLeast"/>
              <w:contextualSpacing/>
              <w:rPr>
                <w:sz w:val="16"/>
                <w:szCs w:val="16"/>
              </w:rPr>
            </w:pPr>
            <w:r w:rsidRPr="00B330AF">
              <w:rPr>
                <w:sz w:val="16"/>
                <w:szCs w:val="16"/>
              </w:rPr>
              <w:lastRenderedPageBreak/>
              <w:t>5.</w:t>
            </w:r>
          </w:p>
        </w:tc>
        <w:tc>
          <w:tcPr>
            <w:tcW w:w="2439" w:type="dxa"/>
          </w:tcPr>
          <w:p w:rsidRPr="00283A75" w:rsidR="00100B49" w:rsidP="009122EC" w:rsidRDefault="00283A75" w14:paraId="251B6437" w14:textId="67BD6F3A">
            <w:pPr>
              <w:spacing w:line="240" w:lineRule="atLeast"/>
              <w:rPr>
                <w:rFonts w:cs="Calibri"/>
                <w:sz w:val="16"/>
                <w:szCs w:val="16"/>
              </w:rPr>
            </w:pPr>
            <w:r w:rsidRPr="00283A75">
              <w:rPr>
                <w:sz w:val="16"/>
                <w:szCs w:val="16"/>
              </w:rPr>
              <w:t>Met banken overleggen of de daglimiet op een bankpas eventueel verlaagd zou moeten worden</w:t>
            </w:r>
          </w:p>
        </w:tc>
        <w:tc>
          <w:tcPr>
            <w:tcW w:w="2835" w:type="dxa"/>
          </w:tcPr>
          <w:p w:rsidRPr="00B330AF" w:rsidR="00100B49" w:rsidP="009122EC" w:rsidRDefault="00283A75" w14:paraId="26E05F15" w14:textId="5717D5EE">
            <w:pPr>
              <w:spacing w:line="240" w:lineRule="atLeast"/>
              <w:contextualSpacing/>
              <w:rPr>
                <w:sz w:val="16"/>
                <w:szCs w:val="16"/>
              </w:rPr>
            </w:pPr>
            <w:r>
              <w:rPr>
                <w:sz w:val="16"/>
                <w:szCs w:val="16"/>
              </w:rPr>
              <w:t>Debat over contant geld in de samenleving, d.d. 15 januari 2019 (Kamerstukken II 2018-2019, 27863, nr. 77)</w:t>
            </w:r>
          </w:p>
        </w:tc>
        <w:tc>
          <w:tcPr>
            <w:tcW w:w="7909" w:type="dxa"/>
          </w:tcPr>
          <w:p w:rsidRPr="00814A2C" w:rsidR="00283A75" w:rsidP="009122EC" w:rsidRDefault="00C410CD" w14:paraId="47ACCF64" w14:textId="3E1C675A">
            <w:pPr>
              <w:spacing w:line="240" w:lineRule="atLeast"/>
              <w:rPr>
                <w:sz w:val="16"/>
                <w:szCs w:val="16"/>
                <w:u w:val="single"/>
              </w:rPr>
            </w:pPr>
            <w:r>
              <w:rPr>
                <w:sz w:val="16"/>
                <w:szCs w:val="16"/>
              </w:rPr>
              <w:t xml:space="preserve">Consumenten kunnen zelf bij hun bank de daglimiet </w:t>
            </w:r>
            <w:r w:rsidR="00E52C87">
              <w:rPr>
                <w:sz w:val="16"/>
                <w:szCs w:val="16"/>
              </w:rPr>
              <w:t xml:space="preserve">op hun bankpas </w:t>
            </w:r>
            <w:r>
              <w:rPr>
                <w:sz w:val="16"/>
                <w:szCs w:val="16"/>
              </w:rPr>
              <w:t>verhogen of verlagen.</w:t>
            </w:r>
            <w:r w:rsidRPr="00283A75">
              <w:rPr>
                <w:sz w:val="16"/>
                <w:szCs w:val="16"/>
              </w:rPr>
              <w:t xml:space="preserve"> </w:t>
            </w:r>
            <w:r w:rsidRPr="00283A75" w:rsidR="00283A75">
              <w:rPr>
                <w:sz w:val="16"/>
                <w:szCs w:val="16"/>
              </w:rPr>
              <w:t>Veel banken bieden al de mogelijkhei</w:t>
            </w:r>
            <w:r w:rsidR="001A0132">
              <w:rPr>
                <w:sz w:val="16"/>
                <w:szCs w:val="16"/>
              </w:rPr>
              <w:t>d om de daglimiet op de bankpas</w:t>
            </w:r>
            <w:r w:rsidR="00814A2C">
              <w:rPr>
                <w:sz w:val="16"/>
                <w:szCs w:val="16"/>
              </w:rPr>
              <w:t xml:space="preserve"> </w:t>
            </w:r>
            <w:r w:rsidRPr="00283A75" w:rsidR="00283A75">
              <w:rPr>
                <w:sz w:val="16"/>
                <w:szCs w:val="16"/>
              </w:rPr>
              <w:t xml:space="preserve">in te stellen onder 250 euro. Indien een consument geld opneemt </w:t>
            </w:r>
            <w:r w:rsidR="00570591">
              <w:rPr>
                <w:sz w:val="16"/>
                <w:szCs w:val="16"/>
              </w:rPr>
              <w:t>bij een geldautomaat van een andere bank</w:t>
            </w:r>
            <w:r w:rsidRPr="00283A75" w:rsidR="00283A75">
              <w:rPr>
                <w:sz w:val="16"/>
                <w:szCs w:val="16"/>
              </w:rPr>
              <w:t xml:space="preserve">, dan is </w:t>
            </w:r>
            <w:r w:rsidR="00AD62BC">
              <w:rPr>
                <w:sz w:val="16"/>
                <w:szCs w:val="16"/>
              </w:rPr>
              <w:t>de</w:t>
            </w:r>
            <w:r w:rsidRPr="00283A75" w:rsidR="00283A75">
              <w:rPr>
                <w:sz w:val="16"/>
                <w:szCs w:val="16"/>
              </w:rPr>
              <w:t xml:space="preserve"> limiet wat zij op kunnen nemen hetzelfde als bij hun eigen bank. </w:t>
            </w:r>
            <w:r w:rsidR="00570591">
              <w:rPr>
                <w:sz w:val="16"/>
                <w:szCs w:val="16"/>
              </w:rPr>
              <w:t>Daarnaast</w:t>
            </w:r>
            <w:r w:rsidRPr="00283A75" w:rsidR="00570591">
              <w:rPr>
                <w:sz w:val="16"/>
                <w:szCs w:val="16"/>
              </w:rPr>
              <w:t xml:space="preserve"> stellen </w:t>
            </w:r>
            <w:r w:rsidR="00570591">
              <w:rPr>
                <w:sz w:val="16"/>
                <w:szCs w:val="16"/>
              </w:rPr>
              <w:t xml:space="preserve">banken </w:t>
            </w:r>
            <w:r w:rsidRPr="00283A75" w:rsidR="00570591">
              <w:rPr>
                <w:sz w:val="16"/>
                <w:szCs w:val="16"/>
              </w:rPr>
              <w:t xml:space="preserve">ook </w:t>
            </w:r>
            <w:r w:rsidR="00E52C87">
              <w:rPr>
                <w:sz w:val="16"/>
                <w:szCs w:val="16"/>
              </w:rPr>
              <w:t xml:space="preserve">vaak zelf </w:t>
            </w:r>
            <w:r w:rsidRPr="00283A75" w:rsidR="00570591">
              <w:rPr>
                <w:sz w:val="16"/>
                <w:szCs w:val="16"/>
              </w:rPr>
              <w:t>een limiet aan het bedrag dat</w:t>
            </w:r>
            <w:r w:rsidR="00570591">
              <w:rPr>
                <w:sz w:val="16"/>
                <w:szCs w:val="16"/>
              </w:rPr>
              <w:t xml:space="preserve"> consumenten kunnen </w:t>
            </w:r>
            <w:r w:rsidR="007B5AD6">
              <w:rPr>
                <w:sz w:val="16"/>
                <w:szCs w:val="16"/>
              </w:rPr>
              <w:t>opnemen</w:t>
            </w:r>
            <w:r w:rsidR="00570591">
              <w:rPr>
                <w:sz w:val="16"/>
                <w:szCs w:val="16"/>
              </w:rPr>
              <w:t xml:space="preserve"> bij andere </w:t>
            </w:r>
            <w:r w:rsidRPr="00283A75" w:rsidR="00570591">
              <w:rPr>
                <w:sz w:val="16"/>
                <w:szCs w:val="16"/>
              </w:rPr>
              <w:t>banken</w:t>
            </w:r>
            <w:r w:rsidR="00570591">
              <w:rPr>
                <w:sz w:val="16"/>
                <w:szCs w:val="16"/>
              </w:rPr>
              <w:t>.</w:t>
            </w:r>
          </w:p>
          <w:p w:rsidRPr="00283A75" w:rsidR="00283A75" w:rsidP="009122EC" w:rsidRDefault="00283A75" w14:paraId="4B9D106F" w14:textId="77777777">
            <w:pPr>
              <w:spacing w:line="240" w:lineRule="atLeast"/>
              <w:rPr>
                <w:sz w:val="16"/>
                <w:szCs w:val="16"/>
              </w:rPr>
            </w:pPr>
          </w:p>
          <w:p w:rsidRPr="00283A75" w:rsidR="00100B49" w:rsidP="009122EC" w:rsidRDefault="00814A2C" w14:paraId="08AC7EF3" w14:textId="1198EF38">
            <w:pPr>
              <w:spacing w:line="240" w:lineRule="atLeast"/>
              <w:rPr>
                <w:sz w:val="16"/>
                <w:szCs w:val="16"/>
              </w:rPr>
            </w:pPr>
            <w:r>
              <w:rPr>
                <w:sz w:val="16"/>
                <w:szCs w:val="16"/>
              </w:rPr>
              <w:t>Ik heb</w:t>
            </w:r>
            <w:r w:rsidR="005D2FC5">
              <w:rPr>
                <w:sz w:val="16"/>
                <w:szCs w:val="16"/>
              </w:rPr>
              <w:t xml:space="preserve"> </w:t>
            </w:r>
            <w:r w:rsidRPr="00283A75" w:rsidR="00283A75">
              <w:rPr>
                <w:sz w:val="16"/>
                <w:szCs w:val="16"/>
              </w:rPr>
              <w:t xml:space="preserve">met de Betaalvereniging Nederland besproken of de daglimiet op een bankpas eventueel verlaagd zou moeten worden om eventuele schade bij misbruik te beperken. De Betaalverenging Nederland heeft aangeven geen signalen van klanten </w:t>
            </w:r>
            <w:r w:rsidR="001A0132">
              <w:rPr>
                <w:sz w:val="16"/>
                <w:szCs w:val="16"/>
              </w:rPr>
              <w:t xml:space="preserve">of andere partijen </w:t>
            </w:r>
            <w:r w:rsidRPr="00283A75" w:rsidR="00283A75">
              <w:rPr>
                <w:sz w:val="16"/>
                <w:szCs w:val="16"/>
              </w:rPr>
              <w:t xml:space="preserve">te hebben ontvangen dat er een noodzaak is om de daglimiet </w:t>
            </w:r>
            <w:r w:rsidR="00CC0F51">
              <w:rPr>
                <w:sz w:val="16"/>
                <w:szCs w:val="16"/>
              </w:rPr>
              <w:t xml:space="preserve">in algemene zin </w:t>
            </w:r>
            <w:r w:rsidRPr="00283A75" w:rsidR="00283A75">
              <w:rPr>
                <w:sz w:val="16"/>
                <w:szCs w:val="16"/>
              </w:rPr>
              <w:t xml:space="preserve">te verlagen. </w:t>
            </w:r>
            <w:r w:rsidR="00B1126A">
              <w:rPr>
                <w:sz w:val="16"/>
                <w:szCs w:val="16"/>
              </w:rPr>
              <w:t>Banken stellen de daglimiet onder andere vast o</w:t>
            </w:r>
            <w:r w:rsidR="008E2E0A">
              <w:rPr>
                <w:sz w:val="16"/>
                <w:szCs w:val="16"/>
              </w:rPr>
              <w:t xml:space="preserve">p basis van de afweging die zij </w:t>
            </w:r>
            <w:r w:rsidR="00B1126A">
              <w:rPr>
                <w:sz w:val="16"/>
                <w:szCs w:val="16"/>
              </w:rPr>
              <w:t xml:space="preserve">maken </w:t>
            </w:r>
            <w:r w:rsidRPr="00283A75" w:rsidR="00283A75">
              <w:rPr>
                <w:sz w:val="16"/>
                <w:szCs w:val="16"/>
              </w:rPr>
              <w:t xml:space="preserve">tussen het gebruiksgemak, klantenbehoeftes, flexibiliteit en de veiligheid. Het </w:t>
            </w:r>
            <w:r w:rsidR="0099500D">
              <w:rPr>
                <w:sz w:val="16"/>
                <w:szCs w:val="16"/>
              </w:rPr>
              <w:t>verlagen van de</w:t>
            </w:r>
            <w:r w:rsidR="0009279D">
              <w:rPr>
                <w:sz w:val="16"/>
                <w:szCs w:val="16"/>
              </w:rPr>
              <w:t xml:space="preserve"> daglimiet </w:t>
            </w:r>
            <w:r w:rsidRPr="00283A75" w:rsidR="00283A75">
              <w:rPr>
                <w:sz w:val="16"/>
                <w:szCs w:val="16"/>
              </w:rPr>
              <w:t>z</w:t>
            </w:r>
            <w:r w:rsidR="001A0132">
              <w:rPr>
                <w:sz w:val="16"/>
                <w:szCs w:val="16"/>
              </w:rPr>
              <w:t xml:space="preserve">al er niet voor zorgen dat misbruik vermindert. </w:t>
            </w:r>
            <w:r w:rsidRPr="00283A75" w:rsidR="00283A75">
              <w:rPr>
                <w:sz w:val="16"/>
                <w:szCs w:val="16"/>
              </w:rPr>
              <w:t>Volgens de Betaalvereniging Nederland hebben banken zich de afgelopen jaren</w:t>
            </w:r>
            <w:r w:rsidR="003C385A">
              <w:rPr>
                <w:sz w:val="16"/>
                <w:szCs w:val="16"/>
              </w:rPr>
              <w:t xml:space="preserve"> </w:t>
            </w:r>
            <w:r w:rsidR="005D2FC5">
              <w:rPr>
                <w:sz w:val="16"/>
                <w:szCs w:val="16"/>
              </w:rPr>
              <w:t xml:space="preserve">gefocust op </w:t>
            </w:r>
            <w:r w:rsidR="006471DF">
              <w:rPr>
                <w:sz w:val="16"/>
                <w:szCs w:val="16"/>
              </w:rPr>
              <w:t>het verminderen van misbruik</w:t>
            </w:r>
            <w:r w:rsidR="005D2FC5">
              <w:rPr>
                <w:sz w:val="16"/>
                <w:szCs w:val="16"/>
              </w:rPr>
              <w:t xml:space="preserve">. </w:t>
            </w:r>
            <w:r w:rsidR="00CD61AA">
              <w:rPr>
                <w:sz w:val="16"/>
                <w:szCs w:val="16"/>
              </w:rPr>
              <w:t xml:space="preserve">Ook hebben zij geprobeerd </w:t>
            </w:r>
            <w:r w:rsidRPr="00283A75" w:rsidR="00283A75">
              <w:rPr>
                <w:sz w:val="16"/>
                <w:szCs w:val="16"/>
              </w:rPr>
              <w:t>bewustwording te creëren bij consumenten om misbruik te voorkomen. Sinds</w:t>
            </w:r>
            <w:r w:rsidRPr="00283A75" w:rsidR="00283A75">
              <w:rPr>
                <w:rFonts w:cs="Arial"/>
                <w:sz w:val="16"/>
                <w:szCs w:val="16"/>
              </w:rPr>
              <w:t xml:space="preserve"> 1 januari 2014 </w:t>
            </w:r>
            <w:r w:rsidR="009F7E51">
              <w:rPr>
                <w:rFonts w:cs="Arial"/>
                <w:sz w:val="16"/>
                <w:szCs w:val="16"/>
              </w:rPr>
              <w:t>zijn er</w:t>
            </w:r>
            <w:r w:rsidRPr="00283A75" w:rsidR="00283A75">
              <w:rPr>
                <w:rFonts w:cs="Arial"/>
                <w:sz w:val="16"/>
                <w:szCs w:val="16"/>
              </w:rPr>
              <w:t xml:space="preserve"> </w:t>
            </w:r>
            <w:r w:rsidR="0099500D">
              <w:rPr>
                <w:rFonts w:cs="Arial"/>
                <w:sz w:val="16"/>
                <w:szCs w:val="16"/>
              </w:rPr>
              <w:t>uniforme</w:t>
            </w:r>
            <w:r w:rsidRPr="00283A75" w:rsidR="00283A75">
              <w:rPr>
                <w:rFonts w:cs="Arial"/>
                <w:sz w:val="16"/>
                <w:szCs w:val="16"/>
              </w:rPr>
              <w:t xml:space="preserve"> </w:t>
            </w:r>
            <w:r>
              <w:rPr>
                <w:rFonts w:cs="Arial"/>
                <w:sz w:val="16"/>
                <w:szCs w:val="16"/>
              </w:rPr>
              <w:t>veiligheidsregels</w:t>
            </w:r>
            <w:r w:rsidRPr="00283A75">
              <w:rPr>
                <w:rStyle w:val="Voetnootmarkering"/>
                <w:rFonts w:cs="Arial"/>
                <w:sz w:val="16"/>
                <w:szCs w:val="16"/>
              </w:rPr>
              <w:footnoteReference w:id="10"/>
            </w:r>
            <w:r>
              <w:rPr>
                <w:rFonts w:cs="Arial"/>
                <w:sz w:val="16"/>
                <w:szCs w:val="16"/>
              </w:rPr>
              <w:t xml:space="preserve"> voor</w:t>
            </w:r>
            <w:r w:rsidR="009F7E51">
              <w:rPr>
                <w:rFonts w:cs="Arial"/>
                <w:sz w:val="16"/>
                <w:szCs w:val="16"/>
              </w:rPr>
              <w:t xml:space="preserve"> </w:t>
            </w:r>
            <w:r w:rsidRPr="00283A75" w:rsidR="00283A75">
              <w:rPr>
                <w:rFonts w:cs="Arial"/>
                <w:sz w:val="16"/>
                <w:szCs w:val="16"/>
              </w:rPr>
              <w:t>consumen</w:t>
            </w:r>
            <w:r w:rsidR="009F7E51">
              <w:rPr>
                <w:rFonts w:cs="Arial"/>
                <w:sz w:val="16"/>
                <w:szCs w:val="16"/>
              </w:rPr>
              <w:t>ten</w:t>
            </w:r>
            <w:r w:rsidR="001965DA">
              <w:rPr>
                <w:rFonts w:cs="Arial"/>
                <w:sz w:val="16"/>
                <w:szCs w:val="16"/>
              </w:rPr>
              <w:t xml:space="preserve"> opgesteld</w:t>
            </w:r>
            <w:r w:rsidR="009F7E51">
              <w:rPr>
                <w:rFonts w:cs="Arial"/>
                <w:sz w:val="16"/>
                <w:szCs w:val="16"/>
              </w:rPr>
              <w:t xml:space="preserve"> om </w:t>
            </w:r>
            <w:r w:rsidR="00445492">
              <w:rPr>
                <w:rFonts w:cs="Arial"/>
                <w:sz w:val="16"/>
                <w:szCs w:val="16"/>
              </w:rPr>
              <w:t xml:space="preserve">veilig </w:t>
            </w:r>
            <w:r w:rsidR="009F7E51">
              <w:rPr>
                <w:rFonts w:cs="Arial"/>
                <w:sz w:val="16"/>
                <w:szCs w:val="16"/>
              </w:rPr>
              <w:t xml:space="preserve">te kunnen </w:t>
            </w:r>
            <w:r w:rsidR="00445492">
              <w:rPr>
                <w:rFonts w:cs="Arial"/>
                <w:sz w:val="16"/>
                <w:szCs w:val="16"/>
              </w:rPr>
              <w:t xml:space="preserve">betalen en elektronisch </w:t>
            </w:r>
            <w:r w:rsidR="009F7E51">
              <w:rPr>
                <w:rFonts w:cs="Arial"/>
                <w:sz w:val="16"/>
                <w:szCs w:val="16"/>
              </w:rPr>
              <w:t xml:space="preserve">te </w:t>
            </w:r>
            <w:r w:rsidR="00445492">
              <w:rPr>
                <w:rFonts w:cs="Arial"/>
                <w:sz w:val="16"/>
                <w:szCs w:val="16"/>
              </w:rPr>
              <w:t>bankieren</w:t>
            </w:r>
            <w:r w:rsidRPr="00283A75" w:rsidR="00283A75">
              <w:rPr>
                <w:rFonts w:cs="Arial"/>
                <w:sz w:val="16"/>
                <w:szCs w:val="16"/>
              </w:rPr>
              <w:t>.</w:t>
            </w:r>
            <w:r w:rsidRPr="00283A75" w:rsidR="00283A75">
              <w:rPr>
                <w:rStyle w:val="Voetnootmarkering"/>
                <w:rFonts w:cs="Arial"/>
                <w:sz w:val="16"/>
                <w:szCs w:val="16"/>
              </w:rPr>
              <w:footnoteReference w:id="11"/>
            </w:r>
            <w:r w:rsidR="00445492">
              <w:rPr>
                <w:rFonts w:cs="Arial"/>
                <w:sz w:val="16"/>
                <w:szCs w:val="16"/>
              </w:rPr>
              <w:t xml:space="preserve"> </w:t>
            </w:r>
            <w:r w:rsidRPr="00283A75" w:rsidR="00283A75">
              <w:rPr>
                <w:rFonts w:cs="Arial"/>
                <w:sz w:val="16"/>
                <w:szCs w:val="16"/>
              </w:rPr>
              <w:t xml:space="preserve">Hiermee is </w:t>
            </w:r>
            <w:r w:rsidR="005D2FC5">
              <w:rPr>
                <w:rFonts w:cs="Arial"/>
                <w:sz w:val="16"/>
                <w:szCs w:val="16"/>
              </w:rPr>
              <w:t xml:space="preserve">het </w:t>
            </w:r>
            <w:r w:rsidRPr="00283A75" w:rsidR="00283A75">
              <w:rPr>
                <w:rFonts w:cs="Arial"/>
                <w:sz w:val="16"/>
                <w:szCs w:val="16"/>
              </w:rPr>
              <w:t xml:space="preserve">voor consumenten wettelijk geregeld </w:t>
            </w:r>
            <w:r w:rsidR="005D2FC5">
              <w:rPr>
                <w:rFonts w:cs="Arial"/>
                <w:sz w:val="16"/>
                <w:szCs w:val="16"/>
              </w:rPr>
              <w:t>dat als zij zich houden aan de</w:t>
            </w:r>
            <w:r>
              <w:rPr>
                <w:rFonts w:cs="Arial"/>
                <w:sz w:val="16"/>
                <w:szCs w:val="16"/>
              </w:rPr>
              <w:t xml:space="preserve">ze </w:t>
            </w:r>
            <w:r w:rsidRPr="00283A75" w:rsidR="00283A75">
              <w:rPr>
                <w:rFonts w:cs="Arial"/>
                <w:sz w:val="16"/>
                <w:szCs w:val="16"/>
              </w:rPr>
              <w:t>veiligheid</w:t>
            </w:r>
            <w:r w:rsidR="005D2FC5">
              <w:rPr>
                <w:rFonts w:cs="Arial"/>
                <w:sz w:val="16"/>
                <w:szCs w:val="16"/>
              </w:rPr>
              <w:t>s</w:t>
            </w:r>
            <w:r w:rsidRPr="00283A75" w:rsidR="00283A75">
              <w:rPr>
                <w:rFonts w:cs="Arial"/>
                <w:sz w:val="16"/>
                <w:szCs w:val="16"/>
              </w:rPr>
              <w:t>regels</w:t>
            </w:r>
            <w:r w:rsidR="001A0132">
              <w:rPr>
                <w:rFonts w:cs="Arial"/>
                <w:sz w:val="16"/>
                <w:szCs w:val="16"/>
              </w:rPr>
              <w:t xml:space="preserve"> </w:t>
            </w:r>
            <w:r w:rsidR="005D2FC5">
              <w:rPr>
                <w:rFonts w:cs="Arial"/>
                <w:sz w:val="16"/>
                <w:szCs w:val="16"/>
              </w:rPr>
              <w:t xml:space="preserve">en er toch </w:t>
            </w:r>
            <w:r w:rsidR="006D55E6">
              <w:rPr>
                <w:rFonts w:cs="Arial"/>
                <w:sz w:val="16"/>
                <w:szCs w:val="16"/>
              </w:rPr>
              <w:t xml:space="preserve">zonder toestemming </w:t>
            </w:r>
            <w:r w:rsidR="005D2FC5">
              <w:rPr>
                <w:rFonts w:cs="Arial"/>
                <w:sz w:val="16"/>
                <w:szCs w:val="16"/>
              </w:rPr>
              <w:t xml:space="preserve">een bedrag wordt afgeschreven </w:t>
            </w:r>
            <w:r w:rsidR="002859F8">
              <w:rPr>
                <w:rFonts w:cs="Arial"/>
                <w:sz w:val="16"/>
                <w:szCs w:val="16"/>
              </w:rPr>
              <w:t>van hun</w:t>
            </w:r>
            <w:r w:rsidR="001A0132">
              <w:rPr>
                <w:rFonts w:cs="Arial"/>
                <w:sz w:val="16"/>
                <w:szCs w:val="16"/>
              </w:rPr>
              <w:t xml:space="preserve"> bankrekening</w:t>
            </w:r>
            <w:r w:rsidR="0097408A">
              <w:rPr>
                <w:rFonts w:cs="Arial"/>
                <w:sz w:val="16"/>
                <w:szCs w:val="16"/>
              </w:rPr>
              <w:t xml:space="preserve">, </w:t>
            </w:r>
            <w:r w:rsidR="006D55E6">
              <w:rPr>
                <w:rFonts w:cs="Arial"/>
                <w:sz w:val="16"/>
                <w:szCs w:val="16"/>
              </w:rPr>
              <w:t>dit bedrag door de bank</w:t>
            </w:r>
            <w:r w:rsidR="0097408A">
              <w:rPr>
                <w:rFonts w:cs="Arial"/>
                <w:sz w:val="16"/>
                <w:szCs w:val="16"/>
              </w:rPr>
              <w:t xml:space="preserve"> wordt</w:t>
            </w:r>
            <w:r w:rsidR="006D55E6">
              <w:rPr>
                <w:rFonts w:cs="Arial"/>
                <w:sz w:val="16"/>
                <w:szCs w:val="16"/>
              </w:rPr>
              <w:t xml:space="preserve"> vergoed. </w:t>
            </w:r>
            <w:r w:rsidRPr="00283A75" w:rsidR="00283A75">
              <w:rPr>
                <w:sz w:val="16"/>
                <w:szCs w:val="16"/>
              </w:rPr>
              <w:t xml:space="preserve">De schade voor consumenten bij </w:t>
            </w:r>
            <w:r w:rsidR="00CD61AA">
              <w:rPr>
                <w:sz w:val="16"/>
                <w:szCs w:val="16"/>
              </w:rPr>
              <w:t xml:space="preserve">eventueel </w:t>
            </w:r>
            <w:r w:rsidR="00666F04">
              <w:rPr>
                <w:sz w:val="16"/>
                <w:szCs w:val="16"/>
              </w:rPr>
              <w:t>misbruik worden hierdoor</w:t>
            </w:r>
            <w:r w:rsidRPr="00283A75" w:rsidR="00283A75">
              <w:rPr>
                <w:sz w:val="16"/>
                <w:szCs w:val="16"/>
              </w:rPr>
              <w:t xml:space="preserve"> beperkt. </w:t>
            </w:r>
          </w:p>
        </w:tc>
      </w:tr>
    </w:tbl>
    <w:p w:rsidRPr="00B330AF" w:rsidR="00B06701" w:rsidP="00CC0F51" w:rsidRDefault="00B06701" w14:paraId="28572B3B" w14:textId="1F4179F1">
      <w:pPr>
        <w:rPr>
          <w:sz w:val="16"/>
          <w:szCs w:val="16"/>
        </w:rPr>
      </w:pPr>
    </w:p>
    <w:sectPr w:rsidRPr="00B330AF" w:rsidR="00B06701" w:rsidSect="00CC0F51">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851"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C32F4" w14:textId="77777777" w:rsidR="006F7DC2" w:rsidRDefault="006F7DC2" w:rsidP="00050D86">
      <w:pPr>
        <w:spacing w:line="240" w:lineRule="auto"/>
      </w:pPr>
      <w:r>
        <w:separator/>
      </w:r>
    </w:p>
  </w:endnote>
  <w:endnote w:type="continuationSeparator" w:id="0">
    <w:p w14:paraId="1CD6405D" w14:textId="77777777" w:rsidR="006F7DC2" w:rsidRDefault="006F7DC2" w:rsidP="00050D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AF500" w14:textId="77777777" w:rsidR="00270F8C" w:rsidRDefault="00270F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096787"/>
      <w:docPartObj>
        <w:docPartGallery w:val="Page Numbers (Bottom of Page)"/>
        <w:docPartUnique/>
      </w:docPartObj>
    </w:sdtPr>
    <w:sdtEndPr/>
    <w:sdtContent>
      <w:p w14:paraId="3E451CAF" w14:textId="6BD95FF3" w:rsidR="00050D86" w:rsidRDefault="00050D86">
        <w:pPr>
          <w:pStyle w:val="Voettekst"/>
          <w:jc w:val="center"/>
        </w:pPr>
        <w:r>
          <w:fldChar w:fldCharType="begin"/>
        </w:r>
        <w:r>
          <w:instrText>PAGE   \* MERGEFORMAT</w:instrText>
        </w:r>
        <w:r>
          <w:fldChar w:fldCharType="separate"/>
        </w:r>
        <w:r w:rsidR="0036768B">
          <w:rPr>
            <w:noProof/>
          </w:rPr>
          <w:t>1</w:t>
        </w:r>
        <w:r>
          <w:fldChar w:fldCharType="end"/>
        </w:r>
      </w:p>
    </w:sdtContent>
  </w:sdt>
  <w:p w14:paraId="7C6A3572" w14:textId="77777777" w:rsidR="00050D86" w:rsidRDefault="00050D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C400E" w14:textId="77777777" w:rsidR="00270F8C" w:rsidRDefault="00270F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0F2B2" w14:textId="77777777" w:rsidR="006F7DC2" w:rsidRDefault="006F7DC2" w:rsidP="00050D86">
      <w:pPr>
        <w:spacing w:line="240" w:lineRule="auto"/>
      </w:pPr>
      <w:r>
        <w:separator/>
      </w:r>
    </w:p>
  </w:footnote>
  <w:footnote w:type="continuationSeparator" w:id="0">
    <w:p w14:paraId="67062FBC" w14:textId="77777777" w:rsidR="006F7DC2" w:rsidRDefault="006F7DC2" w:rsidP="00050D86">
      <w:pPr>
        <w:spacing w:line="240" w:lineRule="auto"/>
      </w:pPr>
      <w:r>
        <w:continuationSeparator/>
      </w:r>
    </w:p>
  </w:footnote>
  <w:footnote w:id="1">
    <w:p w14:paraId="0DE3087B" w14:textId="19A46335" w:rsidR="00B330AF" w:rsidRPr="00041E9A" w:rsidRDefault="00B330AF" w:rsidP="00B330AF">
      <w:pPr>
        <w:pStyle w:val="Voetnoottekst"/>
        <w:rPr>
          <w:sz w:val="13"/>
          <w:szCs w:val="13"/>
        </w:rPr>
      </w:pPr>
      <w:r w:rsidRPr="00B330AF">
        <w:rPr>
          <w:rStyle w:val="Voetnootmarkering"/>
          <w:sz w:val="14"/>
          <w:szCs w:val="14"/>
        </w:rPr>
        <w:footnoteRef/>
      </w:r>
      <w:r w:rsidRPr="00B330AF">
        <w:rPr>
          <w:sz w:val="14"/>
          <w:szCs w:val="14"/>
        </w:rPr>
        <w:t xml:space="preserve"> </w:t>
      </w:r>
      <w:hyperlink r:id="rId1" w:history="1">
        <w:r w:rsidRPr="00041E9A">
          <w:rPr>
            <w:rStyle w:val="Hyperlink"/>
            <w:sz w:val="13"/>
            <w:szCs w:val="13"/>
          </w:rPr>
          <w:t>https://www.dnb.nl/binaries/Betalingsverkeer%20in%20Nederland_tcm46-145628.pdf</w:t>
        </w:r>
      </w:hyperlink>
      <w:r w:rsidRPr="00041E9A">
        <w:rPr>
          <w:sz w:val="13"/>
          <w:szCs w:val="13"/>
        </w:rPr>
        <w:t xml:space="preserve">, </w:t>
      </w:r>
      <w:hyperlink r:id="rId2" w:history="1">
        <w:r w:rsidRPr="00041E9A">
          <w:rPr>
            <w:rStyle w:val="Hyperlink"/>
            <w:sz w:val="13"/>
            <w:szCs w:val="13"/>
          </w:rPr>
          <w:t>https://www.dnb.nl/binaries/NVB%20-%20onderzoek%20naar%20de%20opbrengsten%20en%20kosten%20voor%20het%20bankwezen%20in%20Nederland_tcm46-291241.pdf</w:t>
        </w:r>
      </w:hyperlink>
      <w:r w:rsidR="00737B2A">
        <w:rPr>
          <w:rStyle w:val="Hyperlink"/>
          <w:sz w:val="13"/>
          <w:szCs w:val="13"/>
        </w:rPr>
        <w:t>.</w:t>
      </w:r>
    </w:p>
  </w:footnote>
  <w:footnote w:id="2">
    <w:p w14:paraId="59C913C0" w14:textId="3262D1A0" w:rsidR="00B330AF" w:rsidRPr="00041E9A" w:rsidRDefault="00B330AF" w:rsidP="00B330AF">
      <w:pPr>
        <w:pStyle w:val="Voetnoottekst"/>
        <w:rPr>
          <w:sz w:val="13"/>
          <w:szCs w:val="13"/>
        </w:rPr>
      </w:pPr>
      <w:r w:rsidRPr="00041E9A">
        <w:rPr>
          <w:rStyle w:val="Voetnootmarkering"/>
          <w:sz w:val="13"/>
          <w:szCs w:val="13"/>
        </w:rPr>
        <w:footnoteRef/>
      </w:r>
      <w:r w:rsidRPr="00041E9A">
        <w:rPr>
          <w:sz w:val="13"/>
          <w:szCs w:val="13"/>
        </w:rPr>
        <w:t xml:space="preserve"> https://www.dnb.nl/binaries/DNB-rapport%20%27Veranderen%20voor%20vertrouwen%27%20-%20januari%202020_tcm46-386993.pdf</w:t>
      </w:r>
      <w:r w:rsidR="00737B2A">
        <w:rPr>
          <w:sz w:val="13"/>
          <w:szCs w:val="13"/>
        </w:rPr>
        <w:t>.</w:t>
      </w:r>
    </w:p>
  </w:footnote>
  <w:footnote w:id="3">
    <w:p w14:paraId="03AFB3C6" w14:textId="77777777" w:rsidR="000550D0" w:rsidRDefault="000550D0" w:rsidP="000550D0">
      <w:pPr>
        <w:pStyle w:val="Voetnoottekst"/>
        <w:rPr>
          <w:sz w:val="13"/>
          <w:szCs w:val="13"/>
        </w:rPr>
      </w:pPr>
      <w:r w:rsidRPr="00041E9A">
        <w:rPr>
          <w:rStyle w:val="Voetnootmarkering"/>
          <w:sz w:val="13"/>
          <w:szCs w:val="13"/>
        </w:rPr>
        <w:footnoteRef/>
      </w:r>
      <w:r w:rsidRPr="00041E9A">
        <w:rPr>
          <w:sz w:val="13"/>
          <w:szCs w:val="13"/>
        </w:rPr>
        <w:t xml:space="preserve"> Stb. 1971, 362.</w:t>
      </w:r>
      <w:r>
        <w:rPr>
          <w:sz w:val="13"/>
          <w:szCs w:val="13"/>
        </w:rPr>
        <w:t xml:space="preserve"> </w:t>
      </w:r>
    </w:p>
  </w:footnote>
  <w:footnote w:id="4">
    <w:p w14:paraId="069068BB" w14:textId="5F29CB20" w:rsidR="000550D0" w:rsidRDefault="000550D0" w:rsidP="0054382E">
      <w:pPr>
        <w:pStyle w:val="Voetnoottekst"/>
        <w:rPr>
          <w:sz w:val="13"/>
          <w:szCs w:val="13"/>
        </w:rPr>
      </w:pPr>
      <w:r>
        <w:rPr>
          <w:rStyle w:val="Voetnootmarkering"/>
          <w:sz w:val="13"/>
          <w:szCs w:val="13"/>
        </w:rPr>
        <w:footnoteRef/>
      </w:r>
      <w:r w:rsidR="002B0610">
        <w:rPr>
          <w:sz w:val="13"/>
          <w:szCs w:val="13"/>
        </w:rPr>
        <w:t xml:space="preserve"> Kamerstukken II 1991-19</w:t>
      </w:r>
      <w:r>
        <w:rPr>
          <w:sz w:val="13"/>
          <w:szCs w:val="13"/>
        </w:rPr>
        <w:t xml:space="preserve">92, 22 034, nr. 3. </w:t>
      </w:r>
    </w:p>
  </w:footnote>
  <w:footnote w:id="5">
    <w:p w14:paraId="6D0E9171" w14:textId="20528D60" w:rsidR="000550D0" w:rsidRDefault="000550D0" w:rsidP="0054382E">
      <w:pPr>
        <w:pStyle w:val="Voetnoottekst"/>
        <w:rPr>
          <w:sz w:val="13"/>
          <w:szCs w:val="13"/>
        </w:rPr>
      </w:pPr>
      <w:r>
        <w:rPr>
          <w:rStyle w:val="Voetnootmarkering"/>
          <w:sz w:val="13"/>
          <w:szCs w:val="13"/>
        </w:rPr>
        <w:footnoteRef/>
      </w:r>
      <w:r>
        <w:rPr>
          <w:sz w:val="13"/>
          <w:szCs w:val="13"/>
        </w:rPr>
        <w:t xml:space="preserve"> Kam</w:t>
      </w:r>
      <w:r w:rsidR="002B0610">
        <w:rPr>
          <w:sz w:val="13"/>
          <w:szCs w:val="13"/>
        </w:rPr>
        <w:t>erstukken II 2011-20</w:t>
      </w:r>
      <w:r>
        <w:rPr>
          <w:sz w:val="13"/>
          <w:szCs w:val="13"/>
        </w:rPr>
        <w:t xml:space="preserve">12, 33 313, nr. 2. </w:t>
      </w:r>
    </w:p>
  </w:footnote>
  <w:footnote w:id="6">
    <w:p w14:paraId="62EE8F24" w14:textId="5AF7F400" w:rsidR="000550D0" w:rsidRDefault="000550D0" w:rsidP="0054382E">
      <w:pPr>
        <w:pStyle w:val="Voetnoottekst"/>
        <w:rPr>
          <w:sz w:val="13"/>
          <w:szCs w:val="13"/>
        </w:rPr>
      </w:pPr>
      <w:r>
        <w:rPr>
          <w:rStyle w:val="Voetnootmarkering"/>
          <w:sz w:val="13"/>
          <w:szCs w:val="13"/>
        </w:rPr>
        <w:footnoteRef/>
      </w:r>
      <w:r>
        <w:rPr>
          <w:sz w:val="13"/>
          <w:szCs w:val="13"/>
        </w:rPr>
        <w:t xml:space="preserve"> Zo zou volgens het initiatiefvoorstel een bank met zetel in een andere lidstaat geen jongeren-spaarrekeningen in Nederland mogen aanbieden (zie ook https://zoek.officielebekendmakingen.nl/blg-830514.pdf)</w:t>
      </w:r>
      <w:r w:rsidR="0054382E">
        <w:rPr>
          <w:sz w:val="13"/>
          <w:szCs w:val="13"/>
        </w:rPr>
        <w:t>.</w:t>
      </w:r>
    </w:p>
  </w:footnote>
  <w:footnote w:id="7">
    <w:p w14:paraId="74F631EA" w14:textId="77777777" w:rsidR="000550D0" w:rsidRDefault="000550D0" w:rsidP="0054382E">
      <w:pPr>
        <w:pStyle w:val="Voetnoottekst"/>
        <w:rPr>
          <w:sz w:val="13"/>
          <w:szCs w:val="13"/>
        </w:rPr>
      </w:pPr>
      <w:r>
        <w:rPr>
          <w:rStyle w:val="Voetnootmarkering"/>
          <w:sz w:val="13"/>
          <w:szCs w:val="13"/>
        </w:rPr>
        <w:footnoteRef/>
      </w:r>
      <w:r>
        <w:rPr>
          <w:sz w:val="13"/>
          <w:szCs w:val="13"/>
        </w:rPr>
        <w:t xml:space="preserve"> Kamerstukken II, 2017/18, 33 313, nr. 4. </w:t>
      </w:r>
    </w:p>
  </w:footnote>
  <w:footnote w:id="8">
    <w:p w14:paraId="23E5D60C" w14:textId="12A2571F" w:rsidR="000550D0" w:rsidRDefault="000550D0" w:rsidP="0054382E">
      <w:pPr>
        <w:pStyle w:val="Voetnoottekst"/>
        <w:rPr>
          <w:sz w:val="13"/>
          <w:szCs w:val="13"/>
        </w:rPr>
      </w:pPr>
      <w:r>
        <w:rPr>
          <w:rStyle w:val="Voetnootmarkering"/>
          <w:sz w:val="13"/>
          <w:szCs w:val="13"/>
        </w:rPr>
        <w:footnoteRef/>
      </w:r>
      <w:r>
        <w:rPr>
          <w:sz w:val="13"/>
          <w:szCs w:val="13"/>
        </w:rPr>
        <w:t xml:space="preserve"> Zie bijvoorbeeld: https://www.snsbank.nl/particulier/sparen/zilvervloot-sparen.html, </w:t>
      </w:r>
      <w:hyperlink r:id="rId3" w:history="1">
        <w:r>
          <w:rPr>
            <w:rStyle w:val="Hyperlink"/>
            <w:sz w:val="13"/>
            <w:szCs w:val="13"/>
          </w:rPr>
          <w:t>https://www.regiobank.nl/sparen/zilvervloot-sparen.html</w:t>
        </w:r>
      </w:hyperlink>
      <w:r>
        <w:rPr>
          <w:sz w:val="13"/>
          <w:szCs w:val="13"/>
        </w:rPr>
        <w:t xml:space="preserve"> &amp; https://www.triodos.nl/sparen/kinder-toekomst-plan</w:t>
      </w:r>
      <w:r w:rsidR="0054382E">
        <w:rPr>
          <w:sz w:val="13"/>
          <w:szCs w:val="13"/>
        </w:rPr>
        <w:t>.</w:t>
      </w:r>
    </w:p>
  </w:footnote>
  <w:footnote w:id="9">
    <w:p w14:paraId="43513D89" w14:textId="77777777" w:rsidR="000550D0" w:rsidRDefault="000550D0" w:rsidP="0054382E">
      <w:pPr>
        <w:spacing w:line="240" w:lineRule="auto"/>
        <w:rPr>
          <w:sz w:val="13"/>
          <w:szCs w:val="13"/>
        </w:rPr>
      </w:pPr>
      <w:r>
        <w:rPr>
          <w:rStyle w:val="Voetnootmarkering"/>
          <w:sz w:val="13"/>
          <w:szCs w:val="13"/>
        </w:rPr>
        <w:footnoteRef/>
      </w:r>
      <w:r>
        <w:rPr>
          <w:sz w:val="13"/>
          <w:szCs w:val="13"/>
        </w:rPr>
        <w:t xml:space="preserve"> NIBUD scholierenonderzoek 2016, Utrecht 2016, blz. 35. </w:t>
      </w:r>
      <w:hyperlink r:id="rId4" w:history="1">
        <w:r>
          <w:rPr>
            <w:rStyle w:val="Hyperlink"/>
            <w:sz w:val="13"/>
            <w:szCs w:val="13"/>
          </w:rPr>
          <w:t>https://www.nibud.nl/wp-content/uploads/Nibud-scholierenonderzoek_2016.pdf</w:t>
        </w:r>
      </w:hyperlink>
      <w:r>
        <w:rPr>
          <w:sz w:val="13"/>
          <w:szCs w:val="13"/>
        </w:rPr>
        <w:t xml:space="preserve">. </w:t>
      </w:r>
    </w:p>
    <w:p w14:paraId="1EB28CEF" w14:textId="77777777" w:rsidR="000550D0" w:rsidRDefault="000550D0" w:rsidP="000550D0">
      <w:pPr>
        <w:pStyle w:val="Voetnoottekst"/>
      </w:pPr>
    </w:p>
  </w:footnote>
  <w:footnote w:id="10">
    <w:p w14:paraId="137139AA" w14:textId="77777777" w:rsidR="00814A2C" w:rsidRPr="00E04943" w:rsidRDefault="00814A2C" w:rsidP="00814A2C">
      <w:pPr>
        <w:pStyle w:val="Voetnoottekst"/>
        <w:rPr>
          <w:sz w:val="13"/>
          <w:szCs w:val="13"/>
        </w:rPr>
      </w:pPr>
      <w:r w:rsidRPr="00E04943">
        <w:rPr>
          <w:rStyle w:val="Voetnootmarkering"/>
          <w:sz w:val="13"/>
          <w:szCs w:val="13"/>
        </w:rPr>
        <w:footnoteRef/>
      </w:r>
      <w:r w:rsidRPr="00E04943">
        <w:rPr>
          <w:sz w:val="13"/>
          <w:szCs w:val="13"/>
        </w:rPr>
        <w:t xml:space="preserve"> 1) Houd je beveiligingscodes geheim 2) Zorg ervoor dat je bankpas nooit door een ander gebruikt wordt 3) Zorg voor een goede beveiliging van de apparatuur die je gebruikt voor je bankzaken 4 ) Controleer je bankrekening 5) Meld incidenten direct aan de bank en volg aanwijzingen van de bank op. </w:t>
      </w:r>
    </w:p>
  </w:footnote>
  <w:footnote w:id="11">
    <w:p w14:paraId="1AA89E08" w14:textId="77777777" w:rsidR="00283A75" w:rsidRPr="00283A75" w:rsidRDefault="00283A75" w:rsidP="00283A75">
      <w:pPr>
        <w:pStyle w:val="Voetnoottekst"/>
        <w:rPr>
          <w:rFonts w:ascii="Calibri" w:hAnsi="Calibri"/>
          <w:sz w:val="14"/>
          <w:szCs w:val="14"/>
        </w:rPr>
      </w:pPr>
      <w:r w:rsidRPr="00E04943">
        <w:rPr>
          <w:rStyle w:val="Voetnootmarkering"/>
          <w:sz w:val="13"/>
          <w:szCs w:val="13"/>
        </w:rPr>
        <w:footnoteRef/>
      </w:r>
      <w:r w:rsidRPr="00E04943">
        <w:rPr>
          <w:sz w:val="13"/>
          <w:szCs w:val="13"/>
        </w:rPr>
        <w:t xml:space="preserve"> </w:t>
      </w:r>
      <w:hyperlink r:id="rId5" w:history="1">
        <w:r w:rsidRPr="00E04943">
          <w:rPr>
            <w:rStyle w:val="Hyperlink"/>
            <w:sz w:val="13"/>
            <w:szCs w:val="13"/>
          </w:rPr>
          <w:t>https://www.betaalvereniging.nl/actueel/nieuws/aangepaste-uniforme-veiligheidsregels-voor-consumenten/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51823" w14:textId="77777777" w:rsidR="00270F8C" w:rsidRDefault="00270F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0B8C0" w14:textId="77777777" w:rsidR="00270F8C" w:rsidRDefault="00270F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295B8" w14:textId="77777777" w:rsidR="00270F8C" w:rsidRDefault="00270F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4EB1"/>
    <w:multiLevelType w:val="hybridMultilevel"/>
    <w:tmpl w:val="42528E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71A770E"/>
    <w:multiLevelType w:val="hybridMultilevel"/>
    <w:tmpl w:val="272627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D86"/>
    <w:rsid w:val="00037AEE"/>
    <w:rsid w:val="000418FE"/>
    <w:rsid w:val="00041E9A"/>
    <w:rsid w:val="00050D86"/>
    <w:rsid w:val="00053029"/>
    <w:rsid w:val="00053D94"/>
    <w:rsid w:val="000550D0"/>
    <w:rsid w:val="00062D17"/>
    <w:rsid w:val="00071AC0"/>
    <w:rsid w:val="0009279D"/>
    <w:rsid w:val="000C798C"/>
    <w:rsid w:val="000D3E14"/>
    <w:rsid w:val="000F0203"/>
    <w:rsid w:val="000F0B3E"/>
    <w:rsid w:val="00100B49"/>
    <w:rsid w:val="001036AF"/>
    <w:rsid w:val="00126F4C"/>
    <w:rsid w:val="00185E1E"/>
    <w:rsid w:val="001965DA"/>
    <w:rsid w:val="001A0132"/>
    <w:rsid w:val="001A2F8F"/>
    <w:rsid w:val="001B049B"/>
    <w:rsid w:val="001C2FAB"/>
    <w:rsid w:val="001C6087"/>
    <w:rsid w:val="001D1ECC"/>
    <w:rsid w:val="001D3921"/>
    <w:rsid w:val="001D3B8B"/>
    <w:rsid w:val="001E56DD"/>
    <w:rsid w:val="001F12A4"/>
    <w:rsid w:val="00200297"/>
    <w:rsid w:val="002222E2"/>
    <w:rsid w:val="002369E5"/>
    <w:rsid w:val="00243DAD"/>
    <w:rsid w:val="0024646E"/>
    <w:rsid w:val="002561A9"/>
    <w:rsid w:val="00270F8C"/>
    <w:rsid w:val="00271945"/>
    <w:rsid w:val="002752CE"/>
    <w:rsid w:val="00283A75"/>
    <w:rsid w:val="002859F8"/>
    <w:rsid w:val="002B0610"/>
    <w:rsid w:val="002B7098"/>
    <w:rsid w:val="002C3B4D"/>
    <w:rsid w:val="002E7DFC"/>
    <w:rsid w:val="00316480"/>
    <w:rsid w:val="003262CF"/>
    <w:rsid w:val="003375FF"/>
    <w:rsid w:val="00361C0F"/>
    <w:rsid w:val="0036768B"/>
    <w:rsid w:val="00390E3E"/>
    <w:rsid w:val="003A64B5"/>
    <w:rsid w:val="003C385A"/>
    <w:rsid w:val="003D770C"/>
    <w:rsid w:val="00401920"/>
    <w:rsid w:val="0041042A"/>
    <w:rsid w:val="0041142E"/>
    <w:rsid w:val="00445492"/>
    <w:rsid w:val="00473F16"/>
    <w:rsid w:val="00474BFB"/>
    <w:rsid w:val="00476E38"/>
    <w:rsid w:val="004A39A4"/>
    <w:rsid w:val="004B636A"/>
    <w:rsid w:val="004C077E"/>
    <w:rsid w:val="004D69EF"/>
    <w:rsid w:val="004E08F6"/>
    <w:rsid w:val="00532AC1"/>
    <w:rsid w:val="0054382E"/>
    <w:rsid w:val="00545480"/>
    <w:rsid w:val="005472E2"/>
    <w:rsid w:val="005622C4"/>
    <w:rsid w:val="00570591"/>
    <w:rsid w:val="005807BD"/>
    <w:rsid w:val="005905C7"/>
    <w:rsid w:val="005B3793"/>
    <w:rsid w:val="005D2FC5"/>
    <w:rsid w:val="005E52A7"/>
    <w:rsid w:val="005F5CE1"/>
    <w:rsid w:val="00600B00"/>
    <w:rsid w:val="0063090F"/>
    <w:rsid w:val="00632773"/>
    <w:rsid w:val="006471DF"/>
    <w:rsid w:val="0066350A"/>
    <w:rsid w:val="00665890"/>
    <w:rsid w:val="006666AA"/>
    <w:rsid w:val="00666F04"/>
    <w:rsid w:val="00680F34"/>
    <w:rsid w:val="00692532"/>
    <w:rsid w:val="006D55E6"/>
    <w:rsid w:val="006F7DC2"/>
    <w:rsid w:val="00714F3C"/>
    <w:rsid w:val="00733071"/>
    <w:rsid w:val="00734CBF"/>
    <w:rsid w:val="00737B2A"/>
    <w:rsid w:val="00741773"/>
    <w:rsid w:val="0075210B"/>
    <w:rsid w:val="00763BFB"/>
    <w:rsid w:val="00795E58"/>
    <w:rsid w:val="007B3EA7"/>
    <w:rsid w:val="007B5AD6"/>
    <w:rsid w:val="007D6275"/>
    <w:rsid w:val="007E386D"/>
    <w:rsid w:val="007E6259"/>
    <w:rsid w:val="007F073E"/>
    <w:rsid w:val="00813630"/>
    <w:rsid w:val="00814A2C"/>
    <w:rsid w:val="008226BB"/>
    <w:rsid w:val="0089023D"/>
    <w:rsid w:val="008960EB"/>
    <w:rsid w:val="00896112"/>
    <w:rsid w:val="008A03E4"/>
    <w:rsid w:val="008A1708"/>
    <w:rsid w:val="008A64B6"/>
    <w:rsid w:val="008C5AA4"/>
    <w:rsid w:val="008E2E0A"/>
    <w:rsid w:val="008F212A"/>
    <w:rsid w:val="00910785"/>
    <w:rsid w:val="009122EC"/>
    <w:rsid w:val="00912CFA"/>
    <w:rsid w:val="009176E1"/>
    <w:rsid w:val="009259F0"/>
    <w:rsid w:val="00932FA7"/>
    <w:rsid w:val="00952BE5"/>
    <w:rsid w:val="0097408A"/>
    <w:rsid w:val="0099500D"/>
    <w:rsid w:val="009B3230"/>
    <w:rsid w:val="009E1022"/>
    <w:rsid w:val="009F7E51"/>
    <w:rsid w:val="00A13625"/>
    <w:rsid w:val="00A54BE1"/>
    <w:rsid w:val="00A57E03"/>
    <w:rsid w:val="00A73141"/>
    <w:rsid w:val="00A86439"/>
    <w:rsid w:val="00A925BE"/>
    <w:rsid w:val="00A928EA"/>
    <w:rsid w:val="00AA6A2D"/>
    <w:rsid w:val="00AD62BC"/>
    <w:rsid w:val="00AE0EFA"/>
    <w:rsid w:val="00B06701"/>
    <w:rsid w:val="00B1126A"/>
    <w:rsid w:val="00B117CE"/>
    <w:rsid w:val="00B11F66"/>
    <w:rsid w:val="00B21B18"/>
    <w:rsid w:val="00B22950"/>
    <w:rsid w:val="00B330AF"/>
    <w:rsid w:val="00B33832"/>
    <w:rsid w:val="00B5508D"/>
    <w:rsid w:val="00B6251B"/>
    <w:rsid w:val="00B63AFC"/>
    <w:rsid w:val="00B66D60"/>
    <w:rsid w:val="00B82527"/>
    <w:rsid w:val="00B921C5"/>
    <w:rsid w:val="00B94360"/>
    <w:rsid w:val="00B979D5"/>
    <w:rsid w:val="00BA35BC"/>
    <w:rsid w:val="00BC1DB1"/>
    <w:rsid w:val="00BD2E6B"/>
    <w:rsid w:val="00BE268E"/>
    <w:rsid w:val="00C12272"/>
    <w:rsid w:val="00C129A4"/>
    <w:rsid w:val="00C170FF"/>
    <w:rsid w:val="00C410CD"/>
    <w:rsid w:val="00C454AD"/>
    <w:rsid w:val="00C47CBD"/>
    <w:rsid w:val="00C505A5"/>
    <w:rsid w:val="00C53F8C"/>
    <w:rsid w:val="00C5510F"/>
    <w:rsid w:val="00C55B96"/>
    <w:rsid w:val="00C6458F"/>
    <w:rsid w:val="00C75DB6"/>
    <w:rsid w:val="00C97FE4"/>
    <w:rsid w:val="00CA1C46"/>
    <w:rsid w:val="00CA3310"/>
    <w:rsid w:val="00CC0F51"/>
    <w:rsid w:val="00CC2E03"/>
    <w:rsid w:val="00CD61AA"/>
    <w:rsid w:val="00CE4D15"/>
    <w:rsid w:val="00D04BBF"/>
    <w:rsid w:val="00D13B9D"/>
    <w:rsid w:val="00D570A9"/>
    <w:rsid w:val="00D74F62"/>
    <w:rsid w:val="00DA02B0"/>
    <w:rsid w:val="00DA0469"/>
    <w:rsid w:val="00DD4693"/>
    <w:rsid w:val="00E04943"/>
    <w:rsid w:val="00E52C87"/>
    <w:rsid w:val="00E74408"/>
    <w:rsid w:val="00E81CEC"/>
    <w:rsid w:val="00E81EE4"/>
    <w:rsid w:val="00E82A22"/>
    <w:rsid w:val="00ED77A3"/>
    <w:rsid w:val="00EF387A"/>
    <w:rsid w:val="00EF4ECD"/>
    <w:rsid w:val="00F12768"/>
    <w:rsid w:val="00F25BFE"/>
    <w:rsid w:val="00F405F3"/>
    <w:rsid w:val="00F408E4"/>
    <w:rsid w:val="00F625AB"/>
    <w:rsid w:val="00F63904"/>
    <w:rsid w:val="00FD52AA"/>
    <w:rsid w:val="00FE33DC"/>
    <w:rsid w:val="00FE6E0E"/>
    <w:rsid w:val="00FF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6FF17"/>
  <w15:chartTrackingRefBased/>
  <w15:docId w15:val="{203F2823-352C-4789-B2AC-B28AB90C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050D86"/>
    <w:pPr>
      <w:autoSpaceDN w:val="0"/>
      <w:spacing w:after="0" w:line="240" w:lineRule="exac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50D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50D86"/>
  </w:style>
  <w:style w:type="paragraph" w:styleId="Voettekst">
    <w:name w:val="footer"/>
    <w:basedOn w:val="Standaard"/>
    <w:link w:val="VoettekstChar"/>
    <w:uiPriority w:val="99"/>
    <w:unhideWhenUsed/>
    <w:rsid w:val="00050D8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50D86"/>
  </w:style>
  <w:style w:type="table" w:styleId="Tabelraster">
    <w:name w:val="Table Grid"/>
    <w:basedOn w:val="Standaardtabel"/>
    <w:rsid w:val="00050D86"/>
    <w:pPr>
      <w:spacing w:after="0" w:line="240" w:lineRule="auto"/>
    </w:pPr>
    <w:rPr>
      <w:rFonts w:eastAsia="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50D86"/>
    <w:pPr>
      <w:autoSpaceDN/>
      <w:spacing w:line="240" w:lineRule="atLeast"/>
      <w:ind w:left="720"/>
      <w:contextualSpacing/>
      <w:textAlignment w:val="auto"/>
    </w:pPr>
    <w:rPr>
      <w:rFonts w:eastAsia="Times New Roman" w:cs="Times New Roman"/>
      <w:color w:val="auto"/>
      <w:szCs w:val="24"/>
    </w:rPr>
  </w:style>
  <w:style w:type="paragraph" w:styleId="Ballontekst">
    <w:name w:val="Balloon Text"/>
    <w:basedOn w:val="Standaard"/>
    <w:link w:val="BallontekstChar"/>
    <w:uiPriority w:val="99"/>
    <w:semiHidden/>
    <w:unhideWhenUsed/>
    <w:rsid w:val="00270F8C"/>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70F8C"/>
    <w:rPr>
      <w:rFonts w:ascii="Segoe UI" w:eastAsia="DejaVu Sans" w:hAnsi="Segoe UI" w:cs="Segoe UI"/>
      <w:color w:val="000000"/>
      <w:szCs w:val="18"/>
      <w:lang w:val="nl-NL" w:eastAsia="nl-NL"/>
    </w:rPr>
  </w:style>
  <w:style w:type="character" w:styleId="Verwijzingopmerking">
    <w:name w:val="annotation reference"/>
    <w:basedOn w:val="Standaardalinea-lettertype"/>
    <w:uiPriority w:val="99"/>
    <w:semiHidden/>
    <w:unhideWhenUsed/>
    <w:rsid w:val="00B22950"/>
    <w:rPr>
      <w:sz w:val="16"/>
      <w:szCs w:val="16"/>
    </w:rPr>
  </w:style>
  <w:style w:type="paragraph" w:styleId="Tekstopmerking">
    <w:name w:val="annotation text"/>
    <w:basedOn w:val="Standaard"/>
    <w:link w:val="TekstopmerkingChar"/>
    <w:uiPriority w:val="99"/>
    <w:semiHidden/>
    <w:unhideWhenUsed/>
    <w:rsid w:val="00B2295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22950"/>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B22950"/>
    <w:rPr>
      <w:b/>
      <w:bCs/>
    </w:rPr>
  </w:style>
  <w:style w:type="character" w:customStyle="1" w:styleId="OnderwerpvanopmerkingChar">
    <w:name w:val="Onderwerp van opmerking Char"/>
    <w:basedOn w:val="TekstopmerkingChar"/>
    <w:link w:val="Onderwerpvanopmerking"/>
    <w:uiPriority w:val="99"/>
    <w:semiHidden/>
    <w:rsid w:val="00B22950"/>
    <w:rPr>
      <w:rFonts w:eastAsia="DejaVu Sans" w:cs="Lohit Hindi"/>
      <w:b/>
      <w:bCs/>
      <w:color w:val="000000"/>
      <w:sz w:val="20"/>
      <w:szCs w:val="20"/>
      <w:lang w:val="nl-NL" w:eastAsia="nl-NL"/>
    </w:rPr>
  </w:style>
  <w:style w:type="character" w:styleId="Hyperlink">
    <w:name w:val="Hyperlink"/>
    <w:basedOn w:val="Standaardalinea-lettertype"/>
    <w:uiPriority w:val="99"/>
    <w:unhideWhenUsed/>
    <w:rsid w:val="008226BB"/>
    <w:rPr>
      <w:color w:val="0563C1" w:themeColor="hyperlink"/>
      <w:u w:val="single"/>
    </w:rPr>
  </w:style>
  <w:style w:type="paragraph" w:styleId="Voetnoottekst">
    <w:name w:val="footnote text"/>
    <w:basedOn w:val="Standaard"/>
    <w:link w:val="VoetnoottekstChar"/>
    <w:uiPriority w:val="99"/>
    <w:semiHidden/>
    <w:unhideWhenUsed/>
    <w:rsid w:val="005622C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622C4"/>
    <w:rPr>
      <w:rFonts w:eastAsia="DejaVu Sans" w:cs="Lohit Hindi"/>
      <w:color w:val="000000"/>
      <w:sz w:val="20"/>
      <w:szCs w:val="20"/>
      <w:lang w:val="nl-NL" w:eastAsia="nl-NL"/>
    </w:rPr>
  </w:style>
  <w:style w:type="character" w:styleId="Voetnootmarkering">
    <w:name w:val="footnote reference"/>
    <w:basedOn w:val="Standaardalinea-lettertype"/>
    <w:uiPriority w:val="99"/>
    <w:semiHidden/>
    <w:unhideWhenUsed/>
    <w:rsid w:val="005622C4"/>
    <w:rPr>
      <w:vertAlign w:val="superscript"/>
    </w:rPr>
  </w:style>
  <w:style w:type="character" w:styleId="GevolgdeHyperlink">
    <w:name w:val="FollowedHyperlink"/>
    <w:basedOn w:val="Standaardalinea-lettertype"/>
    <w:uiPriority w:val="99"/>
    <w:semiHidden/>
    <w:unhideWhenUsed/>
    <w:rsid w:val="001E56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5420">
      <w:bodyDiv w:val="1"/>
      <w:marLeft w:val="0"/>
      <w:marRight w:val="0"/>
      <w:marTop w:val="0"/>
      <w:marBottom w:val="0"/>
      <w:divBdr>
        <w:top w:val="none" w:sz="0" w:space="0" w:color="auto"/>
        <w:left w:val="none" w:sz="0" w:space="0" w:color="auto"/>
        <w:bottom w:val="none" w:sz="0" w:space="0" w:color="auto"/>
        <w:right w:val="none" w:sz="0" w:space="0" w:color="auto"/>
      </w:divBdr>
    </w:div>
    <w:div w:id="156384902">
      <w:bodyDiv w:val="1"/>
      <w:marLeft w:val="0"/>
      <w:marRight w:val="0"/>
      <w:marTop w:val="0"/>
      <w:marBottom w:val="0"/>
      <w:divBdr>
        <w:top w:val="none" w:sz="0" w:space="0" w:color="auto"/>
        <w:left w:val="none" w:sz="0" w:space="0" w:color="auto"/>
        <w:bottom w:val="none" w:sz="0" w:space="0" w:color="auto"/>
        <w:right w:val="none" w:sz="0" w:space="0" w:color="auto"/>
      </w:divBdr>
    </w:div>
    <w:div w:id="422189462">
      <w:bodyDiv w:val="1"/>
      <w:marLeft w:val="0"/>
      <w:marRight w:val="0"/>
      <w:marTop w:val="0"/>
      <w:marBottom w:val="0"/>
      <w:divBdr>
        <w:top w:val="none" w:sz="0" w:space="0" w:color="auto"/>
        <w:left w:val="none" w:sz="0" w:space="0" w:color="auto"/>
        <w:bottom w:val="none" w:sz="0" w:space="0" w:color="auto"/>
        <w:right w:val="none" w:sz="0" w:space="0" w:color="auto"/>
      </w:divBdr>
    </w:div>
    <w:div w:id="513111032">
      <w:bodyDiv w:val="1"/>
      <w:marLeft w:val="0"/>
      <w:marRight w:val="0"/>
      <w:marTop w:val="0"/>
      <w:marBottom w:val="0"/>
      <w:divBdr>
        <w:top w:val="none" w:sz="0" w:space="0" w:color="auto"/>
        <w:left w:val="none" w:sz="0" w:space="0" w:color="auto"/>
        <w:bottom w:val="none" w:sz="0" w:space="0" w:color="auto"/>
        <w:right w:val="none" w:sz="0" w:space="0" w:color="auto"/>
      </w:divBdr>
    </w:div>
    <w:div w:id="669717265">
      <w:bodyDiv w:val="1"/>
      <w:marLeft w:val="0"/>
      <w:marRight w:val="0"/>
      <w:marTop w:val="0"/>
      <w:marBottom w:val="0"/>
      <w:divBdr>
        <w:top w:val="none" w:sz="0" w:space="0" w:color="auto"/>
        <w:left w:val="none" w:sz="0" w:space="0" w:color="auto"/>
        <w:bottom w:val="none" w:sz="0" w:space="0" w:color="auto"/>
        <w:right w:val="none" w:sz="0" w:space="0" w:color="auto"/>
      </w:divBdr>
    </w:div>
    <w:div w:id="836505487">
      <w:bodyDiv w:val="1"/>
      <w:marLeft w:val="0"/>
      <w:marRight w:val="0"/>
      <w:marTop w:val="0"/>
      <w:marBottom w:val="0"/>
      <w:divBdr>
        <w:top w:val="none" w:sz="0" w:space="0" w:color="auto"/>
        <w:left w:val="none" w:sz="0" w:space="0" w:color="auto"/>
        <w:bottom w:val="none" w:sz="0" w:space="0" w:color="auto"/>
        <w:right w:val="none" w:sz="0" w:space="0" w:color="auto"/>
      </w:divBdr>
    </w:div>
    <w:div w:id="990258601">
      <w:bodyDiv w:val="1"/>
      <w:marLeft w:val="0"/>
      <w:marRight w:val="0"/>
      <w:marTop w:val="0"/>
      <w:marBottom w:val="0"/>
      <w:divBdr>
        <w:top w:val="none" w:sz="0" w:space="0" w:color="auto"/>
        <w:left w:val="none" w:sz="0" w:space="0" w:color="auto"/>
        <w:bottom w:val="none" w:sz="0" w:space="0" w:color="auto"/>
        <w:right w:val="none" w:sz="0" w:space="0" w:color="auto"/>
      </w:divBdr>
    </w:div>
    <w:div w:id="1044208831">
      <w:bodyDiv w:val="1"/>
      <w:marLeft w:val="0"/>
      <w:marRight w:val="0"/>
      <w:marTop w:val="0"/>
      <w:marBottom w:val="0"/>
      <w:divBdr>
        <w:top w:val="none" w:sz="0" w:space="0" w:color="auto"/>
        <w:left w:val="none" w:sz="0" w:space="0" w:color="auto"/>
        <w:bottom w:val="none" w:sz="0" w:space="0" w:color="auto"/>
        <w:right w:val="none" w:sz="0" w:space="0" w:color="auto"/>
      </w:divBdr>
    </w:div>
    <w:div w:id="1048803809">
      <w:bodyDiv w:val="1"/>
      <w:marLeft w:val="0"/>
      <w:marRight w:val="0"/>
      <w:marTop w:val="0"/>
      <w:marBottom w:val="0"/>
      <w:divBdr>
        <w:top w:val="none" w:sz="0" w:space="0" w:color="auto"/>
        <w:left w:val="none" w:sz="0" w:space="0" w:color="auto"/>
        <w:bottom w:val="none" w:sz="0" w:space="0" w:color="auto"/>
        <w:right w:val="none" w:sz="0" w:space="0" w:color="auto"/>
      </w:divBdr>
    </w:div>
    <w:div w:id="1521621754">
      <w:bodyDiv w:val="1"/>
      <w:marLeft w:val="0"/>
      <w:marRight w:val="0"/>
      <w:marTop w:val="0"/>
      <w:marBottom w:val="0"/>
      <w:divBdr>
        <w:top w:val="none" w:sz="0" w:space="0" w:color="auto"/>
        <w:left w:val="none" w:sz="0" w:space="0" w:color="auto"/>
        <w:bottom w:val="none" w:sz="0" w:space="0" w:color="auto"/>
        <w:right w:val="none" w:sz="0" w:space="0" w:color="auto"/>
      </w:divBdr>
    </w:div>
    <w:div w:id="1655840566">
      <w:bodyDiv w:val="1"/>
      <w:marLeft w:val="0"/>
      <w:marRight w:val="0"/>
      <w:marTop w:val="0"/>
      <w:marBottom w:val="0"/>
      <w:divBdr>
        <w:top w:val="none" w:sz="0" w:space="0" w:color="auto"/>
        <w:left w:val="none" w:sz="0" w:space="0" w:color="auto"/>
        <w:bottom w:val="none" w:sz="0" w:space="0" w:color="auto"/>
        <w:right w:val="none" w:sz="0" w:space="0" w:color="auto"/>
      </w:divBdr>
    </w:div>
    <w:div w:id="1762291898">
      <w:bodyDiv w:val="1"/>
      <w:marLeft w:val="0"/>
      <w:marRight w:val="0"/>
      <w:marTop w:val="0"/>
      <w:marBottom w:val="0"/>
      <w:divBdr>
        <w:top w:val="none" w:sz="0" w:space="0" w:color="auto"/>
        <w:left w:val="none" w:sz="0" w:space="0" w:color="auto"/>
        <w:bottom w:val="none" w:sz="0" w:space="0" w:color="auto"/>
        <w:right w:val="none" w:sz="0" w:space="0" w:color="auto"/>
      </w:divBdr>
    </w:div>
    <w:div w:id="1871794508">
      <w:bodyDiv w:val="1"/>
      <w:marLeft w:val="0"/>
      <w:marRight w:val="0"/>
      <w:marTop w:val="0"/>
      <w:marBottom w:val="0"/>
      <w:divBdr>
        <w:top w:val="none" w:sz="0" w:space="0" w:color="auto"/>
        <w:left w:val="none" w:sz="0" w:space="0" w:color="auto"/>
        <w:bottom w:val="none" w:sz="0" w:space="0" w:color="auto"/>
        <w:right w:val="none" w:sz="0" w:space="0" w:color="auto"/>
      </w:divBdr>
    </w:div>
    <w:div w:id="1987784073">
      <w:bodyDiv w:val="1"/>
      <w:marLeft w:val="0"/>
      <w:marRight w:val="0"/>
      <w:marTop w:val="0"/>
      <w:marBottom w:val="0"/>
      <w:divBdr>
        <w:top w:val="none" w:sz="0" w:space="0" w:color="auto"/>
        <w:left w:val="none" w:sz="0" w:space="0" w:color="auto"/>
        <w:bottom w:val="none" w:sz="0" w:space="0" w:color="auto"/>
        <w:right w:val="none" w:sz="0" w:space="0" w:color="auto"/>
      </w:divBdr>
    </w:div>
    <w:div w:id="199009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giobank.nl/sparen/zilvervloot-sparen.html" TargetMode="External"/><Relationship Id="rId2" Type="http://schemas.openxmlformats.org/officeDocument/2006/relationships/hyperlink" Target="https://www.dnb.nl/binaries/NVB%20-%20onderzoek%20naar%20de%20opbrengsten%20en%20kosten%20voor%20het%20bankwezen%20in%20Nederland_tcm46-291241.pdf" TargetMode="External"/><Relationship Id="rId1" Type="http://schemas.openxmlformats.org/officeDocument/2006/relationships/hyperlink" Target="https://www.dnb.nl/binaries/Betalingsverkeer%20in%20Nederland_tcm46-145628.pdf" TargetMode="External"/><Relationship Id="rId5" Type="http://schemas.openxmlformats.org/officeDocument/2006/relationships/hyperlink" Target="https://www.betaalvereniging.nl/actueel/nieuws/aangepaste-uniforme-veiligheidsregels-voor-consumenten/" TargetMode="External"/><Relationship Id="rId4" Type="http://schemas.openxmlformats.org/officeDocument/2006/relationships/hyperlink" Target="https://www.nibud.nl/wp-content/uploads/Nibud-scholierenonderzoek_2016.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2333</ap:Words>
  <ap:Characters>12833</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2019-05-16T14:17:00.0000000Z</lastPrinted>
  <dcterms:created xsi:type="dcterms:W3CDTF">2020-04-21T05:42:00.0000000Z</dcterms:created>
  <dcterms:modified xsi:type="dcterms:W3CDTF">2020-04-21T05:42:00.0000000Z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0x010100106F5C8D95CA8146A6127B402A36003F</vt:lpwstr>
  </property>
</Properties>
</file>