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5D3A14C3"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547C65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6547C65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W04.20.0081/I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maart 2020</w:t>
              </w:r>
            </w:sdtContent>
          </w:sdt>
        </w:p>
        <w:p w:rsidRPr="00831363" w:rsidR="001410FD" w:rsidP="00AC5AD9" w:rsidRDefault="001410FD" w14:paraId="0D91B408" w14:textId="77777777">
          <w:pPr>
            <w:tabs>
              <w:tab w:val="left" w:pos="3686"/>
            </w:tabs>
          </w:pPr>
        </w:p>
        <w:p w:rsidRPr="00831363" w:rsidR="00636D17" w:rsidP="00636D17" w:rsidRDefault="00636D17" w14:paraId="29B44D02" w14:textId="77777777">
          <w:pPr>
            <w:tabs>
              <w:tab w:val="left" w:pos="3685"/>
            </w:tabs>
          </w:pPr>
        </w:p>
        <w:p w:rsidRPr="00831363" w:rsidR="00636D17" w:rsidP="00636D17" w:rsidRDefault="00636D17" w14:paraId="04FAFEC0"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C4429" w:rsidRDefault="009107D1" w14:paraId="2C0BC7FE" w14:textId="77777777">
              <w:r>
                <w:t>Bij Kabinetsmissive van 27 maart 2020, no.2020000669, heeft Uwe Majesteit, op voordracht van de Minister van Binnenlandse Zaken en Koninkrijksrelaties, bij de Afdeling advisering van de Raad van State ter overweging aanhangig gemaakt het voorstel van wet, houdende regels voor het tijdelijk voorzien in besluitvorming via digitale weg door besturen van provincies, gemeenten, waterschappen en de openbare lichamen Bonaire en Saba (Tijdelijke wet digitale beraadslaging en besluitvorming provincies, gemeenten, waterschappen en de openbare lichamen Bonaire, Sint Eustatius en Saba), met memorie van toelichting.</w:t>
              </w:r>
            </w:p>
          </w:sdtContent>
        </w:sdt>
        <w:p w:rsidRPr="00831363" w:rsidR="00CE4655" w:rsidP="003C7608" w:rsidRDefault="00CE4655" w14:paraId="5B04369C" w14:textId="77777777"/>
        <w:sdt>
          <w:sdtPr>
            <w:alias w:val="VrijeTekst1"/>
            <w:tag w:val="VrijeTekst1"/>
            <w:id w:val="-437221631"/>
            <w:lock w:val="sdtLocked"/>
          </w:sdtPr>
          <w:sdtEndPr/>
          <w:sdtContent>
            <w:p w:rsidRPr="000F5897" w:rsidR="000F5897" w:rsidP="000F5897" w:rsidRDefault="009107D1" w14:paraId="4BAFE89F" w14:textId="77777777">
              <w:r w:rsidRPr="000F5897">
                <w:t>Het wetsvoorstel strekt ertoe om gedurende de uitbraak van het nieuwe corona-virus (Covid-19) de mogelijkheid te openen dat vergaderingen van volksvertegenwoordigers (provinciale staten, gemeenteraden, algemeen besturen van waterschappen en de eilandsraden) via digitale weg plaatsvinden. Er kan dan tevens via digitale weg worden gestemd.</w:t>
              </w:r>
            </w:p>
            <w:p w:rsidRPr="000F5897" w:rsidR="000F5897" w:rsidP="000F5897" w:rsidRDefault="009D2ECD" w14:paraId="367BEF75" w14:textId="77777777"/>
            <w:p w:rsidRPr="000F5897" w:rsidR="000F5897" w:rsidP="000F5897" w:rsidRDefault="009107D1" w14:paraId="4B9E3139" w14:textId="77777777">
              <w:r w:rsidRPr="000F5897">
                <w:t xml:space="preserve">De Afdeling advisering van de Raad van State onderschrijft de noodzaak van deze maatregelen, gelet op de beperkingen die door Covid-19 in acht moeten worden genomen. </w:t>
              </w:r>
              <w:r w:rsidRPr="00C73664">
                <w:t>Zij heeft waardering voor de snelheid waarmee dit wetsvoorstel tot stand is gebracht</w:t>
              </w:r>
              <w:r>
                <w:t xml:space="preserve">. </w:t>
              </w:r>
              <w:r w:rsidRPr="00C73664">
                <w:t xml:space="preserve">Zij </w:t>
              </w:r>
              <w:r>
                <w:t>maakt</w:t>
              </w:r>
              <w:r w:rsidRPr="00C73664">
                <w:t xml:space="preserve"> nog een enkele opmerking</w:t>
              </w:r>
              <w:r w:rsidRPr="00D21870">
                <w:t xml:space="preserve"> over het vervallen van de tijdelijke wet en de uitvoerbaarheid voor de eilandsraden. In verband daarmee is aanpassing wenselijk van het wetsvoorstel en de toelichting. </w:t>
              </w:r>
              <w:r w:rsidRPr="00D21870">
                <w:rPr>
                  <w:color w:val="FF0000"/>
                </w:rPr>
                <w:t xml:space="preserve"> </w:t>
              </w:r>
            </w:p>
            <w:p w:rsidRPr="000F5897" w:rsidR="000F5897" w:rsidP="000F5897" w:rsidRDefault="009D2ECD" w14:paraId="0ED329C2" w14:textId="77777777"/>
            <w:p w:rsidRPr="000F5897" w:rsidR="000F5897" w:rsidP="000F5897" w:rsidRDefault="009107D1" w14:paraId="55F5A6FB" w14:textId="77777777">
              <w:pPr>
                <w:rPr>
                  <w:u w:val="single"/>
                </w:rPr>
              </w:pPr>
              <w:r w:rsidRPr="000F5897">
                <w:t>1.</w:t>
              </w:r>
              <w:r w:rsidRPr="000F5897">
                <w:tab/>
              </w:r>
              <w:r w:rsidRPr="000F5897">
                <w:rPr>
                  <w:u w:val="single"/>
                </w:rPr>
                <w:t>Vervallen van de Tijdelijke wet</w:t>
              </w:r>
            </w:p>
            <w:p w:rsidRPr="000F5897" w:rsidR="000F5897" w:rsidP="000F5897" w:rsidRDefault="009D2ECD" w14:paraId="4C13CB2B" w14:textId="77777777">
              <w:pPr>
                <w:rPr>
                  <w:u w:val="single"/>
                </w:rPr>
              </w:pPr>
            </w:p>
            <w:p w:rsidRPr="000F5897" w:rsidR="000F5897" w:rsidP="000F5897" w:rsidRDefault="009107D1" w14:paraId="2E65FE40" w14:textId="77777777">
              <w:r w:rsidRPr="000F5897">
                <w:t xml:space="preserve">Zoals de toelichting terecht </w:t>
              </w:r>
              <w:r>
                <w:t>stelt</w:t>
              </w:r>
              <w:r w:rsidRPr="000F5897">
                <w:t xml:space="preserve"> is dit wetsvoorstel nadrukkelijk een tijdelijke afwijking. Het is niet bedoeld om afbreuk te doen aan het principiële uitgangspunt dat de belangrijkste besluitvorming plaatsvindt in een openbare fysieke vergadering van de decentrale volksvertegenwoordiging. Het uitzonderlijke karakter van de huidige situatie rechtvaardigt een tijdelijke afwijking van deze hoofdregel.</w:t>
              </w:r>
              <w:r w:rsidRPr="000F5897">
                <w:rPr>
                  <w:vertAlign w:val="superscript"/>
                </w:rPr>
                <w:footnoteReference w:id="1"/>
              </w:r>
              <w:r w:rsidRPr="000F5897">
                <w:t xml:space="preserve"> </w:t>
              </w:r>
            </w:p>
            <w:p w:rsidRPr="000F5897" w:rsidR="000F5897" w:rsidP="000F5897" w:rsidRDefault="009D2ECD" w14:paraId="04028EDC" w14:textId="77777777"/>
            <w:p w:rsidRPr="000F5897" w:rsidR="00B95440" w:rsidP="00B95440" w:rsidRDefault="009107D1" w14:paraId="712F31F6" w14:textId="77777777">
              <w:r>
                <w:t>Het voorgaande</w:t>
              </w:r>
              <w:r w:rsidRPr="000F5897">
                <w:t xml:space="preserve"> betekent dat de tijdelijke wet dient te vervallen zodra dit mogelijk is. Er moet immers zo snel mogelijk weer worden teruggekeerd naar </w:t>
              </w:r>
              <w:r>
                <w:t xml:space="preserve">het normale functioneren van de volksvertegenwoordigingen. </w:t>
              </w:r>
              <w:r w:rsidRPr="000F5897">
                <w:t>In dat licht valt op dat het voorstel slechts regelt dat het vervalt op een bij koninklijk besluit te bepalen tijdstip. De toelichting merkt hierover op dat het op dit moment nog niet te voorzien valt wanneer vergaderingen van decentrale volksvertegenwoordigingen weer normale doorgang kunnen vinden. Om te voorkomen dat het wetsvoorstel telke</w:t>
              </w:r>
              <w:r>
                <w:t>ns</w:t>
              </w:r>
              <w:r w:rsidRPr="000F5897">
                <w:t xml:space="preserve"> verlengd moet worden, wordt daarom geen bepaling opgenomen die deze wet op een vooraf bepaald moment laat vervallen. Wel is in de citeertitel van het wetsvoorstel opgenomen dat dit een tijdelijke voorziening betreft. Op het moment dat vergaderingen weer normaal kunnen plaatsvinden, wordt deze wet bij koninklijk besluit ingetrokken</w:t>
              </w:r>
              <w:r>
                <w:t>, aldus de toelichting</w:t>
              </w:r>
              <w:r w:rsidRPr="000F5897">
                <w:t>.</w:t>
              </w:r>
              <w:r w:rsidRPr="000F5897">
                <w:rPr>
                  <w:vertAlign w:val="superscript"/>
                </w:rPr>
                <w:footnoteReference w:id="2"/>
              </w:r>
            </w:p>
            <w:p w:rsidRPr="000F5897" w:rsidR="00B95440" w:rsidP="00B95440" w:rsidRDefault="009D2ECD" w14:paraId="23A7FE7C" w14:textId="77777777"/>
            <w:p w:rsidRPr="000F5897" w:rsidR="00B95440" w:rsidP="00B95440" w:rsidRDefault="009107D1" w14:paraId="7EDAA8D2" w14:textId="77777777">
              <w:r w:rsidRPr="000F5897">
                <w:lastRenderedPageBreak/>
                <w:t>De Afdeling onderkent dat het niet wenselijk is om een wettelijke bepaling omtrent het vervallen van de Tijdelijke wet te formuleren die uitsluitend verlenging via een nieuwe wet mogelijk zou maken. De voorgestelde bepaling is echter</w:t>
              </w:r>
              <w:r>
                <w:t xml:space="preserve"> onbepaald</w:t>
              </w:r>
              <w:r w:rsidRPr="000F5897">
                <w:t xml:space="preserve">, gelet op het principiële karakter van de maatregelen. De Afdeling </w:t>
              </w:r>
              <w:r>
                <w:t xml:space="preserve">adviseert </w:t>
              </w:r>
              <w:r w:rsidRPr="000F5897">
                <w:t xml:space="preserve">daarom </w:t>
              </w:r>
              <w:r>
                <w:t xml:space="preserve">in de Tijdelijke wet </w:t>
              </w:r>
              <w:r w:rsidRPr="000F5897">
                <w:t>te bepalen dat de</w:t>
              </w:r>
              <w:r>
                <w:t xml:space="preserve">ze op een bepaald, in het voorstel vastgelegd moment vervalt; op 1 juni, </w:t>
              </w:r>
              <w:r w:rsidRPr="00FE4404">
                <w:t>aansluitend bij het beleid van het kabinet inzake evenementen, of een andere beargumenteerde termijn</w:t>
              </w:r>
              <w:r>
                <w:t xml:space="preserve">. Vervolgens kan die termijn bij </w:t>
              </w:r>
              <w:r w:rsidRPr="0020603F">
                <w:t xml:space="preserve">koninklijk besluit steeds </w:t>
              </w:r>
              <w:r w:rsidRPr="000F5897">
                <w:t xml:space="preserve">met </w:t>
              </w:r>
              <w:r>
                <w:t xml:space="preserve">ten hoogste </w:t>
              </w:r>
              <w:r w:rsidRPr="000F5897">
                <w:t>zes weken worden verlengd. Dit zorgt ervoor dat met enige regelmaat moet worden bezien of de noodmaatregelen nog noodzakelijk zijn en in stand moeten worden gehouden, zonder dat voor verlenging steeds een nieuwe wet mogelijk is.</w:t>
              </w:r>
            </w:p>
            <w:p w:rsidRPr="000F5897" w:rsidR="00B95440" w:rsidP="00B95440" w:rsidRDefault="009D2ECD" w14:paraId="258B6EF6" w14:textId="77777777"/>
            <w:p w:rsidR="00B95440" w:rsidP="00B95440" w:rsidRDefault="009107D1" w14:paraId="712C91C8" w14:textId="77777777">
              <w:r w:rsidRPr="000F5897">
                <w:t xml:space="preserve">De Afdeling adviseert het wetsvoorstel </w:t>
              </w:r>
              <w:r>
                <w:t>in die zin</w:t>
              </w:r>
              <w:r w:rsidRPr="000F5897">
                <w:t xml:space="preserve"> aan te passen.</w:t>
              </w:r>
            </w:p>
            <w:p w:rsidR="00B95440" w:rsidP="00B95440" w:rsidRDefault="009D2ECD" w14:paraId="55E18B42" w14:textId="77777777"/>
            <w:p w:rsidR="00B95440" w:rsidP="00B95440" w:rsidRDefault="009107D1" w14:paraId="48A84881" w14:textId="77777777">
              <w:pPr>
                <w:rPr>
                  <w:u w:val="single"/>
                </w:rPr>
              </w:pPr>
              <w:r>
                <w:t>2.</w:t>
              </w:r>
              <w:r>
                <w:tab/>
              </w:r>
              <w:r>
                <w:rPr>
                  <w:u w:val="single"/>
                </w:rPr>
                <w:t>Uitvoerbaarheid bepalingen eilandsraden</w:t>
              </w:r>
            </w:p>
            <w:p w:rsidR="00B95440" w:rsidP="00B95440" w:rsidRDefault="009D2ECD" w14:paraId="7AF25B6B" w14:textId="77777777">
              <w:pPr>
                <w:rPr>
                  <w:u w:val="single"/>
                </w:rPr>
              </w:pPr>
            </w:p>
            <w:p w:rsidR="00B95440" w:rsidP="00B95440" w:rsidRDefault="009107D1" w14:paraId="3EAA20EA" w14:textId="77777777">
              <w:r>
                <w:t>Het voorstel regelt ook voor de vergaderingen van de eilandsraden van Bonaire, Sint Eustatius en Saba dat deze via digitale weg kunnen plaatsvinden. De toelichting gaat echter met betrekking tot de uitvoerbaarheid van het voorstel en de ondersteuning die daarbij van rijkswege zal worden geboden, uitsluitend in op gemeentes, provincies en waterschappen.</w:t>
              </w:r>
              <w:r>
                <w:rPr>
                  <w:rStyle w:val="Voetnootmarkering"/>
                </w:rPr>
                <w:footnoteReference w:id="3"/>
              </w:r>
              <w:r>
                <w:t xml:space="preserve"> Ook bij de organisaties waarmee over het voorstel overleg is gevoerd worden de bestuurscolleges van de eilanden, noch de eilandsraden genoemd.</w:t>
              </w:r>
              <w:r>
                <w:rPr>
                  <w:rStyle w:val="Voetnootmarkering"/>
                </w:rPr>
                <w:footnoteReference w:id="4"/>
              </w:r>
              <w:r>
                <w:t xml:space="preserve"> </w:t>
              </w:r>
              <w:r w:rsidRPr="00C73664">
                <w:t xml:space="preserve">Gelet op eventueel maatwerk voor de eilanden had voorafgaand overleg wel in de rede gelegen. Zonder dit overleg is niet duidelijk </w:t>
              </w:r>
              <w:r>
                <w:t xml:space="preserve">of het voor de eilandsraden mogelijk zal zijn om deze bepalingen in de praktijk effectief toe te passen omdat, zoals de toelichting stelt, het hiervoor in ieder geval noodzakelijk is dat </w:t>
              </w:r>
              <w:r w:rsidRPr="000F5897">
                <w:t>ieder lid over de technische middelen beschikt</w:t>
              </w:r>
              <w:r>
                <w:t>.</w:t>
              </w:r>
              <w:r>
                <w:rPr>
                  <w:rStyle w:val="Voetnootmarkering"/>
                </w:rPr>
                <w:footnoteReference w:id="5"/>
              </w:r>
              <w:r>
                <w:t xml:space="preserve"> Niet wordt toegelicht of, en zo ja op welke wijze de minister de eilandsraden hierin zal ondersteunen.</w:t>
              </w:r>
            </w:p>
            <w:p w:rsidR="00B95440" w:rsidP="00B95440" w:rsidRDefault="009D2ECD" w14:paraId="1E3130F5" w14:textId="77777777"/>
            <w:p w:rsidR="0031089B" w:rsidP="00FF035E" w:rsidRDefault="009107D1" w14:paraId="602FE0EC" w14:textId="77777777">
              <w:r>
                <w:t>De Afdeling adviseert in de toelichting op het voorgaande in te gaan.</w:t>
              </w:r>
              <w:r>
                <w:br w:type="page"/>
              </w:r>
            </w:p>
          </w:sdtContent>
        </w:sdt>
        <w:p w:rsidRPr="00831363" w:rsidR="008C5EDD" w:rsidP="00CE4655" w:rsidRDefault="008C5EDD" w14:paraId="27D4A73C" w14:textId="77777777"/>
        <w:sdt>
          <w:sdtPr>
            <w:alias w:val="VrijeTekst2"/>
            <w:tag w:val="VrijeTekst2"/>
            <w:id w:val="-1010833392"/>
            <w:lock w:val="sdtLocked"/>
            <w:placeholder>
              <w:docPart w:val="DefaultPlaceholder_1082065158"/>
            </w:placeholder>
          </w:sdtPr>
          <w:sdtEndPr/>
          <w:sdtContent>
            <w:p w:rsidR="007212F1" w:rsidP="00891BB0" w:rsidRDefault="009107D1" w14:paraId="2420790C" w14:textId="77777777">
              <w:r>
                <w:t>3.</w:t>
              </w:r>
              <w:r>
                <w:tab/>
              </w:r>
              <w:r w:rsidRPr="005F7A2B">
                <w:t>De Afdeling verwijst naar de bij dit advies behorende redactionele bijlage.</w:t>
              </w:r>
            </w:p>
          </w:sdtContent>
        </w:sdt>
        <w:p w:rsidRPr="00831363" w:rsidR="001410FD" w:rsidP="00796479" w:rsidRDefault="001410FD" w14:paraId="0CD08972" w14:textId="77777777"/>
        <w:sdt>
          <w:sdtPr>
            <w:alias w:val="Dictum"/>
            <w:tag w:val="Dictum"/>
            <w:id w:val="316161467"/>
            <w:lock w:val="sdtContentLocked"/>
            <w:placeholder>
              <w:docPart w:val="DefaultPlaceholder_1082065158"/>
            </w:placeholder>
            <w:text w:multiLine="1"/>
          </w:sdtPr>
          <w:sdtEndPr/>
          <w:sdtContent>
            <w:p w:rsidR="006C4429" w:rsidRDefault="009107D1" w14:paraId="373583DA"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047836BD" w14:textId="77777777">
          <w:pPr>
            <w:sectPr w:rsidRPr="00831363" w:rsidR="0037367E" w:rsidSect="00636D17">
              <w:headerReference w:type="even" r:id="rId15"/>
              <w:headerReference w:type="default" r:id="rId16"/>
              <w:footerReference w:type="first" r:id="rId17"/>
              <w:pgSz w:w="11906" w:h="16838"/>
              <w:pgMar w:top="2523" w:right="1417" w:bottom="1417" w:left="1984" w:header="1417" w:footer="567" w:gutter="0"/>
              <w:cols w:space="708"/>
              <w:titlePg/>
              <w:docGrid w:linePitch="360"/>
            </w:sectPr>
          </w:pPr>
        </w:p>
        <w:p w:rsidRPr="00831363" w:rsidR="00907421" w:rsidP="00907421" w:rsidRDefault="00907421" w14:paraId="12D8AC3B"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W04.20.0081</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1D54166C" w14:textId="77777777"/>
        <w:sdt>
          <w:sdtPr>
            <w:alias w:val="VrijeTekst3"/>
            <w:tag w:val="VrijeTekst3"/>
            <w:id w:val="2141764690"/>
            <w:lock w:val="sdtLocked"/>
          </w:sdtPr>
          <w:sdtEndPr>
            <w:rPr>
              <w:color w:val="FF0000"/>
            </w:rPr>
          </w:sdtEndPr>
          <w:sdtContent>
            <w:p w:rsidRPr="00D21870" w:rsidR="00E70C71" w:rsidP="00D969CB" w:rsidRDefault="009107D1" w14:paraId="3DECEF8C" w14:textId="77777777">
              <w:pPr>
                <w:numPr>
                  <w:ilvl w:val="0"/>
                  <w:numId w:val="1"/>
                </w:numPr>
                <w:rPr>
                  <w:color w:val="FF0000"/>
                </w:rPr>
              </w:pPr>
              <w:r w:rsidRPr="00C73664">
                <w:t>In art. 2.5, eerste lid, de term ‘schriftelijke’ vervangen door: geheime.</w:t>
              </w:r>
            </w:p>
          </w:sdtContent>
        </w:sdt>
        <w:p w:rsidR="00C50D4F" w:rsidP="005841EA" w:rsidRDefault="009D2ECD" w14:paraId="45AE9E2F" w14:textId="77777777">
          <w:pPr>
            <w:ind w:left="737"/>
          </w:pPr>
        </w:p>
      </w:sdtContent>
    </w:sdt>
    <w:sectPr w:rsidR="00C50D4F" w:rsidSect="00636D17">
      <w:headerReference w:type="default" r:id="rId18"/>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C7FEA" w14:textId="77777777" w:rsidR="00847094" w:rsidRDefault="009107D1" w:rsidP="005B3E03">
      <w:r>
        <w:separator/>
      </w:r>
    </w:p>
    <w:p w14:paraId="4243EA1B" w14:textId="77777777" w:rsidR="002D0ACF" w:rsidRDefault="009D2ECD"/>
  </w:endnote>
  <w:endnote w:type="continuationSeparator" w:id="0">
    <w:p w14:paraId="4278ED31" w14:textId="77777777" w:rsidR="00847094" w:rsidRDefault="009107D1" w:rsidP="005B3E03">
      <w:r>
        <w:continuationSeparator/>
      </w:r>
    </w:p>
    <w:p w14:paraId="34305368" w14:textId="77777777" w:rsidR="002D0ACF" w:rsidRDefault="009D2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A96B"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FF0DC"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7F6FF0DC"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964FA" w14:textId="77777777" w:rsidR="00847094" w:rsidRDefault="009107D1" w:rsidP="005B3E03">
      <w:r>
        <w:separator/>
      </w:r>
    </w:p>
    <w:p w14:paraId="2723789A" w14:textId="77777777" w:rsidR="002D0ACF" w:rsidRDefault="009D2ECD"/>
  </w:footnote>
  <w:footnote w:type="continuationSeparator" w:id="0">
    <w:p w14:paraId="16D6851D" w14:textId="77777777" w:rsidR="00847094" w:rsidRDefault="009107D1" w:rsidP="005B3E03">
      <w:r>
        <w:continuationSeparator/>
      </w:r>
    </w:p>
    <w:p w14:paraId="3EBD62DB" w14:textId="77777777" w:rsidR="002D0ACF" w:rsidRDefault="009D2ECD"/>
  </w:footnote>
  <w:footnote w:id="1">
    <w:p w14:paraId="028643AE" w14:textId="77777777" w:rsidR="000F5897" w:rsidRDefault="009107D1" w:rsidP="000F5897">
      <w:pPr>
        <w:pStyle w:val="Voetnoottekst"/>
      </w:pPr>
      <w:r>
        <w:rPr>
          <w:rStyle w:val="Voetnootmarkering"/>
        </w:rPr>
        <w:footnoteRef/>
      </w:r>
      <w:r>
        <w:t xml:space="preserve"> </w:t>
      </w:r>
      <w:r>
        <w:tab/>
        <w:t>Toelichting, Inleiding.</w:t>
      </w:r>
    </w:p>
  </w:footnote>
  <w:footnote w:id="2">
    <w:p w14:paraId="73DF0EB3" w14:textId="77777777" w:rsidR="00B95440" w:rsidRDefault="009107D1" w:rsidP="00B95440">
      <w:pPr>
        <w:pStyle w:val="Voetnoottekst"/>
      </w:pPr>
      <w:r>
        <w:rPr>
          <w:rStyle w:val="Voetnootmarkering"/>
        </w:rPr>
        <w:footnoteRef/>
      </w:r>
      <w:r>
        <w:t xml:space="preserve"> </w:t>
      </w:r>
      <w:r>
        <w:tab/>
        <w:t>Toelichting, artikelsgewijs bij artikel 7.1.</w:t>
      </w:r>
    </w:p>
  </w:footnote>
  <w:footnote w:id="3">
    <w:p w14:paraId="4F43D47A" w14:textId="77777777" w:rsidR="00B95440" w:rsidRDefault="009107D1" w:rsidP="00B95440">
      <w:pPr>
        <w:pStyle w:val="Voetnoottekst"/>
      </w:pPr>
      <w:r>
        <w:rPr>
          <w:rStyle w:val="Voetnootmarkering"/>
        </w:rPr>
        <w:footnoteRef/>
      </w:r>
      <w:r>
        <w:t xml:space="preserve"> </w:t>
      </w:r>
      <w:r>
        <w:tab/>
        <w:t>Toelichting, paragraaf 3.</w:t>
      </w:r>
    </w:p>
  </w:footnote>
  <w:footnote w:id="4">
    <w:p w14:paraId="783B2901" w14:textId="77777777" w:rsidR="00B95440" w:rsidRDefault="009107D1" w:rsidP="00B95440">
      <w:pPr>
        <w:pStyle w:val="Voetnoottekst"/>
      </w:pPr>
      <w:r>
        <w:rPr>
          <w:rStyle w:val="Voetnootmarkering"/>
        </w:rPr>
        <w:footnoteRef/>
      </w:r>
      <w:r>
        <w:t xml:space="preserve"> </w:t>
      </w:r>
      <w:r>
        <w:tab/>
        <w:t>Toelichting, paragraaf 4.</w:t>
      </w:r>
    </w:p>
  </w:footnote>
  <w:footnote w:id="5">
    <w:p w14:paraId="10A0FFA8" w14:textId="77777777" w:rsidR="00B95440" w:rsidRDefault="009107D1" w:rsidP="00B95440">
      <w:pPr>
        <w:pStyle w:val="Voetnoottekst"/>
      </w:pPr>
      <w:r>
        <w:rPr>
          <w:rStyle w:val="Voetnootmarkering"/>
        </w:rPr>
        <w:footnoteRef/>
      </w:r>
      <w:r>
        <w:t xml:space="preserve"> </w:t>
      </w:r>
      <w:r>
        <w:tab/>
        <w:t xml:space="preserve">Toelichting, paragraaf 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DB8A"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A0D25E2"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BB9F" w14:textId="6D18F0DC"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44C7A">
      <w:rPr>
        <w:rStyle w:val="Paginanummer"/>
        <w:noProof/>
      </w:rPr>
      <w:t>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D74D" w14:textId="4AA3D31F"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44C7A">
      <w:rPr>
        <w:rStyle w:val="Paginanummer"/>
        <w:noProof/>
      </w:rPr>
      <w:t>I</w:t>
    </w:r>
    <w:r>
      <w:rPr>
        <w:rStyle w:val="Paginanummer"/>
      </w:rPr>
      <w:fldChar w:fldCharType="end"/>
    </w:r>
  </w:p>
  <w:p w14:paraId="1F479059"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C8A685E"/>
    <w:lvl w:ilvl="0">
      <w:start w:val="1"/>
      <w:numFmt w:val="bullet"/>
      <w:lvlText w:val="-"/>
      <w:legacy w:legacy="1" w:legacySpace="0" w:legacyIndent="737"/>
      <w:lvlJc w:val="left"/>
      <w:pPr>
        <w:ind w:left="737" w:hanging="737"/>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44C7A"/>
    <w:rsid w:val="00687984"/>
    <w:rsid w:val="006C4429"/>
    <w:rsid w:val="006C5E3C"/>
    <w:rsid w:val="006D53BA"/>
    <w:rsid w:val="007009C5"/>
    <w:rsid w:val="00743072"/>
    <w:rsid w:val="00796479"/>
    <w:rsid w:val="008108EA"/>
    <w:rsid w:val="00831363"/>
    <w:rsid w:val="00883369"/>
    <w:rsid w:val="008C5EDD"/>
    <w:rsid w:val="00907421"/>
    <w:rsid w:val="009107D1"/>
    <w:rsid w:val="00977969"/>
    <w:rsid w:val="009D2ECD"/>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D54968D"/>
  <w15:docId w15:val="{C82A40CC-4F57-4D37-BF72-DEDDC6DE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0F5897"/>
    <w:rPr>
      <w:vertAlign w:val="superscript"/>
    </w:rPr>
  </w:style>
  <w:style w:type="paragraph" w:styleId="Revisie">
    <w:name w:val="Revision"/>
    <w:hidden/>
    <w:uiPriority w:val="99"/>
    <w:semiHidden/>
    <w:rsid w:val="009B7571"/>
    <w:rPr>
      <w:rFonts w:ascii="Univers" w:hAnsi="Univers"/>
      <w:sz w:val="22"/>
      <w:szCs w:val="24"/>
    </w:rPr>
  </w:style>
  <w:style w:type="character" w:styleId="Verwijzingopmerking">
    <w:name w:val="annotation reference"/>
    <w:basedOn w:val="Standaardalinea-lettertype"/>
    <w:semiHidden/>
    <w:unhideWhenUsed/>
    <w:rsid w:val="00C87793"/>
    <w:rPr>
      <w:sz w:val="16"/>
      <w:szCs w:val="16"/>
    </w:rPr>
  </w:style>
  <w:style w:type="paragraph" w:styleId="Tekstopmerking">
    <w:name w:val="annotation text"/>
    <w:basedOn w:val="Standaard"/>
    <w:link w:val="TekstopmerkingChar"/>
    <w:semiHidden/>
    <w:unhideWhenUsed/>
    <w:rsid w:val="00C87793"/>
    <w:rPr>
      <w:sz w:val="20"/>
      <w:szCs w:val="20"/>
    </w:rPr>
  </w:style>
  <w:style w:type="character" w:customStyle="1" w:styleId="TekstopmerkingChar">
    <w:name w:val="Tekst opmerking Char"/>
    <w:basedOn w:val="Standaardalinea-lettertype"/>
    <w:link w:val="Tekstopmerking"/>
    <w:semiHidden/>
    <w:rsid w:val="00C87793"/>
    <w:rPr>
      <w:rFonts w:ascii="Univers" w:hAnsi="Univers"/>
    </w:rPr>
  </w:style>
  <w:style w:type="paragraph" w:styleId="Onderwerpvanopmerking">
    <w:name w:val="annotation subject"/>
    <w:basedOn w:val="Tekstopmerking"/>
    <w:next w:val="Tekstopmerking"/>
    <w:link w:val="OnderwerpvanopmerkingChar"/>
    <w:semiHidden/>
    <w:unhideWhenUsed/>
    <w:rsid w:val="00C87793"/>
    <w:rPr>
      <w:b/>
      <w:bCs/>
    </w:rPr>
  </w:style>
  <w:style w:type="character" w:customStyle="1" w:styleId="OnderwerpvanopmerkingChar">
    <w:name w:val="Onderwerp van opmerking Char"/>
    <w:basedOn w:val="TekstopmerkingChar"/>
    <w:link w:val="Onderwerpvanopmerking"/>
    <w:semiHidden/>
    <w:rsid w:val="00C8779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glossaryDocument" Target="glossary/document.xml" Id="rId20" /><Relationship Type="http://schemas.microsoft.com/office/2006/relationships/keyMapCustomizations" Target="customizations.xml" Id="rId1"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image" Target="media/image1.png" Id="rId14" /><Relationship Type="http://schemas.openxmlformats.org/officeDocument/2006/relationships/styles" Target="style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3.xml><?xml version="1.0" encoding="utf-8"?>
<ds:datastoreItem xmlns:ds="http://schemas.openxmlformats.org/officeDocument/2006/customXml" ds:itemID="{F52FFBD6-DB6B-4C1B-A87E-491475054C1C}">
  <ds:schemaRefs>
    <ds:schemaRef ds:uri="http://schemas.microsoft.com/office/2006/metadata/customXsn"/>
  </ds:schemaRefs>
</ds:datastoreItem>
</file>

<file path=customXml/itemProps4.xml><?xml version="1.0" encoding="utf-8"?>
<ds:datastoreItem xmlns:ds="http://schemas.openxmlformats.org/officeDocument/2006/customXml" ds:itemID="{0FFA5678-9453-42B7-8383-367C97ADCDC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4</ap:Pages>
  <ap:Words>824</ap:Words>
  <ap:Characters>4537</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2020-03-31T07:41:00.0000000Z</dcterms:created>
  <dcterms:modified xsi:type="dcterms:W3CDTF">2020-03-31T07:41:00.0000000Z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0x0101007693323FB1A2CD419B292F4F9CBE800E</vt:lpwstr>
  </property>
  <property fmtid="{D5CDD505-2E9C-101B-9397-08002B2CF9AE}" pid="3" name="_dlc_DocIdItemGuid">
    <vt:lpwstr>9d006aa7-e587-4a89-a4af-a367ba279bba</vt:lpwstr>
  </property>
  <property fmtid="{D5CDD505-2E9C-101B-9397-08002B2CF9AE}" pid="4" name="Rubriek">
    <vt:lpwstr/>
  </property>
  <property fmtid="{D5CDD505-2E9C-101B-9397-08002B2CF9AE}" pid="5" name="Dossiersoort">
    <vt:lpwstr>221;#Wet|f1540dcb-c957-4764-87a6-25b35d6a3c75</vt:lpwstr>
  </property>
  <property fmtid="{D5CDD505-2E9C-101B-9397-08002B2CF9AE}" pid="6" name="Fase">
    <vt:lpwstr>254;#Aanhangigmaking RvS|8d78269d-ae8d-4340-acc8-44cc83a330e1</vt:lpwstr>
  </property>
  <property fmtid="{D5CDD505-2E9C-101B-9397-08002B2CF9AE}" pid="7" name="o3f26db5f01449b288828f2987e8b984">
    <vt:lpwstr>Bekrachtiging|36215b0b-5f2a-4fc9-929a-ac5bfca670ba</vt:lpwstr>
  </property>
  <property fmtid="{D5CDD505-2E9C-101B-9397-08002B2CF9AE}" pid="8" name="Documentsoort">
    <vt:lpwstr>227;#Advies RvS|a36ad0fd-5935-45f0-b4fd-98c46a50afe3</vt:lpwstr>
  </property>
  <property fmtid="{D5CDD505-2E9C-101B-9397-08002B2CF9AE}" pid="9" name="Documentstatus">
    <vt:lpwstr>7;#Concept|33f46f4c-99bc-4eed-ab55-788dfa7f33e7</vt:lpwstr>
  </property>
  <property fmtid="{D5CDD505-2E9C-101B-9397-08002B2CF9AE}" pid="10" name="behafdeling">
    <vt:lpwstr>19;#PAK|78947e1f-9e9a-4add-bba4-95590267a76d</vt:lpwstr>
  </property>
  <property fmtid="{D5CDD505-2E9C-101B-9397-08002B2CF9AE}" pid="11" name="Afgehandeld">
    <vt:lpwstr>17;#Nee|b47ca883-3c5a-49eb-86c4-541eee796915</vt:lpwstr>
  </property>
  <property fmtid="{D5CDD505-2E9C-101B-9397-08002B2CF9AE}" pid="12" name="Opschoning">
    <vt:lpwstr/>
  </property>
  <property fmtid="{D5CDD505-2E9C-101B-9397-08002B2CF9AE}" pid="13" name="k0d3c3b7efae4af7b7175fe3a934100a">
    <vt:lpwstr>KB|c87e9614-82d2-4891-b9a0-11ae481ec47c</vt:lpwstr>
  </property>
  <property fmtid="{D5CDD505-2E9C-101B-9397-08002B2CF9AE}" pid="14" name="Jaartal">
    <vt:lpwstr>1126;#2020|103551bf-56ae-49f3-a004-f0a83cb511ca</vt:lpwstr>
  </property>
  <property fmtid="{D5CDD505-2E9C-101B-9397-08002B2CF9AE}" pid="15" name="Dossierstatus">
    <vt:lpwstr>3;#Actief|35df5990-3911-449d-80ad-6f8c786909da</vt:lpwstr>
  </property>
  <property fmtid="{D5CDD505-2E9C-101B-9397-08002B2CF9AE}" pid="16" name="ExtBehandelaar">
    <vt:lpwstr>46;#Binnenlandse Zaken en Koninkrijksrelaties, Ministerie van (BZK)|ef6d835e-a40f-43fd-8f09-cf4995bec532</vt:lpwstr>
  </property>
  <property fmtid="{D5CDD505-2E9C-101B-9397-08002B2CF9AE}" pid="17" name="Beperking">
    <vt:lpwstr>574;#NOTK|7d102a3d-807e-4cd9-9f4a-188b27fd52f7</vt:lpwstr>
  </property>
</Properties>
</file>