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0570636"/>
        <w:lock w:val="contentLocked"/>
        <w:placeholder>
          <w:docPart w:val="DefaultPlaceholder_1082065158"/>
        </w:placeholder>
        <w:group/>
      </w:sdtPr>
      <w:sdtEndPr/>
      <w:sdtContent>
        <w:p w:rsidR="002C6867" w:rsidP="0017188E" w:rsidRDefault="00FF6790" w14:paraId="3AF03C69" w14:textId="77777777">
          <w:pPr>
            <w:tabs>
              <w:tab w:val="left" w:pos="3686"/>
            </w:tabs>
          </w:pPr>
          <w:r>
            <w:rPr>
              <w:noProof/>
            </w:rPr>
            <mc:AlternateContent>
              <mc:Choice Requires="wps">
                <w:drawing>
                  <wp:anchor distT="0" distB="0" distL="114300" distR="114300" simplePos="0" relativeHeight="251657728" behindDoc="0" locked="0" layoutInCell="1" allowOverlap="1" wp14:editId="63E60C61" wp14:anchorId="39D2B7E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C9BE5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468D7CD" wp14:anchorId="0B75E1E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W04.19.0365/I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december 2019</w:t>
              </w:r>
            </w:sdtContent>
          </w:sdt>
        </w:p>
        <w:p w:rsidR="00503044" w:rsidP="00503044" w:rsidRDefault="00503044" w14:paraId="2D4A6475" w14:textId="77777777">
          <w:pPr>
            <w:tabs>
              <w:tab w:val="left" w:pos="3685"/>
            </w:tabs>
          </w:pPr>
        </w:p>
        <w:p w:rsidR="00503044" w:rsidP="00503044" w:rsidRDefault="00503044" w14:paraId="19FCADF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9E4BE6" w:rsidRDefault="00EE4A4A" w14:paraId="0DAA2E21" w14:textId="77777777">
              <w:r>
                <w:t xml:space="preserve">Bij Kabinetsmissive van 19 november 2019, no.2019002431, heeft Uwe Majesteit, op voordracht van de minister voor Milieu en Wonen, bij de Afdeling advisering van de Raad van State ter overweging aanhangig gemaakt het voorstel van wet tot wijziging van Boek </w:t>
              </w:r>
              <w:r>
                <w:t>7 van het Burgerlijk Wetboek in verband met het verbeteren van de huurbescherming voor huurders van ligplaatsen, met memorie van toelichting.</w:t>
              </w:r>
            </w:p>
          </w:sdtContent>
        </w:sdt>
        <w:p w:rsidR="0071031E" w:rsidRDefault="0071031E" w14:paraId="54B85C36" w14:textId="77777777"/>
        <w:sdt>
          <w:sdtPr>
            <w:rPr>
              <w:rFonts w:ascii="Verdana" w:hAnsi="Verdana" w:eastAsiaTheme="minorHAnsi"/>
              <w:color w:val="000000"/>
              <w:sz w:val="24"/>
            </w:rPr>
            <w:alias w:val="VrijeTekst1"/>
            <w:tag w:val="VrijeTekst1"/>
            <w:id w:val="-437221631"/>
            <w:lock w:val="sdtLocked"/>
          </w:sdtPr>
          <w:sdtEndPr/>
          <w:sdtContent>
            <w:p w:rsidRPr="0056429F" w:rsidR="003C1061" w:rsidP="001E0CE4" w:rsidRDefault="00EE4A4A" w14:paraId="3FB6749C" w14:textId="77777777">
              <w:pPr>
                <w:rPr>
                  <w:szCs w:val="22"/>
                </w:rPr>
              </w:pPr>
              <w:r w:rsidRPr="003C1061">
                <w:rPr>
                  <w:szCs w:val="22"/>
                </w:rPr>
                <w:t xml:space="preserve">Dit wetsvoorstel regelt dat aan huurders van ligplaatsen voor woonboten huurbescherming wordt toegekend. </w:t>
              </w:r>
              <w:r>
                <w:rPr>
                  <w:szCs w:val="22"/>
                </w:rPr>
                <w:t>Hierto</w:t>
              </w:r>
              <w:r>
                <w:rPr>
                  <w:szCs w:val="22"/>
                </w:rPr>
                <w:t>e</w:t>
              </w:r>
              <w:r w:rsidRPr="003C1061">
                <w:rPr>
                  <w:szCs w:val="22"/>
                </w:rPr>
                <w:t xml:space="preserve"> wordt de </w:t>
              </w:r>
              <w:r>
                <w:rPr>
                  <w:szCs w:val="22"/>
                </w:rPr>
                <w:t>huur</w:t>
              </w:r>
              <w:r w:rsidRPr="003C1061">
                <w:rPr>
                  <w:szCs w:val="22"/>
                </w:rPr>
                <w:t>overeenko</w:t>
              </w:r>
              <w:r>
                <w:rPr>
                  <w:szCs w:val="22"/>
                </w:rPr>
                <w:t>mst van een ligplaats</w:t>
              </w:r>
              <w:r w:rsidRPr="003C1061">
                <w:rPr>
                  <w:szCs w:val="22"/>
                </w:rPr>
                <w:t xml:space="preserve"> on</w:t>
              </w:r>
              <w:r>
                <w:rPr>
                  <w:szCs w:val="22"/>
                </w:rPr>
                <w:t>der het bereik van de afdeling Huur van woonruimte</w:t>
              </w:r>
              <w:r w:rsidRPr="003C1061">
                <w:rPr>
                  <w:szCs w:val="22"/>
                </w:rPr>
                <w:t xml:space="preserve"> in Boek 7 van het Burgerlijk Wetboek gebracht</w:t>
              </w:r>
              <w:r>
                <w:rPr>
                  <w:szCs w:val="22"/>
                </w:rPr>
                <w:t xml:space="preserve">. </w:t>
              </w:r>
            </w:p>
            <w:p w:rsidR="003C1061" w:rsidP="003C1061" w:rsidRDefault="00EE4A4A" w14:paraId="55A45B37" w14:textId="77777777">
              <w:pPr>
                <w:rPr>
                  <w:szCs w:val="22"/>
                </w:rPr>
              </w:pPr>
            </w:p>
            <w:p w:rsidR="003C1061" w:rsidP="000A002D" w:rsidRDefault="00EE4A4A" w14:paraId="1D4C1EF4" w14:textId="77777777">
              <w:pPr>
                <w:rPr>
                  <w:szCs w:val="22"/>
                </w:rPr>
              </w:pPr>
              <w:r>
                <w:rPr>
                  <w:szCs w:val="22"/>
                </w:rPr>
                <w:t>De Afdeling advisering van de Raad van State onderschrijft het voorstel, maar maakt een opmerking over de be</w:t>
              </w:r>
              <w:r>
                <w:rPr>
                  <w:szCs w:val="22"/>
                </w:rPr>
                <w:t>gripsbepaling van het begrip ‘ligplaats’.</w:t>
              </w:r>
              <w:r w:rsidRPr="003C1061">
                <w:rPr>
                  <w:rStyle w:val="Voetnootmarkering"/>
                  <w:szCs w:val="22"/>
                </w:rPr>
                <w:footnoteReference w:id="1"/>
              </w:r>
              <w:r>
                <w:rPr>
                  <w:szCs w:val="22"/>
                </w:rPr>
                <w:t xml:space="preserve"> </w:t>
              </w:r>
              <w:r>
                <w:rPr>
                  <w:szCs w:val="22"/>
                </w:rPr>
                <w:t>I</w:t>
              </w:r>
              <w:r w:rsidRPr="000A002D">
                <w:rPr>
                  <w:szCs w:val="22"/>
                </w:rPr>
                <w:t>n</w:t>
              </w:r>
              <w:r>
                <w:rPr>
                  <w:szCs w:val="22"/>
                </w:rPr>
                <w:t xml:space="preserve"> </w:t>
              </w:r>
              <w:r w:rsidRPr="000A002D">
                <w:rPr>
                  <w:szCs w:val="22"/>
                </w:rPr>
                <w:t xml:space="preserve">verband daarmee </w:t>
              </w:r>
              <w:r>
                <w:rPr>
                  <w:szCs w:val="22"/>
                </w:rPr>
                <w:t xml:space="preserve">is </w:t>
              </w:r>
              <w:r w:rsidRPr="000A002D">
                <w:rPr>
                  <w:szCs w:val="22"/>
                </w:rPr>
                <w:t>nadere toelichting wenselijk.</w:t>
              </w:r>
            </w:p>
            <w:p w:rsidRPr="003C1061" w:rsidR="000A002D" w:rsidP="000A002D" w:rsidRDefault="00EE4A4A" w14:paraId="0C4C458B" w14:textId="77777777">
              <w:pPr>
                <w:rPr>
                  <w:szCs w:val="22"/>
                </w:rPr>
              </w:pPr>
            </w:p>
            <w:p w:rsidR="0056429F" w:rsidP="003C1061" w:rsidRDefault="00EE4A4A" w14:paraId="6514A33C" w14:textId="77777777">
              <w:pPr>
                <w:pStyle w:val="Default"/>
                <w:rPr>
                  <w:rFonts w:ascii="Univers" w:hAnsi="Univers"/>
                  <w:sz w:val="22"/>
                  <w:szCs w:val="22"/>
                </w:rPr>
              </w:pPr>
              <w:r>
                <w:rPr>
                  <w:rFonts w:ascii="Univers" w:hAnsi="Univers"/>
                  <w:sz w:val="22"/>
                  <w:szCs w:val="22"/>
                </w:rPr>
                <w:t>‘Ligplaats’</w:t>
              </w:r>
              <w:r w:rsidRPr="003C1061">
                <w:rPr>
                  <w:rFonts w:ascii="Univers" w:hAnsi="Univers"/>
                  <w:sz w:val="22"/>
                  <w:szCs w:val="22"/>
                </w:rPr>
                <w:t xml:space="preserve"> </w:t>
              </w:r>
              <w:r>
                <w:rPr>
                  <w:rFonts w:ascii="Univers" w:hAnsi="Univers"/>
                  <w:sz w:val="22"/>
                  <w:szCs w:val="22"/>
                </w:rPr>
                <w:t>wordt</w:t>
              </w:r>
              <w:r w:rsidRPr="003C1061">
                <w:rPr>
                  <w:rFonts w:ascii="Univers" w:hAnsi="Univers"/>
                  <w:sz w:val="22"/>
                  <w:szCs w:val="22"/>
                </w:rPr>
                <w:t xml:space="preserve"> </w:t>
              </w:r>
              <w:r>
                <w:rPr>
                  <w:rFonts w:ascii="Univers" w:hAnsi="Univers"/>
                  <w:sz w:val="22"/>
                  <w:szCs w:val="22"/>
                </w:rPr>
                <w:t xml:space="preserve">in het voorstel </w:t>
              </w:r>
              <w:r w:rsidRPr="003C1061">
                <w:rPr>
                  <w:rFonts w:ascii="Univers" w:hAnsi="Univers"/>
                  <w:sz w:val="22"/>
                  <w:szCs w:val="22"/>
                </w:rPr>
                <w:t>gedefinieerd als</w:t>
              </w:r>
              <w:r w:rsidRPr="003C1061">
                <w:rPr>
                  <w:rFonts w:ascii="Univers" w:hAnsi="Univers"/>
                  <w:sz w:val="22"/>
                  <w:szCs w:val="22"/>
                </w:rPr>
                <w:t xml:space="preserve"> “een plaats in het water bestemd voor het afmeren van een voor bewoning bestemd drijvend object”.</w:t>
              </w:r>
              <w:r>
                <w:rPr>
                  <w:rStyle w:val="Voetnootmarkering"/>
                  <w:rFonts w:ascii="Univers" w:hAnsi="Univers"/>
                  <w:sz w:val="22"/>
                  <w:szCs w:val="22"/>
                </w:rPr>
                <w:footnoteReference w:id="2"/>
              </w:r>
              <w:r w:rsidRPr="003C1061">
                <w:rPr>
                  <w:rFonts w:ascii="Univers" w:hAnsi="Univers"/>
                  <w:sz w:val="22"/>
                  <w:szCs w:val="22"/>
                </w:rPr>
                <w:t xml:space="preserve"> Hiermee is aangesloten bij het </w:t>
              </w:r>
              <w:r>
                <w:rPr>
                  <w:rFonts w:ascii="Univers" w:hAnsi="Univers"/>
                  <w:sz w:val="22"/>
                  <w:szCs w:val="22"/>
                </w:rPr>
                <w:t xml:space="preserve">bestaande </w:t>
              </w:r>
              <w:r w:rsidRPr="003C1061">
                <w:rPr>
                  <w:rFonts w:ascii="Univers" w:hAnsi="Univers"/>
                  <w:sz w:val="22"/>
                  <w:szCs w:val="22"/>
                </w:rPr>
                <w:t xml:space="preserve">begrip standplaats, waarbij het </w:t>
              </w:r>
              <w:r>
                <w:rPr>
                  <w:rFonts w:ascii="Univers" w:hAnsi="Univers"/>
                  <w:sz w:val="22"/>
                  <w:szCs w:val="22"/>
                </w:rPr>
                <w:t xml:space="preserve">gaat </w:t>
              </w:r>
              <w:r w:rsidRPr="003C1061">
                <w:rPr>
                  <w:rFonts w:ascii="Univers" w:hAnsi="Univers"/>
                  <w:sz w:val="22"/>
                  <w:szCs w:val="22"/>
                </w:rPr>
                <w:t>om een “kavel, bestemd voor het plaatsen van een woonwagen”.</w:t>
              </w:r>
              <w:r w:rsidRPr="003C1061">
                <w:rPr>
                  <w:rStyle w:val="Voetnootmarkering"/>
                  <w:rFonts w:ascii="Univers" w:hAnsi="Univers"/>
                  <w:sz w:val="22"/>
                  <w:szCs w:val="22"/>
                </w:rPr>
                <w:footnoteReference w:id="3"/>
              </w:r>
              <w:r w:rsidRPr="003C1061">
                <w:rPr>
                  <w:rFonts w:ascii="Univers" w:hAnsi="Univers"/>
                  <w:sz w:val="22"/>
                  <w:szCs w:val="22"/>
                </w:rPr>
                <w:t xml:space="preserve"> </w:t>
              </w:r>
            </w:p>
            <w:p w:rsidR="0056429F" w:rsidP="003C1061" w:rsidRDefault="00EE4A4A" w14:paraId="63C72869" w14:textId="77777777">
              <w:pPr>
                <w:pStyle w:val="Default"/>
                <w:rPr>
                  <w:rFonts w:ascii="Univers" w:hAnsi="Univers"/>
                  <w:sz w:val="22"/>
                  <w:szCs w:val="22"/>
                </w:rPr>
              </w:pPr>
            </w:p>
            <w:p w:rsidR="003522F3" w:rsidP="003C1061" w:rsidRDefault="00EE4A4A" w14:paraId="6A662865" w14:textId="77777777">
              <w:pPr>
                <w:pStyle w:val="Default"/>
                <w:rPr>
                  <w:rFonts w:ascii="Univers" w:hAnsi="Univers"/>
                  <w:sz w:val="22"/>
                  <w:szCs w:val="22"/>
                </w:rPr>
              </w:pPr>
              <w:r>
                <w:rPr>
                  <w:rFonts w:ascii="Univers" w:hAnsi="Univers"/>
                  <w:sz w:val="22"/>
                  <w:szCs w:val="22"/>
                </w:rPr>
                <w:t>Bij de standpl</w:t>
              </w:r>
              <w:r>
                <w:rPr>
                  <w:rFonts w:ascii="Univers" w:hAnsi="Univers"/>
                  <w:sz w:val="22"/>
                  <w:szCs w:val="22"/>
                </w:rPr>
                <w:t xml:space="preserve">aats wordt het woord ‘bestemd’ in de </w:t>
              </w:r>
              <w:r w:rsidRPr="003C1061">
                <w:rPr>
                  <w:rFonts w:ascii="Univers" w:hAnsi="Univers"/>
                  <w:sz w:val="22"/>
                  <w:szCs w:val="22"/>
                </w:rPr>
                <w:t>jurisprudentie in lijn met de wetsgeschiedenis zo uitgelegd dat de kavel de (publiekrechtelijke) bestemming moet hebben om een woonwagen te plaatsen. Dit kan uit een aanwijzing in een bestemmingsplan blijken, maar ook u</w:t>
              </w:r>
              <w:r w:rsidRPr="003C1061">
                <w:rPr>
                  <w:rFonts w:ascii="Univers" w:hAnsi="Univers"/>
                  <w:sz w:val="22"/>
                  <w:szCs w:val="22"/>
                </w:rPr>
                <w:t>it een verleende bouwvergunning voor sanitaire voorzieningen</w:t>
              </w:r>
              <w:r>
                <w:rPr>
                  <w:rFonts w:ascii="Univers" w:hAnsi="Univers"/>
                  <w:sz w:val="22"/>
                  <w:szCs w:val="22"/>
                </w:rPr>
                <w:t>.</w:t>
              </w:r>
              <w:r>
                <w:rPr>
                  <w:rStyle w:val="Voetnootmarkering"/>
                  <w:rFonts w:ascii="Univers" w:hAnsi="Univers"/>
                  <w:sz w:val="22"/>
                  <w:szCs w:val="22"/>
                </w:rPr>
                <w:footnoteReference w:id="4"/>
              </w:r>
            </w:p>
            <w:p w:rsidR="0056429F" w:rsidP="003C1061" w:rsidRDefault="00EE4A4A" w14:paraId="6C28AC3D" w14:textId="77777777">
              <w:pPr>
                <w:pStyle w:val="Default"/>
                <w:rPr>
                  <w:rFonts w:ascii="Univers" w:hAnsi="Univers"/>
                  <w:sz w:val="22"/>
                  <w:szCs w:val="22"/>
                </w:rPr>
              </w:pPr>
            </w:p>
            <w:p w:rsidR="009E4BE6" w:rsidRDefault="00EE4A4A" w14:paraId="6F64A288" w14:textId="77777777">
              <w:pPr>
                <w:pStyle w:val="Default"/>
                <w:rPr>
                  <w:rFonts w:ascii="Univers" w:hAnsi="Univers"/>
                  <w:sz w:val="22"/>
                  <w:szCs w:val="22"/>
                </w:rPr>
              </w:pPr>
              <w:r>
                <w:rPr>
                  <w:rFonts w:ascii="Univers" w:hAnsi="Univers"/>
                  <w:sz w:val="22"/>
                  <w:szCs w:val="22"/>
                </w:rPr>
                <w:t xml:space="preserve">In de toelichting op het onderhavige voorstel wordt bij het begrip ligplaats opgemerkt dat de vraag of een plaats </w:t>
              </w:r>
              <w:r w:rsidRPr="003C1061">
                <w:rPr>
                  <w:rFonts w:ascii="Univers" w:hAnsi="Univers"/>
                  <w:sz w:val="22"/>
                  <w:szCs w:val="22"/>
                </w:rPr>
                <w:t xml:space="preserve">in het water bestemd is voor het afmeren </w:t>
              </w:r>
              <w:r>
                <w:rPr>
                  <w:rFonts w:ascii="Univers" w:hAnsi="Univers"/>
                  <w:sz w:val="22"/>
                  <w:szCs w:val="22"/>
                </w:rPr>
                <w:t xml:space="preserve">beantwoord wordt aan de hand van </w:t>
              </w:r>
              <w:r w:rsidRPr="003C1061">
                <w:rPr>
                  <w:rFonts w:ascii="Univers" w:hAnsi="Univers"/>
                  <w:sz w:val="22"/>
                  <w:szCs w:val="22"/>
                </w:rPr>
                <w:t>feitelijke omstandigheden</w:t>
              </w:r>
              <w:r>
                <w:rPr>
                  <w:rFonts w:ascii="Univers" w:hAnsi="Univers"/>
                  <w:sz w:val="22"/>
                  <w:szCs w:val="22"/>
                </w:rPr>
                <w:t xml:space="preserve">. Daarbij zal het veelal </w:t>
              </w:r>
              <w:r w:rsidRPr="003522F3">
                <w:rPr>
                  <w:rFonts w:ascii="Univers" w:hAnsi="Univers"/>
                  <w:sz w:val="22"/>
                  <w:szCs w:val="22"/>
                </w:rPr>
                <w:t>gaan om een plaats</w:t>
              </w:r>
              <w:r w:rsidRPr="003522F3">
                <w:rPr>
                  <w:rFonts w:ascii="Univers" w:hAnsi="Univers"/>
                  <w:sz w:val="22"/>
                  <w:szCs w:val="22"/>
                </w:rPr>
                <w:t xml:space="preserve"> in het water met voorzieningen om een drijvend object vast te leggen en aan te sluiten op nutsvoorzieningen</w:t>
              </w:r>
              <w:r>
                <w:rPr>
                  <w:rFonts w:ascii="Univers" w:hAnsi="Univers"/>
                  <w:sz w:val="22"/>
                  <w:szCs w:val="22"/>
                </w:rPr>
                <w:t>, en is de bedoeling van</w:t>
              </w:r>
              <w:r w:rsidRPr="003C1061">
                <w:rPr>
                  <w:rFonts w:ascii="Univers" w:hAnsi="Univers"/>
                  <w:sz w:val="22"/>
                  <w:szCs w:val="22"/>
                </w:rPr>
                <w:t xml:space="preserve"> de eigenaar van het stuk water </w:t>
              </w:r>
              <w:r>
                <w:rPr>
                  <w:rFonts w:ascii="Univers" w:hAnsi="Univers"/>
                  <w:sz w:val="22"/>
                  <w:szCs w:val="22"/>
                </w:rPr>
                <w:t>doorslaggevend.</w:t>
              </w:r>
              <w:r>
                <w:rPr>
                  <w:rStyle w:val="Voetnootmarkering"/>
                  <w:rFonts w:ascii="Univers" w:hAnsi="Univers"/>
                  <w:sz w:val="22"/>
                  <w:szCs w:val="22"/>
                </w:rPr>
                <w:footnoteReference w:id="5"/>
              </w:r>
              <w:r>
                <w:rPr>
                  <w:rFonts w:ascii="Univers" w:hAnsi="Univers"/>
                  <w:sz w:val="22"/>
                  <w:szCs w:val="22"/>
                </w:rPr>
                <w:t xml:space="preserve">. </w:t>
              </w:r>
              <w:r>
                <w:rPr>
                  <w:rFonts w:ascii="Univers" w:hAnsi="Univers"/>
                  <w:sz w:val="22"/>
                  <w:szCs w:val="22"/>
                </w:rPr>
                <w:t>D</w:t>
              </w:r>
              <w:r>
                <w:rPr>
                  <w:rFonts w:ascii="Univers" w:hAnsi="Univers"/>
                  <w:sz w:val="22"/>
                  <w:szCs w:val="22"/>
                </w:rPr>
                <w:t xml:space="preserve">eze feitelijke omstandigheden </w:t>
              </w:r>
              <w:r>
                <w:rPr>
                  <w:rFonts w:ascii="Univers" w:hAnsi="Univers"/>
                  <w:sz w:val="22"/>
                  <w:szCs w:val="22"/>
                </w:rPr>
                <w:t xml:space="preserve">zien </w:t>
              </w:r>
              <w:r>
                <w:rPr>
                  <w:rFonts w:ascii="Univers" w:hAnsi="Univers"/>
                  <w:sz w:val="22"/>
                  <w:szCs w:val="22"/>
                </w:rPr>
                <w:t xml:space="preserve">op de verhouding tussen verhuurder en </w:t>
              </w:r>
              <w:r>
                <w:rPr>
                  <w:rFonts w:ascii="Univers" w:hAnsi="Univers"/>
                  <w:sz w:val="22"/>
                  <w:szCs w:val="22"/>
                </w:rPr>
                <w:t>huurder. ‘Bestemd’ heeft echter ook een publiekrechtelijke betekenis.</w:t>
              </w:r>
              <w:r>
                <w:rPr>
                  <w:rStyle w:val="Voetnootmarkering"/>
                  <w:rFonts w:ascii="Univers" w:hAnsi="Univers"/>
                  <w:sz w:val="22"/>
                  <w:szCs w:val="22"/>
                </w:rPr>
                <w:footnoteReference w:id="6"/>
              </w:r>
              <w:r>
                <w:rPr>
                  <w:rFonts w:ascii="Univers" w:hAnsi="Univers"/>
                  <w:sz w:val="22"/>
                  <w:szCs w:val="22"/>
                </w:rPr>
                <w:t xml:space="preserve"> De Afdeling adviseert hier in de toelichting aandacht aan te besteden.</w:t>
              </w:r>
            </w:p>
            <w:p w:rsidR="009E4BE6" w:rsidRDefault="009E4BE6" w14:paraId="02BC3DB6" w14:textId="77777777">
              <w:pPr>
                <w:pStyle w:val="Default"/>
                <w:rPr>
                  <w:rFonts w:ascii="Univers" w:hAnsi="Univers"/>
                  <w:sz w:val="22"/>
                  <w:szCs w:val="22"/>
                </w:rPr>
              </w:pPr>
            </w:p>
            <w:p w:rsidRPr="00631D8E" w:rsidR="0031089B" w:rsidP="00631D8E" w:rsidRDefault="00EE4A4A" w14:paraId="0A981DCD" w14:textId="64F463AF">
              <w:pPr>
                <w:pStyle w:val="Default"/>
                <w:rPr>
                  <w:rFonts w:ascii="Univers" w:hAnsi="Univers"/>
                  <w:sz w:val="22"/>
                  <w:szCs w:val="22"/>
                </w:rPr>
              </w:pPr>
              <w:r>
                <w:rPr>
                  <w:rFonts w:ascii="Univers" w:hAnsi="Univers"/>
                  <w:sz w:val="22"/>
                  <w:szCs w:val="22"/>
                </w:rPr>
                <w:lastRenderedPageBreak/>
                <w:t xml:space="preserve">De Afdeling adviseert in het licht van het voorgaande </w:t>
              </w:r>
              <w:r>
                <w:rPr>
                  <w:rFonts w:ascii="Univers" w:hAnsi="Univers"/>
                  <w:sz w:val="22"/>
                  <w:szCs w:val="22"/>
                </w:rPr>
                <w:t>nader toe te lichten hoe het woord ‘</w:t>
              </w:r>
              <w:r>
                <w:rPr>
                  <w:rFonts w:ascii="Univers" w:hAnsi="Univers"/>
                  <w:sz w:val="22"/>
                  <w:szCs w:val="22"/>
                </w:rPr>
                <w:t>bestemd’</w:t>
              </w:r>
              <w:r>
                <w:rPr>
                  <w:rFonts w:ascii="Univers" w:hAnsi="Univers"/>
                  <w:sz w:val="22"/>
                  <w:szCs w:val="22"/>
                </w:rPr>
                <w:t xml:space="preserve"> begrepen dient te worden.</w:t>
              </w:r>
            </w:p>
            <w:bookmarkStart w:name="_GoBack" w:displacedByCustomXml="next" w:id="0"/>
            <w:bookmarkEnd w:displacedByCustomXml="next" w:id="0"/>
          </w:sdtContent>
        </w:sdt>
        <w:p w:rsidR="003A1FC7" w:rsidRDefault="003A1FC7" w14:paraId="08BBFB2C" w14:textId="77777777"/>
        <w:sdt>
          <w:sdtPr>
            <w:alias w:val="Dictum"/>
            <w:tag w:val="Dictum"/>
            <w:id w:val="1621489950"/>
            <w:lock w:val="sdtContentLocked"/>
            <w:placeholder>
              <w:docPart w:val="DefaultPlaceholder_1082065158"/>
            </w:placeholder>
            <w:text w:multiLine="1"/>
          </w:sdtPr>
          <w:sdtEndPr/>
          <w:sdtContent>
            <w:p w:rsidR="009E4BE6" w:rsidRDefault="00EE4A4A" w14:paraId="2E9F8C36" w14:textId="77777777">
              <w:r>
                <w:t>De Afdeling advisering van de Raad van State heeft een aantal opmerkingen bij het voorstel en adviseert daarmee rekening te houde</w:t>
              </w:r>
              <w:r>
                <w:t xml:space="preserve">n voordat het voorstel bij de Tweede Kamer der Staten-Generaal wordt ingediend. </w:t>
              </w:r>
              <w:r>
                <w:br/>
              </w:r>
              <w:r>
                <w:br/>
              </w:r>
              <w:r>
                <w:br/>
                <w:t>De vice-president van de Raad van State,</w:t>
              </w:r>
            </w:p>
          </w:sdtContent>
        </w:sdt>
      </w:sdtContent>
    </w:sdt>
    <w:sectPr w:rsidR="009E4BE6"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237FF" w14:textId="77777777" w:rsidR="00847094" w:rsidRDefault="00EE4A4A" w:rsidP="005B3E03">
      <w:r>
        <w:separator/>
      </w:r>
    </w:p>
    <w:p w14:paraId="4B2AEA82" w14:textId="77777777" w:rsidR="002D0ACF" w:rsidRDefault="00EE4A4A"/>
  </w:endnote>
  <w:endnote w:type="continuationSeparator" w:id="0">
    <w:p w14:paraId="0B19A1C6" w14:textId="77777777" w:rsidR="00847094" w:rsidRDefault="00EE4A4A" w:rsidP="005B3E03">
      <w:r>
        <w:continuationSeparator/>
      </w:r>
    </w:p>
    <w:p w14:paraId="715FEBC3" w14:textId="77777777" w:rsidR="002D0ACF" w:rsidRDefault="00EE4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F82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BC51627" wp14:editId="52EFC66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2B584"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BAEBD" w14:textId="77777777" w:rsidR="00847094" w:rsidRDefault="00EE4A4A" w:rsidP="005B3E03">
      <w:r>
        <w:separator/>
      </w:r>
    </w:p>
    <w:p w14:paraId="77DB4546" w14:textId="77777777" w:rsidR="002D0ACF" w:rsidRDefault="00EE4A4A"/>
  </w:footnote>
  <w:footnote w:type="continuationSeparator" w:id="0">
    <w:p w14:paraId="67081203" w14:textId="77777777" w:rsidR="00847094" w:rsidRDefault="00EE4A4A" w:rsidP="005B3E03">
      <w:r>
        <w:continuationSeparator/>
      </w:r>
    </w:p>
    <w:p w14:paraId="3BA7F906" w14:textId="77777777" w:rsidR="002D0ACF" w:rsidRDefault="00EE4A4A"/>
  </w:footnote>
  <w:footnote w:id="1">
    <w:p w14:paraId="539B87E1" w14:textId="77777777" w:rsidR="00712B90" w:rsidRDefault="00EE4A4A" w:rsidP="00712B90">
      <w:pPr>
        <w:pStyle w:val="Voetnoottekst"/>
      </w:pPr>
      <w:r>
        <w:rPr>
          <w:rStyle w:val="Voetnootmarkering"/>
        </w:rPr>
        <w:footnoteRef/>
      </w:r>
      <w:r>
        <w:tab/>
      </w:r>
      <w:r>
        <w:t xml:space="preserve">In het voorgestelde artikel 236a van Boek 7 van het Burgerlijk Wetboek. </w:t>
      </w:r>
    </w:p>
  </w:footnote>
  <w:footnote w:id="2">
    <w:p w14:paraId="10B8A57F" w14:textId="77777777" w:rsidR="000A002D" w:rsidRDefault="00EE4A4A">
      <w:pPr>
        <w:pStyle w:val="Voetnoottekst"/>
      </w:pPr>
      <w:r>
        <w:rPr>
          <w:rStyle w:val="Voetnootmarkering"/>
        </w:rPr>
        <w:footnoteRef/>
      </w:r>
      <w:r>
        <w:t xml:space="preserve"> </w:t>
      </w:r>
      <w:r>
        <w:tab/>
        <w:t xml:space="preserve">In het voorgestelde artikel 236a van Boek 7 van het Burgerlijk Wetboek. </w:t>
      </w:r>
    </w:p>
  </w:footnote>
  <w:footnote w:id="3">
    <w:p w14:paraId="16B1BC0D" w14:textId="77777777" w:rsidR="003C1061" w:rsidRDefault="00EE4A4A">
      <w:pPr>
        <w:pStyle w:val="Voetnoottekst"/>
      </w:pPr>
      <w:r>
        <w:rPr>
          <w:rStyle w:val="Voetnootmarkering"/>
        </w:rPr>
        <w:footnoteRef/>
      </w:r>
      <w:r>
        <w:t xml:space="preserve"> </w:t>
      </w:r>
      <w:r>
        <w:tab/>
        <w:t>A</w:t>
      </w:r>
      <w:r w:rsidRPr="003C1061">
        <w:t>r</w:t>
      </w:r>
      <w:r>
        <w:t xml:space="preserve">tikel </w:t>
      </w:r>
      <w:r w:rsidRPr="003C1061">
        <w:t>236</w:t>
      </w:r>
      <w:r>
        <w:t xml:space="preserve"> van Boek 7 van het Burgerlijk Wetboek.</w:t>
      </w:r>
    </w:p>
  </w:footnote>
  <w:footnote w:id="4">
    <w:p w14:paraId="3B87FA11" w14:textId="77777777" w:rsidR="000A002D" w:rsidRDefault="00EE4A4A" w:rsidP="000A002D">
      <w:pPr>
        <w:pStyle w:val="Voetnoottekst"/>
      </w:pPr>
      <w:r>
        <w:rPr>
          <w:rStyle w:val="Voetnootmarkering"/>
        </w:rPr>
        <w:footnoteRef/>
      </w:r>
      <w:r>
        <w:t xml:space="preserve"> </w:t>
      </w:r>
      <w:r>
        <w:tab/>
      </w:r>
      <w:r w:rsidRPr="000A002D">
        <w:t xml:space="preserve">Hof Den Bosch 3 maart 2015 </w:t>
      </w:r>
      <w:r>
        <w:t>ECLI:NL:GHSHE:2015:695</w:t>
      </w:r>
      <w:r w:rsidRPr="000A002D">
        <w:t>,</w:t>
      </w:r>
      <w:r w:rsidRPr="000A002D">
        <w:t xml:space="preserve"> r.o. 3.7</w:t>
      </w:r>
      <w:r>
        <w:t>.</w:t>
      </w:r>
    </w:p>
  </w:footnote>
  <w:footnote w:id="5">
    <w:p w14:paraId="6A91329E" w14:textId="77777777" w:rsidR="0070461D" w:rsidRDefault="00EE4A4A" w:rsidP="0070461D">
      <w:pPr>
        <w:pStyle w:val="Voetnoottekst"/>
      </w:pPr>
      <w:r>
        <w:rPr>
          <w:rStyle w:val="Voetnootmarkering"/>
        </w:rPr>
        <w:footnoteRef/>
      </w:r>
      <w:r>
        <w:tab/>
      </w:r>
      <w:r w:rsidRPr="0066579A">
        <w:t>Toelichting, artikelsgewijs, artikel I, onderdeel E</w:t>
      </w:r>
      <w:r>
        <w:t>.</w:t>
      </w:r>
    </w:p>
  </w:footnote>
  <w:footnote w:id="6">
    <w:p w14:paraId="5F4FCC6F" w14:textId="77777777" w:rsidR="001D131A" w:rsidRDefault="00EE4A4A">
      <w:pPr>
        <w:pStyle w:val="Voetnoottekst"/>
      </w:pPr>
      <w:r>
        <w:rPr>
          <w:rStyle w:val="Voetnootmarkering"/>
        </w:rPr>
        <w:footnoteRef/>
      </w:r>
      <w:r>
        <w:t xml:space="preserve"> </w:t>
      </w:r>
      <w:r>
        <w:tab/>
        <w:t xml:space="preserve">Zie bijvoorbeeld </w:t>
      </w:r>
      <w:hyperlink r:id="rId1" w:history="1">
        <w:r>
          <w:rPr>
            <w:rStyle w:val="Hyperlink"/>
          </w:rPr>
          <w:t>Kamerstukken II 1997/98, 255333, nr. 3</w:t>
        </w:r>
      </w:hyperlink>
      <w:r>
        <w:t>,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2E30"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4BE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E4A4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50E7E9"/>
  <w15:docId w15:val="{60B063AA-9CDA-48D7-BE31-5012806D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C1061"/>
    <w:rPr>
      <w:vertAlign w:val="superscript"/>
    </w:rPr>
  </w:style>
  <w:style w:type="paragraph" w:customStyle="1" w:styleId="Default">
    <w:name w:val="Default"/>
    <w:basedOn w:val="Standaard"/>
    <w:rsid w:val="003C1061"/>
    <w:pPr>
      <w:autoSpaceDE w:val="0"/>
      <w:autoSpaceDN w:val="0"/>
    </w:pPr>
    <w:rPr>
      <w:rFonts w:ascii="Verdana" w:eastAsiaTheme="minorHAnsi" w:hAnsi="Verdana"/>
      <w:color w:val="000000"/>
      <w:sz w:val="24"/>
    </w:rPr>
  </w:style>
  <w:style w:type="character" w:styleId="Verwijzingopmerking">
    <w:name w:val="annotation reference"/>
    <w:basedOn w:val="Standaardalinea-lettertype"/>
    <w:rsid w:val="003C1061"/>
    <w:rPr>
      <w:sz w:val="16"/>
      <w:szCs w:val="16"/>
    </w:rPr>
  </w:style>
  <w:style w:type="paragraph" w:styleId="Tekstopmerking">
    <w:name w:val="annotation text"/>
    <w:basedOn w:val="Standaard"/>
    <w:link w:val="TekstopmerkingChar"/>
    <w:rsid w:val="003C1061"/>
    <w:rPr>
      <w:sz w:val="20"/>
      <w:szCs w:val="20"/>
    </w:rPr>
  </w:style>
  <w:style w:type="character" w:customStyle="1" w:styleId="TekstopmerkingChar">
    <w:name w:val="Tekst opmerking Char"/>
    <w:basedOn w:val="Standaardalinea-lettertype"/>
    <w:link w:val="Tekstopmerking"/>
    <w:rsid w:val="003C1061"/>
    <w:rPr>
      <w:rFonts w:ascii="Univers" w:hAnsi="Univers"/>
    </w:rPr>
  </w:style>
  <w:style w:type="paragraph" w:styleId="Onderwerpvanopmerking">
    <w:name w:val="annotation subject"/>
    <w:basedOn w:val="Tekstopmerking"/>
    <w:next w:val="Tekstopmerking"/>
    <w:link w:val="OnderwerpvanopmerkingChar"/>
    <w:rsid w:val="003C1061"/>
    <w:rPr>
      <w:b/>
      <w:bCs/>
    </w:rPr>
  </w:style>
  <w:style w:type="character" w:customStyle="1" w:styleId="OnderwerpvanopmerkingChar">
    <w:name w:val="Onderwerp van opmerking Char"/>
    <w:basedOn w:val="TekstopmerkingChar"/>
    <w:link w:val="Onderwerpvanopmerking"/>
    <w:rsid w:val="003C1061"/>
    <w:rPr>
      <w:rFonts w:ascii="Univers" w:hAnsi="Univers"/>
      <w:b/>
      <w:bCs/>
    </w:rPr>
  </w:style>
  <w:style w:type="character" w:styleId="Hyperlink">
    <w:name w:val="Hyperlink"/>
    <w:basedOn w:val="Standaardalinea-lettertype"/>
    <w:uiPriority w:val="99"/>
    <w:semiHidden/>
    <w:unhideWhenUsed/>
    <w:rsid w:val="001D13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5333-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387</ap:Words>
  <ap:Characters>2200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2019-12-18T16:18:00.0000000Z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0x01010053DAFE920ACB85459918D362B3AA0977</vt:lpwstr>
  </property>
</Properties>
</file>