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pPr w:leftFromText="141" w:rightFromText="141" w:tblpY="652"/>
        <w:tblW w:w="9776" w:type="dxa"/>
        <w:tblLayout w:type="fixed"/>
        <w:tblLook w:val="04A0" w:firstRow="1" w:lastRow="0" w:firstColumn="1" w:lastColumn="0" w:noHBand="0" w:noVBand="1"/>
      </w:tblPr>
      <w:tblGrid>
        <w:gridCol w:w="523"/>
        <w:gridCol w:w="1540"/>
        <w:gridCol w:w="5374"/>
        <w:gridCol w:w="2339"/>
      </w:tblGrid>
      <w:tr w:rsidRPr="003B6812" w:rsidR="00936C76" w:rsidTr="00A46C52">
        <w:trPr>
          <w:tblHeader/>
        </w:trPr>
        <w:tc>
          <w:tcPr>
            <w:tcW w:w="523"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A46C52" w:rsidR="00936C76" w:rsidP="00BA167A" w:rsidRDefault="00936C76">
            <w:pPr>
              <w:ind w:right="-2434"/>
              <w:rPr>
                <w:b/>
              </w:rPr>
            </w:pPr>
            <w:r w:rsidRPr="00A46C52">
              <w:rPr>
                <w:b/>
              </w:rPr>
              <w:t>Nr.</w:t>
            </w:r>
          </w:p>
        </w:tc>
        <w:tc>
          <w:tcPr>
            <w:tcW w:w="1540"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A46C52" w:rsidR="00936C76" w:rsidP="00936C76" w:rsidRDefault="00936C76">
            <w:pPr>
              <w:rPr>
                <w:b/>
              </w:rPr>
            </w:pPr>
            <w:r w:rsidRPr="00A46C52">
              <w:rPr>
                <w:b/>
              </w:rPr>
              <w:t>Kennisthema</w:t>
            </w:r>
          </w:p>
        </w:tc>
        <w:tc>
          <w:tcPr>
            <w:tcW w:w="5374"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A46C52" w:rsidR="00936C76" w:rsidP="00BA167A" w:rsidRDefault="00936C76">
            <w:pPr>
              <w:rPr>
                <w:b/>
              </w:rPr>
            </w:pPr>
            <w:r w:rsidRPr="00A46C52">
              <w:rPr>
                <w:b/>
              </w:rPr>
              <w:t>Omschrijving</w:t>
            </w:r>
          </w:p>
        </w:tc>
        <w:tc>
          <w:tcPr>
            <w:tcW w:w="2339"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A46C52" w:rsidR="00936C76" w:rsidP="00A46C52" w:rsidRDefault="00936C76">
            <w:pPr>
              <w:rPr>
                <w:b/>
              </w:rPr>
            </w:pPr>
            <w:r w:rsidRPr="00A46C52">
              <w:rPr>
                <w:b/>
              </w:rPr>
              <w:t>Voorbereidingsgroep</w:t>
            </w:r>
            <w:r w:rsidRPr="00A46C52" w:rsidR="00A46C52">
              <w:rPr>
                <w:b/>
              </w:rPr>
              <w:t xml:space="preserve"> of rapporteurs</w:t>
            </w:r>
          </w:p>
        </w:tc>
      </w:tr>
      <w:tr w:rsidRPr="00A46C52" w:rsidR="00936C76" w:rsidTr="00A46C52">
        <w:tc>
          <w:tcPr>
            <w:tcW w:w="523"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1</w:t>
            </w:r>
          </w:p>
        </w:tc>
        <w:tc>
          <w:tcPr>
            <w:tcW w:w="1540"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936C76" w:rsidRDefault="00936C76">
            <w:pPr>
              <w:autoSpaceDE w:val="0"/>
              <w:adjustRightInd w:val="0"/>
              <w:spacing w:after="78"/>
              <w:rPr>
                <w:sz w:val="15"/>
                <w:szCs w:val="15"/>
              </w:rPr>
            </w:pPr>
            <w:r w:rsidRPr="00936C76">
              <w:rPr>
                <w:sz w:val="15"/>
                <w:szCs w:val="15"/>
              </w:rPr>
              <w:t>Anticiperend handhaven Schiphol</w:t>
            </w:r>
          </w:p>
        </w:tc>
        <w:tc>
          <w:tcPr>
            <w:tcW w:w="5374"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Pr>
                <w:sz w:val="15"/>
                <w:szCs w:val="15"/>
              </w:rPr>
              <w:t xml:space="preserve">Naar aanleiding van het uitstel van het Luchthavenverkeersbesluit Schiphol (LVB-1) laat de commissie zich adviseren over de vraag of er snellere oplossingen zijn voor de handhaving rond Schiphol. Meer in het bijzonder vraagt de commissie zich af of handhaving van de regels uit het nieuwe Normen- en </w:t>
            </w:r>
            <w:proofErr w:type="spellStart"/>
            <w:r>
              <w:rPr>
                <w:sz w:val="15"/>
                <w:szCs w:val="15"/>
              </w:rPr>
              <w:t>Handhavingstelsel</w:t>
            </w:r>
            <w:proofErr w:type="spellEnd"/>
            <w:r>
              <w:rPr>
                <w:sz w:val="15"/>
                <w:szCs w:val="15"/>
              </w:rPr>
              <w:t xml:space="preserve"> Schiphol (NNHS), die in het LVB-1 zullen worden verankerd, versneld via een tijdelijke handhavingsregeling kunnen worden ingevoerd. Daarnaast vraagt de commissie advies over de wijze waarop toekomstige vormen van langdurig anticiperend ha</w:t>
            </w:r>
            <w:r w:rsidR="00A46C52">
              <w:rPr>
                <w:sz w:val="15"/>
                <w:szCs w:val="15"/>
              </w:rPr>
              <w:t>ndhaven kunnen worden vermeden.</w:t>
            </w:r>
            <w:bookmarkStart w:name="_GoBack" w:id="0"/>
            <w:bookmarkEnd w:id="0"/>
          </w:p>
        </w:tc>
        <w:tc>
          <w:tcPr>
            <w:tcW w:w="2339" w:type="dxa"/>
            <w:tcBorders>
              <w:top w:val="single" w:color="auto" w:sz="4" w:space="0"/>
              <w:left w:val="single" w:color="auto" w:sz="4" w:space="0"/>
              <w:bottom w:val="single" w:color="auto" w:sz="4" w:space="0"/>
              <w:right w:val="single" w:color="auto" w:sz="4" w:space="0"/>
            </w:tcBorders>
            <w:shd w:val="clear" w:color="auto" w:fill="auto"/>
          </w:tcPr>
          <w:p w:rsidRPr="00A46C52" w:rsidR="00A46C52" w:rsidP="00A46C52" w:rsidRDefault="00936C76">
            <w:pPr>
              <w:autoSpaceDE w:val="0"/>
              <w:adjustRightInd w:val="0"/>
              <w:spacing w:after="78"/>
              <w:rPr>
                <w:sz w:val="15"/>
                <w:szCs w:val="15"/>
              </w:rPr>
            </w:pPr>
            <w:r w:rsidRPr="00A46C52">
              <w:rPr>
                <w:sz w:val="15"/>
                <w:szCs w:val="15"/>
              </w:rPr>
              <w:t xml:space="preserve">Paternotte </w:t>
            </w:r>
          </w:p>
          <w:p w:rsidRPr="00A46C52" w:rsidR="00936C76" w:rsidP="00A46C52" w:rsidRDefault="00936C76">
            <w:pPr>
              <w:autoSpaceDE w:val="0"/>
              <w:adjustRightInd w:val="0"/>
              <w:spacing w:after="78"/>
              <w:rPr>
                <w:sz w:val="15"/>
                <w:szCs w:val="15"/>
              </w:rPr>
            </w:pPr>
            <w:r w:rsidRPr="00A46C52">
              <w:rPr>
                <w:sz w:val="15"/>
                <w:szCs w:val="15"/>
              </w:rPr>
              <w:t>Kröger</w:t>
            </w:r>
          </w:p>
        </w:tc>
      </w:tr>
      <w:tr w:rsidRPr="00A46C52" w:rsidR="00936C76" w:rsidTr="00A46C52">
        <w:tc>
          <w:tcPr>
            <w:tcW w:w="523"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2</w:t>
            </w:r>
          </w:p>
        </w:tc>
        <w:tc>
          <w:tcPr>
            <w:tcW w:w="1540"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Medische keuringen CBR</w:t>
            </w:r>
          </w:p>
        </w:tc>
        <w:tc>
          <w:tcPr>
            <w:tcW w:w="5374"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BA167A" w:rsidRDefault="00936C76">
            <w:pPr>
              <w:autoSpaceDE w:val="0"/>
              <w:adjustRightInd w:val="0"/>
              <w:spacing w:after="78"/>
              <w:rPr>
                <w:sz w:val="15"/>
                <w:szCs w:val="15"/>
              </w:rPr>
            </w:pPr>
            <w:r>
              <w:rPr>
                <w:sz w:val="15"/>
                <w:szCs w:val="15"/>
              </w:rPr>
              <w:t xml:space="preserve">In het licht van het Strategisch Plan Verkeersveiligheid wil het ministerie van </w:t>
            </w:r>
            <w:proofErr w:type="spellStart"/>
            <w:r>
              <w:rPr>
                <w:sz w:val="15"/>
                <w:szCs w:val="15"/>
              </w:rPr>
              <w:t>IenW</w:t>
            </w:r>
            <w:proofErr w:type="spellEnd"/>
            <w:r>
              <w:rPr>
                <w:sz w:val="15"/>
                <w:szCs w:val="15"/>
              </w:rPr>
              <w:t xml:space="preserve"> op lange termijn een systeem ontwikkelen waarbij de beoordeling van rijgeschiktheid niet meer afhangt van de leeftijd, maar vooral van een medische indicatie. Ter oriëntatie wil de commissie weten hoe dit proces elders in Europa is geregeld, wat zij daarvan kan leren en hoe dat in de loop van dit jaar meegenomen kan worden in de discussie.</w:t>
            </w:r>
          </w:p>
        </w:tc>
        <w:tc>
          <w:tcPr>
            <w:tcW w:w="2339"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Schonis</w:t>
            </w:r>
          </w:p>
          <w:p w:rsidRPr="00A46C52" w:rsidR="00936C76" w:rsidP="00A46C52" w:rsidRDefault="00936C76">
            <w:pPr>
              <w:autoSpaceDE w:val="0"/>
              <w:adjustRightInd w:val="0"/>
              <w:spacing w:after="78"/>
              <w:rPr>
                <w:sz w:val="15"/>
                <w:szCs w:val="15"/>
              </w:rPr>
            </w:pPr>
            <w:r w:rsidRPr="00A46C52">
              <w:rPr>
                <w:sz w:val="15"/>
                <w:szCs w:val="15"/>
              </w:rPr>
              <w:t xml:space="preserve">Postma </w:t>
            </w:r>
          </w:p>
          <w:p w:rsidRPr="00A46C52" w:rsidR="00936C76" w:rsidP="00A46C52" w:rsidRDefault="00936C76">
            <w:pPr>
              <w:autoSpaceDE w:val="0"/>
              <w:adjustRightInd w:val="0"/>
              <w:spacing w:after="78"/>
              <w:rPr>
                <w:sz w:val="15"/>
                <w:szCs w:val="15"/>
              </w:rPr>
            </w:pPr>
            <w:r w:rsidRPr="00A46C52">
              <w:rPr>
                <w:sz w:val="15"/>
                <w:szCs w:val="15"/>
              </w:rPr>
              <w:t>Laçin</w:t>
            </w:r>
          </w:p>
        </w:tc>
      </w:tr>
      <w:tr w:rsidRPr="00A46C52" w:rsidR="00936C76" w:rsidTr="00A46C52">
        <w:tc>
          <w:tcPr>
            <w:tcW w:w="523"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3</w:t>
            </w:r>
          </w:p>
        </w:tc>
        <w:tc>
          <w:tcPr>
            <w:tcW w:w="1540"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936C76" w:rsidRDefault="00936C76">
            <w:pPr>
              <w:autoSpaceDE w:val="0"/>
              <w:adjustRightInd w:val="0"/>
              <w:spacing w:after="78"/>
              <w:rPr>
                <w:sz w:val="15"/>
                <w:szCs w:val="15"/>
              </w:rPr>
            </w:pPr>
            <w:r w:rsidRPr="00A46C52">
              <w:rPr>
                <w:sz w:val="15"/>
                <w:szCs w:val="15"/>
              </w:rPr>
              <w:t>Grootstedelijke mobiliteit</w:t>
            </w:r>
          </w:p>
        </w:tc>
        <w:tc>
          <w:tcPr>
            <w:tcW w:w="5374"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936C76" w:rsidRDefault="00936C76">
            <w:pPr>
              <w:autoSpaceDE w:val="0"/>
              <w:adjustRightInd w:val="0"/>
              <w:spacing w:after="78"/>
              <w:rPr>
                <w:sz w:val="15"/>
                <w:szCs w:val="15"/>
              </w:rPr>
            </w:pPr>
            <w:r>
              <w:rPr>
                <w:sz w:val="15"/>
                <w:szCs w:val="15"/>
              </w:rPr>
              <w:t>Welke ontwikkelingen worden verwacht voor de komende 10 tot 20 jaar? Welke invloed heeft de internet-economie op de mobiliteit en hoe kan dit worden beïnvloed? Hoe kunnen verwachte ontwikkelingen en tijdsgebonden knelpunten (pieken: spitsfiles, seizoen) beter worden meegenomen in de afwegingskaders voor het mobiliteitsbeleid?</w:t>
            </w:r>
          </w:p>
        </w:tc>
        <w:tc>
          <w:tcPr>
            <w:tcW w:w="2339"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Postma</w:t>
            </w:r>
          </w:p>
          <w:p w:rsidRPr="00A46C52" w:rsidR="00936C76" w:rsidP="00A46C52" w:rsidRDefault="00936C76">
            <w:pPr>
              <w:autoSpaceDE w:val="0"/>
              <w:adjustRightInd w:val="0"/>
              <w:spacing w:after="78"/>
              <w:rPr>
                <w:sz w:val="15"/>
                <w:szCs w:val="15"/>
              </w:rPr>
            </w:pPr>
            <w:r w:rsidRPr="00A46C52">
              <w:rPr>
                <w:sz w:val="15"/>
                <w:szCs w:val="15"/>
              </w:rPr>
              <w:t>Kröger</w:t>
            </w:r>
          </w:p>
          <w:p w:rsidRPr="00A46C52" w:rsidR="00936C76" w:rsidP="00A46C52" w:rsidRDefault="00936C76">
            <w:pPr>
              <w:autoSpaceDE w:val="0"/>
              <w:adjustRightInd w:val="0"/>
              <w:spacing w:after="78"/>
              <w:rPr>
                <w:sz w:val="15"/>
                <w:szCs w:val="15"/>
              </w:rPr>
            </w:pPr>
            <w:r w:rsidRPr="00A46C52">
              <w:rPr>
                <w:sz w:val="15"/>
                <w:szCs w:val="15"/>
              </w:rPr>
              <w:t>Van Esch</w:t>
            </w:r>
          </w:p>
        </w:tc>
      </w:tr>
      <w:tr w:rsidRPr="00A46C52" w:rsidR="00936C76" w:rsidTr="00A46C52">
        <w:tc>
          <w:tcPr>
            <w:tcW w:w="523"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4</w:t>
            </w:r>
          </w:p>
        </w:tc>
        <w:tc>
          <w:tcPr>
            <w:tcW w:w="1540"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Mobiliteitskeuzes</w:t>
            </w:r>
          </w:p>
        </w:tc>
        <w:tc>
          <w:tcPr>
            <w:tcW w:w="5374"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936C76" w:rsidRDefault="00936C76">
            <w:pPr>
              <w:autoSpaceDE w:val="0"/>
              <w:adjustRightInd w:val="0"/>
              <w:spacing w:after="78"/>
              <w:rPr>
                <w:sz w:val="15"/>
                <w:szCs w:val="15"/>
              </w:rPr>
            </w:pPr>
            <w:r>
              <w:rPr>
                <w:sz w:val="15"/>
                <w:szCs w:val="15"/>
              </w:rPr>
              <w:t xml:space="preserve">Welke keuzes moeten worden gemaakt in het mobiliteitsbeleid met het oog op de verwachte ontwikkelingen? Hoe kan dit worden verankerd in instrumenten als </w:t>
            </w:r>
            <w:proofErr w:type="spellStart"/>
            <w:r>
              <w:rPr>
                <w:sz w:val="15"/>
                <w:szCs w:val="15"/>
              </w:rPr>
              <w:t>MKBA’s</w:t>
            </w:r>
            <w:proofErr w:type="spellEnd"/>
            <w:r>
              <w:rPr>
                <w:sz w:val="15"/>
                <w:szCs w:val="15"/>
              </w:rPr>
              <w:t xml:space="preserve"> (maatschappelijke kosten-batenanalyses) en de NMCA (Nationale Markt- en Capaciteitsanalyse)? Op welke wijze kan de Kamer hierop zicht houden en invloed uitoefenen?</w:t>
            </w:r>
            <w:r>
              <w:rPr>
                <w:sz w:val="15"/>
                <w:szCs w:val="15"/>
              </w:rPr>
              <w:br/>
              <w:t>Dit onderwerp is een vervolg op het onderwerp ‘Kosten en baten van mobiliteit’ uit de Kennisagenda 2019 van de commissie.</w:t>
            </w:r>
          </w:p>
        </w:tc>
        <w:tc>
          <w:tcPr>
            <w:tcW w:w="2339"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Schonis</w:t>
            </w:r>
            <w:r w:rsidRPr="00A46C52">
              <w:rPr>
                <w:sz w:val="15"/>
                <w:szCs w:val="15"/>
              </w:rPr>
              <w:br/>
              <w:t>Amhaouch</w:t>
            </w:r>
            <w:r w:rsidRPr="00A46C52">
              <w:rPr>
                <w:sz w:val="15"/>
                <w:szCs w:val="15"/>
              </w:rPr>
              <w:br/>
              <w:t>Laçin</w:t>
            </w:r>
          </w:p>
        </w:tc>
      </w:tr>
      <w:tr w:rsidRPr="00A46C52" w:rsidR="00936C76" w:rsidTr="00A46C52">
        <w:trPr>
          <w:trHeight w:val="1380"/>
        </w:trPr>
        <w:tc>
          <w:tcPr>
            <w:tcW w:w="523"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5</w:t>
            </w:r>
          </w:p>
        </w:tc>
        <w:tc>
          <w:tcPr>
            <w:tcW w:w="1540"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Hernieuwbare brandstoffen en energiedragers en biobrandstoffen</w:t>
            </w:r>
          </w:p>
        </w:tc>
        <w:tc>
          <w:tcPr>
            <w:tcW w:w="5374"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936C76" w:rsidRDefault="00936C76">
            <w:pPr>
              <w:autoSpaceDE w:val="0"/>
              <w:adjustRightInd w:val="0"/>
              <w:spacing w:after="78"/>
              <w:rPr>
                <w:sz w:val="15"/>
                <w:szCs w:val="15"/>
              </w:rPr>
            </w:pPr>
            <w:r>
              <w:rPr>
                <w:sz w:val="15"/>
                <w:szCs w:val="15"/>
              </w:rPr>
              <w:t xml:space="preserve">Met het oog op de criteria uit de Europese richtlijn voor hernieuwbare energie (RED II) voor biobrandstoffen, de verwachtingen voor de toekomst van 3e generatie biobrandstoffen en energiedragers als waterstof of nieuwe brandstoffen zoals </w:t>
            </w:r>
            <w:proofErr w:type="spellStart"/>
            <w:r>
              <w:rPr>
                <w:sz w:val="15"/>
                <w:szCs w:val="15"/>
              </w:rPr>
              <w:t>Syngas</w:t>
            </w:r>
            <w:proofErr w:type="spellEnd"/>
            <w:r>
              <w:rPr>
                <w:sz w:val="15"/>
                <w:szCs w:val="15"/>
              </w:rPr>
              <w:t xml:space="preserve">, </w:t>
            </w:r>
            <w:proofErr w:type="spellStart"/>
            <w:r>
              <w:rPr>
                <w:sz w:val="15"/>
                <w:szCs w:val="15"/>
              </w:rPr>
              <w:t>Synkerosine</w:t>
            </w:r>
            <w:proofErr w:type="spellEnd"/>
            <w:r>
              <w:rPr>
                <w:sz w:val="15"/>
                <w:szCs w:val="15"/>
              </w:rPr>
              <w:t xml:space="preserve"> of </w:t>
            </w:r>
            <w:proofErr w:type="spellStart"/>
            <w:r>
              <w:rPr>
                <w:sz w:val="15"/>
                <w:szCs w:val="15"/>
              </w:rPr>
              <w:t>Syndiesel</w:t>
            </w:r>
            <w:proofErr w:type="spellEnd"/>
            <w:r>
              <w:rPr>
                <w:sz w:val="15"/>
                <w:szCs w:val="15"/>
              </w:rPr>
              <w:t xml:space="preserve"> wil de commissie weten welke technieken kansrijk zijn. Welke infrastructuur is nodig voor deze transitie en welke rol zou de overheid kunnen of moeten spelen? De interesse gaat met name uit naar opties voor modaliteiten die niet makkelijk kunnen worden geëlektrificeerd, zoals lucht- en scheepvaart. Verder wil de commissie zich verdiepen in de technologische voortgang en de voor- en nadelen van biobrandstoffen. Welke generaties biobrandstoffen zijn er? Op basis van welke producten worden deze geproduceerd? Hoeveel daarvan is nationaal beschikbaar en hoe duurzaam is het?</w:t>
            </w:r>
          </w:p>
        </w:tc>
        <w:tc>
          <w:tcPr>
            <w:tcW w:w="2339"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Kröger</w:t>
            </w:r>
          </w:p>
          <w:p w:rsidRPr="00A46C52" w:rsidR="00936C76" w:rsidP="00A46C52" w:rsidRDefault="00936C76">
            <w:pPr>
              <w:autoSpaceDE w:val="0"/>
              <w:adjustRightInd w:val="0"/>
              <w:spacing w:after="78"/>
              <w:rPr>
                <w:sz w:val="15"/>
                <w:szCs w:val="15"/>
              </w:rPr>
            </w:pPr>
            <w:r w:rsidRPr="00A46C52">
              <w:rPr>
                <w:sz w:val="15"/>
                <w:szCs w:val="15"/>
              </w:rPr>
              <w:t>Van Esch</w:t>
            </w:r>
          </w:p>
        </w:tc>
      </w:tr>
      <w:tr w:rsidRPr="00A46C52" w:rsidR="00936C76" w:rsidTr="00A46C52">
        <w:trPr>
          <w:trHeight w:val="1380"/>
        </w:trPr>
        <w:tc>
          <w:tcPr>
            <w:tcW w:w="523"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6</w:t>
            </w:r>
          </w:p>
        </w:tc>
        <w:tc>
          <w:tcPr>
            <w:tcW w:w="1540"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Opkomende stoffen, zeer zorgwekkende stoffen (ZZS) en chemische stoffen</w:t>
            </w:r>
          </w:p>
        </w:tc>
        <w:tc>
          <w:tcPr>
            <w:tcW w:w="5374"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936C76" w:rsidRDefault="00936C76">
            <w:pPr>
              <w:autoSpaceDE w:val="0"/>
              <w:adjustRightInd w:val="0"/>
              <w:spacing w:after="78"/>
              <w:rPr>
                <w:sz w:val="15"/>
                <w:szCs w:val="15"/>
              </w:rPr>
            </w:pPr>
            <w:r>
              <w:rPr>
                <w:sz w:val="15"/>
                <w:szCs w:val="15"/>
              </w:rPr>
              <w:t>Naar aanleiding van de problemen rond PFAS wil de commissie meer inzicht krijgen over welke stoffen we ons zorgen moeten maken. Wat is er nu op grote schaal in ons leefmilieu, dat verdacht wordt van schadelijke effecten? Wat is heel schadelijk en dreigt bij gebrek aan regels op grote schaal geproduceerd te worden? Hoe richtten we onze wet en regelgeving, monitoring en handhaving zo in dat we problemen voor zijn en we niet decennia later (asbest, PFAS etc.) met grote maatschappelijke problemen zitten?</w:t>
            </w:r>
            <w:r>
              <w:rPr>
                <w:sz w:val="15"/>
                <w:szCs w:val="15"/>
              </w:rPr>
              <w:br/>
              <w:t>Daarnaast wil de commissie beter inzicht krijgen op welke manier in de industrie omgesprongen wordt met chemische stoffen, welke wet- en regelgeving daarop van toepassing is en de mate van toezicht en handhaving.</w:t>
            </w:r>
            <w:r>
              <w:rPr>
                <w:sz w:val="15"/>
                <w:szCs w:val="15"/>
              </w:rPr>
              <w:br/>
              <w:t>De Algemene Rekenkamer komt in januari 2021 met een rapport over het effectief bestrijden van milieucriminaliteit. Vooruitlopend hierop wil de commissie nog in 2020 meer te weten te komen over het onderwerp.</w:t>
            </w:r>
          </w:p>
        </w:tc>
        <w:tc>
          <w:tcPr>
            <w:tcW w:w="2339"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Kröger</w:t>
            </w:r>
          </w:p>
          <w:p w:rsidRPr="00A46C52" w:rsidR="00936C76" w:rsidP="00A46C52" w:rsidRDefault="00936C76">
            <w:pPr>
              <w:autoSpaceDE w:val="0"/>
              <w:adjustRightInd w:val="0"/>
              <w:spacing w:after="78"/>
              <w:rPr>
                <w:sz w:val="15"/>
                <w:szCs w:val="15"/>
              </w:rPr>
            </w:pPr>
            <w:r w:rsidRPr="00A46C52">
              <w:rPr>
                <w:sz w:val="15"/>
                <w:szCs w:val="15"/>
              </w:rPr>
              <w:t>Laçin</w:t>
            </w:r>
          </w:p>
          <w:p w:rsidRPr="00A46C52" w:rsidR="00936C76" w:rsidP="00A46C52" w:rsidRDefault="00936C76">
            <w:pPr>
              <w:autoSpaceDE w:val="0"/>
              <w:adjustRightInd w:val="0"/>
              <w:spacing w:after="78"/>
              <w:rPr>
                <w:sz w:val="15"/>
                <w:szCs w:val="15"/>
              </w:rPr>
            </w:pPr>
            <w:r w:rsidRPr="00A46C52">
              <w:rPr>
                <w:sz w:val="15"/>
                <w:szCs w:val="15"/>
              </w:rPr>
              <w:t>Van Eijs</w:t>
            </w:r>
          </w:p>
        </w:tc>
      </w:tr>
      <w:tr w:rsidRPr="00A46C52" w:rsidR="00936C76" w:rsidTr="00A46C52">
        <w:trPr>
          <w:trHeight w:val="1380"/>
        </w:trPr>
        <w:tc>
          <w:tcPr>
            <w:tcW w:w="523"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p>
        </w:tc>
        <w:tc>
          <w:tcPr>
            <w:tcW w:w="1540"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r w:rsidRPr="00A46C52">
              <w:rPr>
                <w:sz w:val="15"/>
                <w:szCs w:val="15"/>
              </w:rPr>
              <w:t>Begrotingen en jaarverslagen</w:t>
            </w:r>
          </w:p>
        </w:tc>
        <w:tc>
          <w:tcPr>
            <w:tcW w:w="5374"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BA167A" w:rsidRDefault="00936C76">
            <w:pPr>
              <w:autoSpaceDE w:val="0"/>
              <w:adjustRightInd w:val="0"/>
              <w:spacing w:after="78"/>
              <w:rPr>
                <w:sz w:val="15"/>
                <w:szCs w:val="15"/>
              </w:rPr>
            </w:pPr>
            <w:r>
              <w:rPr>
                <w:sz w:val="15"/>
                <w:szCs w:val="15"/>
              </w:rPr>
              <w:t>Belangrijke taken van de Kamer zijn het behandelen en goedkeuren van de begrotingen en, achteraf, het behandelen van de verantwoording over de uitvoering. De commissie heeft de Kamerleden Van Eijs (D66) en Kröger (GroenLinks) benoemd tot rapporteurs Begrotingscyclus. De taak van de rapporteurs is om de kwaliteit van de begroting en de jaarverslagen namens de commissie te beoordelen en eventueel verandervoorstellen te doen.</w:t>
            </w:r>
          </w:p>
        </w:tc>
        <w:tc>
          <w:tcPr>
            <w:tcW w:w="2339"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BA167A" w:rsidRDefault="00A46C52">
            <w:pPr>
              <w:autoSpaceDE w:val="0"/>
              <w:adjustRightInd w:val="0"/>
              <w:spacing w:after="78"/>
              <w:rPr>
                <w:sz w:val="15"/>
                <w:szCs w:val="15"/>
              </w:rPr>
            </w:pPr>
            <w:r w:rsidRPr="00A46C52">
              <w:rPr>
                <w:sz w:val="15"/>
                <w:szCs w:val="15"/>
              </w:rPr>
              <w:t>Van Eijs</w:t>
            </w:r>
          </w:p>
          <w:p w:rsidRPr="00A46C52" w:rsidR="00A46C52" w:rsidP="00BA167A" w:rsidRDefault="00A46C52">
            <w:pPr>
              <w:autoSpaceDE w:val="0"/>
              <w:adjustRightInd w:val="0"/>
              <w:spacing w:after="78"/>
              <w:rPr>
                <w:sz w:val="15"/>
                <w:szCs w:val="15"/>
              </w:rPr>
            </w:pPr>
            <w:r w:rsidRPr="00A46C52">
              <w:rPr>
                <w:sz w:val="15"/>
                <w:szCs w:val="15"/>
              </w:rPr>
              <w:t>Kröger</w:t>
            </w:r>
          </w:p>
        </w:tc>
      </w:tr>
      <w:tr w:rsidRPr="00A46C52" w:rsidR="00936C76" w:rsidTr="00A46C52">
        <w:trPr>
          <w:trHeight w:val="1380"/>
        </w:trPr>
        <w:tc>
          <w:tcPr>
            <w:tcW w:w="523"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p>
        </w:tc>
        <w:tc>
          <w:tcPr>
            <w:tcW w:w="1540"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A46C52">
            <w:pPr>
              <w:autoSpaceDE w:val="0"/>
              <w:adjustRightInd w:val="0"/>
              <w:spacing w:after="78"/>
              <w:rPr>
                <w:sz w:val="15"/>
                <w:szCs w:val="15"/>
              </w:rPr>
            </w:pPr>
            <w:r w:rsidRPr="00A46C52">
              <w:rPr>
                <w:sz w:val="15"/>
                <w:szCs w:val="15"/>
              </w:rPr>
              <w:t>Grote projecten</w:t>
            </w:r>
          </w:p>
        </w:tc>
        <w:tc>
          <w:tcPr>
            <w:tcW w:w="5374"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A46C52">
            <w:pPr>
              <w:autoSpaceDE w:val="0"/>
              <w:adjustRightInd w:val="0"/>
              <w:spacing w:after="78"/>
              <w:rPr>
                <w:sz w:val="15"/>
                <w:szCs w:val="15"/>
              </w:rPr>
            </w:pPr>
            <w:r>
              <w:rPr>
                <w:sz w:val="15"/>
                <w:szCs w:val="15"/>
              </w:rPr>
              <w:t>Langdurige en complexe projecten kunnen door de Kamer worden aangewezen als groot project. De commissie wordt dan intensiever geïnformeerd over de gang van zaken rond zulke projecten. Voor 2020 zijn dat de volgende projecten:</w:t>
            </w:r>
            <w:r>
              <w:rPr>
                <w:sz w:val="15"/>
                <w:szCs w:val="15"/>
              </w:rPr>
              <w:br/>
              <w:t xml:space="preserve">- </w:t>
            </w:r>
            <w:hyperlink w:history="1" r:id="rId5">
              <w:r w:rsidRPr="00A46C52">
                <w:rPr>
                  <w:sz w:val="15"/>
                  <w:szCs w:val="15"/>
                </w:rPr>
                <w:t>Hoogwaterbeschermingsprogramma 2 (HWBP 2)</w:t>
              </w:r>
            </w:hyperlink>
            <w:r>
              <w:rPr>
                <w:sz w:val="15"/>
                <w:szCs w:val="15"/>
              </w:rPr>
              <w:br/>
              <w:t xml:space="preserve">- </w:t>
            </w:r>
            <w:hyperlink w:history="1" r:id="rId6">
              <w:r w:rsidRPr="00A46C52">
                <w:rPr>
                  <w:sz w:val="15"/>
                  <w:szCs w:val="15"/>
                </w:rPr>
                <w:t>European Rail Traffic Management System (ERTMS)</w:t>
              </w:r>
            </w:hyperlink>
            <w:r>
              <w:rPr>
                <w:sz w:val="15"/>
                <w:szCs w:val="15"/>
              </w:rPr>
              <w:t xml:space="preserve"> (rapporteur </w:t>
            </w:r>
            <w:r>
              <w:rPr>
                <w:sz w:val="15"/>
                <w:szCs w:val="15"/>
              </w:rPr>
              <w:t>Van Aalst</w:t>
            </w:r>
            <w:r>
              <w:rPr>
                <w:sz w:val="15"/>
                <w:szCs w:val="15"/>
              </w:rPr>
              <w:t xml:space="preserve">, </w:t>
            </w:r>
            <w:r>
              <w:rPr>
                <w:sz w:val="15"/>
                <w:szCs w:val="15"/>
              </w:rPr>
              <w:t>P</w:t>
            </w:r>
            <w:r>
              <w:rPr>
                <w:sz w:val="15"/>
                <w:szCs w:val="15"/>
              </w:rPr>
              <w:t>VV)</w:t>
            </w:r>
            <w:r>
              <w:rPr>
                <w:sz w:val="15"/>
                <w:szCs w:val="15"/>
              </w:rPr>
              <w:br/>
              <w:t xml:space="preserve">- </w:t>
            </w:r>
            <w:hyperlink w:history="1" r:id="rId7">
              <w:r w:rsidRPr="00A46C52">
                <w:rPr>
                  <w:sz w:val="15"/>
                  <w:szCs w:val="15"/>
                </w:rPr>
                <w:t>Hogesnelheidslijn-Zuid (HSL-Zuid)</w:t>
              </w:r>
            </w:hyperlink>
            <w:r>
              <w:rPr>
                <w:sz w:val="15"/>
                <w:szCs w:val="15"/>
              </w:rPr>
              <w:t xml:space="preserve"> (dit project wordt in 2020 door de commissie afgerond op basis van een eindevaluatie vanuit het ministerie)</w:t>
            </w:r>
            <w:r>
              <w:rPr>
                <w:sz w:val="15"/>
                <w:szCs w:val="15"/>
              </w:rPr>
              <w:br/>
              <w:t xml:space="preserve">- </w:t>
            </w:r>
            <w:hyperlink w:history="1" r:id="rId8">
              <w:r w:rsidRPr="00A46C52">
                <w:rPr>
                  <w:sz w:val="15"/>
                  <w:szCs w:val="15"/>
                </w:rPr>
                <w:t>Programma Hoogfrequent Spoorvervoer (PHS)</w:t>
              </w:r>
            </w:hyperlink>
            <w:r>
              <w:rPr>
                <w:sz w:val="15"/>
                <w:szCs w:val="15"/>
              </w:rPr>
              <w:t> (rapporteur Erik Ziengs, VVD)</w:t>
            </w:r>
            <w:r>
              <w:rPr>
                <w:sz w:val="15"/>
                <w:szCs w:val="15"/>
              </w:rPr>
              <w:br/>
              <w:t xml:space="preserve">- </w:t>
            </w:r>
            <w:hyperlink w:history="1" r:id="rId9">
              <w:r w:rsidRPr="00A46C52">
                <w:rPr>
                  <w:sz w:val="15"/>
                  <w:szCs w:val="15"/>
                </w:rPr>
                <w:t>Project Mainport Rotterdam</w:t>
              </w:r>
            </w:hyperlink>
            <w:r>
              <w:rPr>
                <w:sz w:val="15"/>
                <w:szCs w:val="15"/>
              </w:rPr>
              <w:t xml:space="preserve"> (dit project wordt in 2020 door de commissie afgerond op basis van een eindevaluatie vanuit het ministerie)</w:t>
            </w:r>
          </w:p>
        </w:tc>
        <w:tc>
          <w:tcPr>
            <w:tcW w:w="2339"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A46C52">
            <w:pPr>
              <w:autoSpaceDE w:val="0"/>
              <w:adjustRightInd w:val="0"/>
              <w:spacing w:after="78"/>
              <w:rPr>
                <w:sz w:val="15"/>
                <w:szCs w:val="15"/>
              </w:rPr>
            </w:pPr>
            <w:r w:rsidRPr="00A46C52">
              <w:rPr>
                <w:sz w:val="15"/>
                <w:szCs w:val="15"/>
              </w:rPr>
              <w:t>Van Aalst (ERTMS)</w:t>
            </w:r>
          </w:p>
          <w:p w:rsidRPr="00A46C52" w:rsidR="00A46C52" w:rsidP="00A46C52" w:rsidRDefault="00A46C52">
            <w:pPr>
              <w:autoSpaceDE w:val="0"/>
              <w:adjustRightInd w:val="0"/>
              <w:spacing w:after="78"/>
              <w:rPr>
                <w:sz w:val="15"/>
                <w:szCs w:val="15"/>
              </w:rPr>
            </w:pPr>
            <w:r w:rsidRPr="00A46C52">
              <w:rPr>
                <w:sz w:val="15"/>
                <w:szCs w:val="15"/>
              </w:rPr>
              <w:t>Ziengs (PHS)</w:t>
            </w:r>
          </w:p>
        </w:tc>
      </w:tr>
      <w:tr w:rsidRPr="00A46C52" w:rsidR="00936C76" w:rsidTr="00A46C52">
        <w:trPr>
          <w:trHeight w:val="1380"/>
        </w:trPr>
        <w:tc>
          <w:tcPr>
            <w:tcW w:w="523"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936C76">
            <w:pPr>
              <w:autoSpaceDE w:val="0"/>
              <w:adjustRightInd w:val="0"/>
              <w:spacing w:after="78"/>
              <w:rPr>
                <w:sz w:val="15"/>
                <w:szCs w:val="15"/>
              </w:rPr>
            </w:pPr>
          </w:p>
        </w:tc>
        <w:tc>
          <w:tcPr>
            <w:tcW w:w="1540"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A46C52" w:rsidRDefault="00A46C52">
            <w:pPr>
              <w:autoSpaceDE w:val="0"/>
              <w:adjustRightInd w:val="0"/>
              <w:spacing w:after="78"/>
              <w:rPr>
                <w:sz w:val="15"/>
                <w:szCs w:val="15"/>
              </w:rPr>
            </w:pPr>
            <w:r w:rsidRPr="00A46C52">
              <w:rPr>
                <w:sz w:val="15"/>
                <w:szCs w:val="15"/>
              </w:rPr>
              <w:t>Europa</w:t>
            </w:r>
          </w:p>
        </w:tc>
        <w:tc>
          <w:tcPr>
            <w:tcW w:w="5374" w:type="dxa"/>
            <w:tcBorders>
              <w:top w:val="single" w:color="auto" w:sz="4" w:space="0"/>
              <w:left w:val="single" w:color="auto" w:sz="4" w:space="0"/>
              <w:bottom w:val="single" w:color="auto" w:sz="4" w:space="0"/>
              <w:right w:val="single" w:color="auto" w:sz="4" w:space="0"/>
            </w:tcBorders>
            <w:shd w:val="clear" w:color="auto" w:fill="auto"/>
          </w:tcPr>
          <w:p w:rsidRPr="00A46C52" w:rsidR="00A46C52" w:rsidP="00A46C52" w:rsidRDefault="00A46C52">
            <w:pPr>
              <w:autoSpaceDE w:val="0"/>
              <w:adjustRightInd w:val="0"/>
              <w:spacing w:after="78"/>
              <w:rPr>
                <w:sz w:val="15"/>
                <w:szCs w:val="15"/>
              </w:rPr>
            </w:pPr>
            <w:r w:rsidRPr="00A46C52">
              <w:rPr>
                <w:sz w:val="15"/>
                <w:szCs w:val="15"/>
              </w:rPr>
              <w:t>Veel onderwerpen op het vlak van Infrastructuur en Waterstaat zijn een uitwerking van, of hebben een relatie met Europese regels. De commissie heeft voor 2020 de hieronder staande onderwerpen als prioriteit aangemerkt. Alle onderwerpen maken deel uit van de Europese Green Deal.</w:t>
            </w:r>
          </w:p>
          <w:p w:rsidRPr="00A46C52" w:rsidR="00A46C52" w:rsidP="00A46C52" w:rsidRDefault="00A46C52">
            <w:pPr>
              <w:autoSpaceDE w:val="0"/>
              <w:adjustRightInd w:val="0"/>
              <w:spacing w:after="78"/>
              <w:rPr>
                <w:sz w:val="15"/>
                <w:szCs w:val="15"/>
              </w:rPr>
            </w:pPr>
            <w:r w:rsidRPr="00A46C52">
              <w:rPr>
                <w:sz w:val="15"/>
                <w:szCs w:val="15"/>
              </w:rPr>
              <w:t>Strategie voor duurzame en slimme mobiliteit (niet-wetgevend, verschijnt vierde kwartaal 2020)</w:t>
            </w:r>
          </w:p>
          <w:p w:rsidRPr="00A46C52" w:rsidR="00A46C52" w:rsidP="00A46C52" w:rsidRDefault="00A46C52">
            <w:pPr>
              <w:autoSpaceDE w:val="0"/>
              <w:adjustRightInd w:val="0"/>
              <w:spacing w:after="78"/>
              <w:rPr>
                <w:sz w:val="15"/>
                <w:szCs w:val="15"/>
              </w:rPr>
            </w:pPr>
            <w:proofErr w:type="spellStart"/>
            <w:r w:rsidRPr="00A46C52">
              <w:rPr>
                <w:sz w:val="15"/>
                <w:szCs w:val="15"/>
              </w:rPr>
              <w:t>FuelEU</w:t>
            </w:r>
            <w:proofErr w:type="spellEnd"/>
            <w:r w:rsidRPr="00A46C52">
              <w:rPr>
                <w:sz w:val="15"/>
                <w:szCs w:val="15"/>
              </w:rPr>
              <w:t xml:space="preserve"> </w:t>
            </w:r>
            <w:proofErr w:type="spellStart"/>
            <w:r w:rsidRPr="00A46C52">
              <w:rPr>
                <w:sz w:val="15"/>
                <w:szCs w:val="15"/>
              </w:rPr>
              <w:t>Maritime</w:t>
            </w:r>
            <w:proofErr w:type="spellEnd"/>
            <w:r w:rsidRPr="00A46C52">
              <w:rPr>
                <w:sz w:val="15"/>
                <w:szCs w:val="15"/>
              </w:rPr>
              <w:t>: Groene Europese Maritieme Ruimte (wetgevend, verschijnt vierde kwartaal 2020)</w:t>
            </w:r>
          </w:p>
          <w:p w:rsidRPr="00A46C52" w:rsidR="00A46C52" w:rsidP="00A46C52" w:rsidRDefault="00A46C52">
            <w:pPr>
              <w:autoSpaceDE w:val="0"/>
              <w:adjustRightInd w:val="0"/>
              <w:spacing w:after="78"/>
              <w:rPr>
                <w:sz w:val="15"/>
                <w:szCs w:val="15"/>
              </w:rPr>
            </w:pPr>
            <w:r w:rsidRPr="00A46C52">
              <w:rPr>
                <w:sz w:val="15"/>
                <w:szCs w:val="15"/>
              </w:rPr>
              <w:t>Nieuw Actieplan Circulaire Economie (niet-wetgevend, verschijnt 10 maart 2020)</w:t>
            </w:r>
          </w:p>
          <w:p w:rsidRPr="00A46C52" w:rsidR="00936C76" w:rsidP="00A46C52" w:rsidRDefault="00A46C52">
            <w:pPr>
              <w:autoSpaceDE w:val="0"/>
              <w:adjustRightInd w:val="0"/>
              <w:spacing w:after="78"/>
              <w:rPr>
                <w:sz w:val="15"/>
                <w:szCs w:val="15"/>
              </w:rPr>
            </w:pPr>
            <w:r w:rsidRPr="00A46C52">
              <w:rPr>
                <w:sz w:val="15"/>
                <w:szCs w:val="15"/>
              </w:rPr>
              <w:t>Strategie voor duurzame chemische stoffen (niet-wetgevend, verschijnt derde kwartaal 2020)</w:t>
            </w:r>
          </w:p>
        </w:tc>
        <w:tc>
          <w:tcPr>
            <w:tcW w:w="2339" w:type="dxa"/>
            <w:tcBorders>
              <w:top w:val="single" w:color="auto" w:sz="4" w:space="0"/>
              <w:left w:val="single" w:color="auto" w:sz="4" w:space="0"/>
              <w:bottom w:val="single" w:color="auto" w:sz="4" w:space="0"/>
              <w:right w:val="single" w:color="auto" w:sz="4" w:space="0"/>
            </w:tcBorders>
            <w:shd w:val="clear" w:color="auto" w:fill="auto"/>
          </w:tcPr>
          <w:p w:rsidRPr="00A46C52" w:rsidR="00936C76" w:rsidP="00BA167A" w:rsidRDefault="00936C76">
            <w:pPr>
              <w:autoSpaceDE w:val="0"/>
              <w:adjustRightInd w:val="0"/>
              <w:spacing w:after="78"/>
              <w:rPr>
                <w:sz w:val="15"/>
                <w:szCs w:val="15"/>
              </w:rPr>
            </w:pPr>
          </w:p>
        </w:tc>
      </w:tr>
    </w:tbl>
    <w:p w:rsidRPr="00A46C52" w:rsidR="005A7ED3" w:rsidP="00A46C52" w:rsidRDefault="005A7ED3">
      <w:pPr>
        <w:autoSpaceDE w:val="0"/>
        <w:adjustRightInd w:val="0"/>
        <w:spacing w:after="78"/>
        <w:rPr>
          <w:sz w:val="15"/>
          <w:szCs w:val="15"/>
          <w:lang w:eastAsia="nl-NL"/>
        </w:rPr>
      </w:pPr>
    </w:p>
    <w:sectPr w:rsidRPr="00A46C52" w:rsidR="005A7ED3" w:rsidSect="00A46C5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015FB"/>
    <w:multiLevelType w:val="multilevel"/>
    <w:tmpl w:val="E4483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76"/>
    <w:rsid w:val="005A7ED3"/>
    <w:rsid w:val="00936C76"/>
    <w:rsid w:val="00A46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6509"/>
  <w15:chartTrackingRefBased/>
  <w15:docId w15:val="{119381A7-9B1B-4966-9A42-BD6DE6CB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C76"/>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36C76"/>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Standaardalinea-lettertype"/>
    <w:uiPriority w:val="99"/>
    <w:semiHidden/>
    <w:unhideWhenUsed/>
    <w:rsid w:val="00A46C52"/>
    <w:rPr>
      <w:color w:val="0000FF"/>
      <w:u w:val="single"/>
    </w:rPr>
  </w:style>
  <w:style w:type="paragraph" w:styleId="Normaalweb">
    <w:name w:val="Normal (Web)"/>
    <w:basedOn w:val="Standaard"/>
    <w:uiPriority w:val="99"/>
    <w:semiHidden/>
    <w:unhideWhenUsed/>
    <w:rsid w:val="00A46C52"/>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836293">
      <w:bodyDiv w:val="1"/>
      <w:marLeft w:val="0"/>
      <w:marRight w:val="0"/>
      <w:marTop w:val="0"/>
      <w:marBottom w:val="0"/>
      <w:divBdr>
        <w:top w:val="none" w:sz="0" w:space="0" w:color="auto"/>
        <w:left w:val="none" w:sz="0" w:space="0" w:color="auto"/>
        <w:bottom w:val="none" w:sz="0" w:space="0" w:color="auto"/>
        <w:right w:val="none" w:sz="0" w:space="0" w:color="auto"/>
      </w:divBdr>
      <w:divsChild>
        <w:div w:id="1793130525">
          <w:marLeft w:val="0"/>
          <w:marRight w:val="0"/>
          <w:marTop w:val="0"/>
          <w:marBottom w:val="0"/>
          <w:divBdr>
            <w:top w:val="none" w:sz="0" w:space="0" w:color="auto"/>
            <w:left w:val="none" w:sz="0" w:space="0" w:color="auto"/>
            <w:bottom w:val="none" w:sz="0" w:space="0" w:color="auto"/>
            <w:right w:val="none" w:sz="0" w:space="0" w:color="auto"/>
          </w:divBdr>
          <w:divsChild>
            <w:div w:id="1090125917">
              <w:marLeft w:val="0"/>
              <w:marRight w:val="0"/>
              <w:marTop w:val="0"/>
              <w:marBottom w:val="0"/>
              <w:divBdr>
                <w:top w:val="none" w:sz="0" w:space="0" w:color="auto"/>
                <w:left w:val="none" w:sz="0" w:space="0" w:color="auto"/>
                <w:bottom w:val="none" w:sz="0" w:space="0" w:color="auto"/>
                <w:right w:val="none" w:sz="0" w:space="0" w:color="auto"/>
              </w:divBdr>
              <w:divsChild>
                <w:div w:id="1969047255">
                  <w:marLeft w:val="0"/>
                  <w:marRight w:val="0"/>
                  <w:marTop w:val="0"/>
                  <w:marBottom w:val="0"/>
                  <w:divBdr>
                    <w:top w:val="none" w:sz="0" w:space="0" w:color="auto"/>
                    <w:left w:val="none" w:sz="0" w:space="0" w:color="auto"/>
                    <w:bottom w:val="none" w:sz="0" w:space="0" w:color="auto"/>
                    <w:right w:val="none" w:sz="0" w:space="0" w:color="auto"/>
                  </w:divBdr>
                  <w:divsChild>
                    <w:div w:id="1346636850">
                      <w:marLeft w:val="0"/>
                      <w:marRight w:val="0"/>
                      <w:marTop w:val="0"/>
                      <w:marBottom w:val="0"/>
                      <w:divBdr>
                        <w:top w:val="none" w:sz="0" w:space="0" w:color="auto"/>
                        <w:left w:val="none" w:sz="0" w:space="0" w:color="auto"/>
                        <w:bottom w:val="none" w:sz="0" w:space="0" w:color="auto"/>
                        <w:right w:val="none" w:sz="0" w:space="0" w:color="auto"/>
                      </w:divBdr>
                      <w:divsChild>
                        <w:div w:id="418983845">
                          <w:marLeft w:val="0"/>
                          <w:marRight w:val="0"/>
                          <w:marTop w:val="0"/>
                          <w:marBottom w:val="0"/>
                          <w:divBdr>
                            <w:top w:val="none" w:sz="0" w:space="0" w:color="auto"/>
                            <w:left w:val="none" w:sz="0" w:space="0" w:color="auto"/>
                            <w:bottom w:val="none" w:sz="0" w:space="0" w:color="auto"/>
                            <w:right w:val="none" w:sz="0" w:space="0" w:color="auto"/>
                          </w:divBdr>
                          <w:divsChild>
                            <w:div w:id="1126201063">
                              <w:marLeft w:val="0"/>
                              <w:marRight w:val="0"/>
                              <w:marTop w:val="0"/>
                              <w:marBottom w:val="0"/>
                              <w:divBdr>
                                <w:top w:val="none" w:sz="0" w:space="0" w:color="auto"/>
                                <w:left w:val="none" w:sz="0" w:space="0" w:color="auto"/>
                                <w:bottom w:val="none" w:sz="0" w:space="0" w:color="auto"/>
                                <w:right w:val="none" w:sz="0" w:space="0" w:color="auto"/>
                              </w:divBdr>
                              <w:divsChild>
                                <w:div w:id="109513507">
                                  <w:marLeft w:val="0"/>
                                  <w:marRight w:val="0"/>
                                  <w:marTop w:val="0"/>
                                  <w:marBottom w:val="0"/>
                                  <w:divBdr>
                                    <w:top w:val="none" w:sz="0" w:space="0" w:color="auto"/>
                                    <w:left w:val="none" w:sz="0" w:space="0" w:color="auto"/>
                                    <w:bottom w:val="none" w:sz="0" w:space="0" w:color="auto"/>
                                    <w:right w:val="none" w:sz="0" w:space="0" w:color="auto"/>
                                  </w:divBdr>
                                  <w:divsChild>
                                    <w:div w:id="463080889">
                                      <w:marLeft w:val="0"/>
                                      <w:marRight w:val="0"/>
                                      <w:marTop w:val="0"/>
                                      <w:marBottom w:val="0"/>
                                      <w:divBdr>
                                        <w:top w:val="none" w:sz="0" w:space="0" w:color="auto"/>
                                        <w:left w:val="none" w:sz="0" w:space="0" w:color="auto"/>
                                        <w:bottom w:val="none" w:sz="0" w:space="0" w:color="auto"/>
                                        <w:right w:val="none" w:sz="0" w:space="0" w:color="auto"/>
                                      </w:divBdr>
                                      <w:divsChild>
                                        <w:div w:id="211956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272146">
      <w:bodyDiv w:val="1"/>
      <w:marLeft w:val="0"/>
      <w:marRight w:val="0"/>
      <w:marTop w:val="0"/>
      <w:marBottom w:val="0"/>
      <w:divBdr>
        <w:top w:val="none" w:sz="0" w:space="0" w:color="auto"/>
        <w:left w:val="none" w:sz="0" w:space="0" w:color="auto"/>
        <w:bottom w:val="none" w:sz="0" w:space="0" w:color="auto"/>
        <w:right w:val="none" w:sz="0" w:space="0" w:color="auto"/>
      </w:divBdr>
      <w:divsChild>
        <w:div w:id="1900825461">
          <w:marLeft w:val="0"/>
          <w:marRight w:val="0"/>
          <w:marTop w:val="0"/>
          <w:marBottom w:val="0"/>
          <w:divBdr>
            <w:top w:val="none" w:sz="0" w:space="0" w:color="auto"/>
            <w:left w:val="none" w:sz="0" w:space="0" w:color="auto"/>
            <w:bottom w:val="none" w:sz="0" w:space="0" w:color="auto"/>
            <w:right w:val="none" w:sz="0" w:space="0" w:color="auto"/>
          </w:divBdr>
          <w:divsChild>
            <w:div w:id="749691870">
              <w:marLeft w:val="0"/>
              <w:marRight w:val="0"/>
              <w:marTop w:val="0"/>
              <w:marBottom w:val="0"/>
              <w:divBdr>
                <w:top w:val="none" w:sz="0" w:space="0" w:color="auto"/>
                <w:left w:val="none" w:sz="0" w:space="0" w:color="auto"/>
                <w:bottom w:val="none" w:sz="0" w:space="0" w:color="auto"/>
                <w:right w:val="none" w:sz="0" w:space="0" w:color="auto"/>
              </w:divBdr>
              <w:divsChild>
                <w:div w:id="746465217">
                  <w:marLeft w:val="0"/>
                  <w:marRight w:val="0"/>
                  <w:marTop w:val="0"/>
                  <w:marBottom w:val="0"/>
                  <w:divBdr>
                    <w:top w:val="none" w:sz="0" w:space="0" w:color="auto"/>
                    <w:left w:val="none" w:sz="0" w:space="0" w:color="auto"/>
                    <w:bottom w:val="none" w:sz="0" w:space="0" w:color="auto"/>
                    <w:right w:val="none" w:sz="0" w:space="0" w:color="auto"/>
                  </w:divBdr>
                  <w:divsChild>
                    <w:div w:id="904293975">
                      <w:marLeft w:val="0"/>
                      <w:marRight w:val="0"/>
                      <w:marTop w:val="0"/>
                      <w:marBottom w:val="0"/>
                      <w:divBdr>
                        <w:top w:val="none" w:sz="0" w:space="0" w:color="auto"/>
                        <w:left w:val="none" w:sz="0" w:space="0" w:color="auto"/>
                        <w:bottom w:val="none" w:sz="0" w:space="0" w:color="auto"/>
                        <w:right w:val="none" w:sz="0" w:space="0" w:color="auto"/>
                      </w:divBdr>
                      <w:divsChild>
                        <w:div w:id="1009868554">
                          <w:marLeft w:val="0"/>
                          <w:marRight w:val="0"/>
                          <w:marTop w:val="0"/>
                          <w:marBottom w:val="0"/>
                          <w:divBdr>
                            <w:top w:val="none" w:sz="0" w:space="0" w:color="auto"/>
                            <w:left w:val="none" w:sz="0" w:space="0" w:color="auto"/>
                            <w:bottom w:val="none" w:sz="0" w:space="0" w:color="auto"/>
                            <w:right w:val="none" w:sz="0" w:space="0" w:color="auto"/>
                          </w:divBdr>
                          <w:divsChild>
                            <w:div w:id="1099251354">
                              <w:marLeft w:val="0"/>
                              <w:marRight w:val="0"/>
                              <w:marTop w:val="0"/>
                              <w:marBottom w:val="0"/>
                              <w:divBdr>
                                <w:top w:val="none" w:sz="0" w:space="0" w:color="auto"/>
                                <w:left w:val="none" w:sz="0" w:space="0" w:color="auto"/>
                                <w:bottom w:val="none" w:sz="0" w:space="0" w:color="auto"/>
                                <w:right w:val="none" w:sz="0" w:space="0" w:color="auto"/>
                              </w:divBdr>
                              <w:divsChild>
                                <w:div w:id="1699162520">
                                  <w:marLeft w:val="0"/>
                                  <w:marRight w:val="0"/>
                                  <w:marTop w:val="0"/>
                                  <w:marBottom w:val="0"/>
                                  <w:divBdr>
                                    <w:top w:val="none" w:sz="0" w:space="0" w:color="auto"/>
                                    <w:left w:val="none" w:sz="0" w:space="0" w:color="auto"/>
                                    <w:bottom w:val="none" w:sz="0" w:space="0" w:color="auto"/>
                                    <w:right w:val="none" w:sz="0" w:space="0" w:color="auto"/>
                                  </w:divBdr>
                                  <w:divsChild>
                                    <w:div w:id="1476213994">
                                      <w:marLeft w:val="0"/>
                                      <w:marRight w:val="0"/>
                                      <w:marTop w:val="0"/>
                                      <w:marBottom w:val="0"/>
                                      <w:divBdr>
                                        <w:top w:val="none" w:sz="0" w:space="0" w:color="auto"/>
                                        <w:left w:val="none" w:sz="0" w:space="0" w:color="auto"/>
                                        <w:bottom w:val="none" w:sz="0" w:space="0" w:color="auto"/>
                                        <w:right w:val="none" w:sz="0" w:space="0" w:color="auto"/>
                                      </w:divBdr>
                                      <w:divsChild>
                                        <w:div w:id="113201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orail.nl/programma-hoogfrequent-spoorvervoer" TargetMode="External" Id="rId8" /><Relationship Type="http://schemas.openxmlformats.org/officeDocument/2006/relationships/settings" Target="settings.xml" Id="rId3" /><Relationship Type="http://schemas.openxmlformats.org/officeDocument/2006/relationships/hyperlink" Target="https://www.rijksoverheid.nl/ministeries/ministerie-van-infrastructuur-en-waterstaat/documenten/rapporten/2020/01/30/hsl-zuid-eindevaluatie-grootprojectstatus-hsl-zuid"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ertms-nl.nl/home/default.aspx" TargetMode="External" Id="rId6" /><Relationship Type="http://schemas.openxmlformats.org/officeDocument/2006/relationships/theme" Target="theme/theme1.xml" Id="rId11" /><Relationship Type="http://schemas.openxmlformats.org/officeDocument/2006/relationships/hyperlink" Target="https://www.hoogwaterbeschermingsprogramma.nl/programma/default.aspx"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www.rijksoverheid.nl/onderwerpen/zeevaart-en-zeehavens/mainportontwikkeling-rotterdam"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983</ap:Words>
  <ap:Characters>5407</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2020-03-05T13:59:00.0000000Z</dcterms:created>
  <dcterms:modified xsi:type="dcterms:W3CDTF">2020-03-05T14:17:00.0000000Z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0x010100BDEAA4745310EE44A3A319513F903171</vt:lpwstr>
  </property>
</Properties>
</file>