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58B1" w:rsidR="007D1564" w:rsidP="002125BA" w:rsidRDefault="007D1564" w14:paraId="033AD596" w14:textId="0C3461BC">
      <w:pPr>
        <w:pStyle w:val="Geenafstand"/>
        <w:jc w:val="center"/>
        <w:rPr>
          <w:rFonts w:ascii="Georgia" w:hAnsi="Georgia"/>
          <w:b/>
          <w:bCs/>
          <w:lang w:val="nl-NL"/>
        </w:rPr>
      </w:pPr>
      <w:bookmarkStart w:name="_GoBack" w:id="0"/>
      <w:bookmarkEnd w:id="0"/>
      <w:r w:rsidRPr="000158B1">
        <w:rPr>
          <w:rFonts w:ascii="Georgia" w:hAnsi="Georgia"/>
          <w:b/>
          <w:bCs/>
          <w:lang w:val="nl-NL"/>
        </w:rPr>
        <w:t>Kunstmatige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intelligentie: position</w:t>
      </w:r>
      <w:r w:rsidR="002125BA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paper</w:t>
      </w:r>
      <w:r w:rsidRPr="000158B1" w:rsidR="00026378">
        <w:rPr>
          <w:rFonts w:ascii="Georgia" w:hAnsi="Georgia"/>
          <w:b/>
          <w:bCs/>
          <w:lang w:val="nl-NL"/>
        </w:rPr>
        <w:t xml:space="preserve"> </w:t>
      </w:r>
      <w:r w:rsidR="002125BA">
        <w:rPr>
          <w:rFonts w:ascii="Georgia" w:hAnsi="Georgia"/>
          <w:b/>
          <w:bCs/>
          <w:lang w:val="nl-NL"/>
        </w:rPr>
        <w:br/>
      </w:r>
      <w:r w:rsidRPr="000158B1">
        <w:rPr>
          <w:rFonts w:ascii="Georgia" w:hAnsi="Georgia"/>
          <w:b/>
          <w:bCs/>
          <w:lang w:val="nl-NL"/>
        </w:rPr>
        <w:t>met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speciale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aandacht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voor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het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recht</w:t>
      </w:r>
    </w:p>
    <w:p w:rsidRPr="000158B1" w:rsidR="00026378" w:rsidP="00F95F92" w:rsidRDefault="00026378" w14:paraId="07F0635F" w14:textId="77777777">
      <w:pPr>
        <w:pStyle w:val="Geenafstand"/>
        <w:jc w:val="center"/>
        <w:rPr>
          <w:rFonts w:ascii="Georgia" w:hAnsi="Georgia"/>
          <w:lang w:val="nl-NL"/>
        </w:rPr>
      </w:pPr>
    </w:p>
    <w:p w:rsidRPr="000158B1" w:rsidR="007D1564" w:rsidP="00F95F92" w:rsidRDefault="007D1564" w14:paraId="157827E4" w14:textId="31B38284">
      <w:pPr>
        <w:pStyle w:val="Geenafstand"/>
        <w:jc w:val="center"/>
        <w:rPr>
          <w:rFonts w:ascii="Georgia" w:hAnsi="Georgia"/>
          <w:i/>
          <w:iCs/>
          <w:lang w:val="nl-NL"/>
        </w:rPr>
      </w:pPr>
      <w:r w:rsidRPr="000158B1">
        <w:rPr>
          <w:rFonts w:ascii="Georgia" w:hAnsi="Georgia"/>
          <w:i/>
          <w:iCs/>
          <w:lang w:val="nl-NL"/>
        </w:rPr>
        <w:t>Bart Verheij</w:t>
      </w:r>
    </w:p>
    <w:p w:rsidRPr="000158B1" w:rsidR="007D1564" w:rsidP="00F95F92" w:rsidRDefault="007D1564" w14:paraId="2C20DAA0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036FFEED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Kader: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KNAW samenwerkingsproject Parlement en Wetenschap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96EF7" w:rsidP="00F95F92" w:rsidRDefault="00796EF7" w14:paraId="4A843C64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7DCAE981" w14:textId="3CE81622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Aanleiding: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verwachte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discussie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Vaste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Tweede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Kamercommissie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Economische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Zaken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Klimaat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Kabinet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over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AI-strategie,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voortbouwend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op</w:t>
      </w:r>
      <w:r w:rsidRPr="000158B1" w:rsidR="00026378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visiedocument Europese Commissie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96EF7" w:rsidP="00F95F92" w:rsidRDefault="00796EF7" w14:paraId="7A93728E" w14:textId="77777777">
      <w:pPr>
        <w:pStyle w:val="Geenafstand"/>
        <w:jc w:val="both"/>
        <w:rPr>
          <w:rFonts w:ascii="Georgia" w:hAnsi="Georgia"/>
          <w:b/>
          <w:bCs/>
          <w:lang w:val="nl-NL"/>
        </w:rPr>
      </w:pPr>
    </w:p>
    <w:p w:rsidRPr="000158B1" w:rsidR="007D1564" w:rsidP="00F95F92" w:rsidRDefault="007D1564" w14:paraId="292FED9D" w14:textId="129BD594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A.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Wat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is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AI?</w:t>
      </w:r>
      <w:r w:rsidRPr="000158B1" w:rsidR="00796EF7">
        <w:rPr>
          <w:rFonts w:ascii="Georgia" w:hAnsi="Georgia"/>
          <w:b/>
          <w:bCs/>
          <w:lang w:val="nl-NL"/>
        </w:rPr>
        <w:t xml:space="preserve"> </w:t>
      </w:r>
    </w:p>
    <w:p w:rsidRPr="000158B1" w:rsidR="00796EF7" w:rsidP="00F95F92" w:rsidRDefault="00796EF7" w14:paraId="059EB517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7D5ED91F" w14:textId="69DB4D15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AI (artiﬁcial intelligence, kunstmatige intelligentie) is intelligent gedrag van een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mensen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ontworpen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systeem,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zoals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schakende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computer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of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zelfrijdende auto.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Successen in de AI zijn bereikt door het nabootsen van natuurlijke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intelligentie, en juist ook door ervan af te wijken.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Op veel deelproblemen zijn de resultaten zeer goed: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computers kunnen beter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schaken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go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spelen</w:t>
      </w:r>
      <w:r w:rsidR="00EF407D">
        <w:rPr>
          <w:rFonts w:ascii="Georgia" w:hAnsi="Georgia"/>
          <w:lang w:val="nl-NL"/>
        </w:rPr>
        <w:t xml:space="preserve"> dan mensen</w:t>
      </w:r>
      <w:r w:rsidRPr="000158B1">
        <w:rPr>
          <w:rFonts w:ascii="Georgia" w:hAnsi="Georgia"/>
          <w:lang w:val="nl-NL"/>
        </w:rPr>
        <w:t>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zijn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goed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ontcijferen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handschrift,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kunnen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snel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kattenplaatjes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vinden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vrijwel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eindeloze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hoeveelheid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foto’s.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 heeft nog niet het niveau bereikt van onze menselijke, algemene intelligentie.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lezen en begrijpen van een roman, of het zelfstandig verwerken van studiestof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 met de huidige stand van technologie niet aan de orde.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Ook veilig rijden of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ﬁetsen in een drukke stad is nu niet mogelijk.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Enkele belangrijke deelonderwerpen in de AI: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4C678F90" w14:textId="1ED82264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3495DE71" w14:textId="77777777">
      <w:pPr>
        <w:pStyle w:val="Geenafstand"/>
        <w:numPr>
          <w:ilvl w:val="0"/>
          <w:numId w:val="1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Knowledge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representation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and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reasoning</w:t>
      </w:r>
      <w:r w:rsidRPr="000158B1">
        <w:rPr>
          <w:rFonts w:ascii="Georgia" w:hAnsi="Georgia"/>
          <w:lang w:val="nl-NL"/>
        </w:rPr>
        <w:t xml:space="preserve"> AI gebaseerd op symbolische methoden, vaak met als grondslag logica.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Intelligent gedrag ontstaat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bijvoorbeeld door de automatische toepassing van door mensen verzamelde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expertkennis in de vorm van logische regels (ALS Jan een dief is EN dieven zijn strafbaar DAN is Jan strafbaar).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Grote administratieve processen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(zoals in de ﬁnanci</w:t>
      </w:r>
      <w:r w:rsidR="00777A97">
        <w:rPr>
          <w:rFonts w:ascii="Georgia" w:hAnsi="Georgia"/>
          <w:lang w:val="nl-NL"/>
        </w:rPr>
        <w:t>ë</w:t>
      </w:r>
      <w:r w:rsidRPr="000158B1">
        <w:rPr>
          <w:rFonts w:ascii="Georgia" w:hAnsi="Georgia"/>
          <w:lang w:val="nl-NL"/>
        </w:rPr>
        <w:t>le wereld en bij de belastingdienst) maken gebruik 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kennissystemen.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0EECA4C2" w14:textId="2F4AA11E">
      <w:pPr>
        <w:pStyle w:val="Geenafstand"/>
        <w:numPr>
          <w:ilvl w:val="0"/>
          <w:numId w:val="1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Machine learning</w:t>
      </w:r>
      <w:r w:rsidRPr="000158B1">
        <w:rPr>
          <w:rFonts w:ascii="Georgia" w:hAnsi="Georgia"/>
          <w:lang w:val="nl-NL"/>
        </w:rPr>
        <w:t xml:space="preserve"> AI gebaseerd op automatische leerprocessen, vaak 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als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grondslag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statistiek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of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neurale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netwerken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(deep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learning).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gedrag ontstaat bijvoorbeeld door het optimaliseren van een neuraal netwerk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input-output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voorbeelden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(zoals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foto’s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labels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‘kat’, ‘huis’, etc.).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Toepassingssuccessen ontstonden door de opkomst 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internet, big data en forse onderzoeksinvesteringen vanuit de industrie.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538B5830" w14:textId="5D13D5BC">
      <w:pPr>
        <w:pStyle w:val="Geenafstand"/>
        <w:numPr>
          <w:ilvl w:val="0"/>
          <w:numId w:val="1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Natural language processing</w:t>
      </w:r>
      <w:r w:rsidRPr="000158B1">
        <w:rPr>
          <w:rFonts w:ascii="Georgia" w:hAnsi="Georgia"/>
          <w:lang w:val="nl-NL"/>
        </w:rPr>
        <w:t xml:space="preserve"> AI gericht op het analyseren van natuurlijke taal.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Intelligent gedrag ontstaat bijvoorbeeld door het herkennen 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statistische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patronen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grote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taaldatabanken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(op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‘de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Nederlandse’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volgt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vaak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‘Bank’).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aansprekend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voorbeeld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IBM’s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Watson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2011 meedeed aan de intelligentiequiz Jeopardy!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 won.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6E301C09" w14:textId="075E865B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74835988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Op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elk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deze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deelgebieden</w:t>
      </w:r>
      <w:r w:rsidR="00D93649">
        <w:rPr>
          <w:rStyle w:val="Voetnootmarkering"/>
          <w:rFonts w:ascii="Georgia" w:hAnsi="Georgia"/>
          <w:lang w:val="nl-NL"/>
        </w:rPr>
        <w:footnoteReference w:id="1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wetenschapsgebied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 uitstekende staat van dienst.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Dit kan voor een deel verklaard worden doordat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vanaf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jaren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negentig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zelfstandige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voltijds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universitaire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AI-opleidingen worden aangeboden.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865B85" w14:paraId="69A87F6F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1043BCDC" w14:textId="35A80FBD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We staan nog maar aan het begin van wat mogelijk zal zijn met AI. Steeds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meer kennis wordt machineleesbaar, steeds meer data komt beschikbaar, steeds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taal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automatisch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begrepen.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Geleidelijk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praktische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fundamentele hordes overwonnen en wordt op nieuwe manier</w:t>
      </w:r>
      <w:r w:rsidR="00777A97">
        <w:rPr>
          <w:rFonts w:ascii="Georgia" w:hAnsi="Georgia"/>
          <w:lang w:val="nl-NL"/>
        </w:rPr>
        <w:t>en</w:t>
      </w:r>
      <w:r w:rsidRPr="000158B1">
        <w:rPr>
          <w:rFonts w:ascii="Georgia" w:hAnsi="Georgia"/>
          <w:lang w:val="nl-NL"/>
        </w:rPr>
        <w:t xml:space="preserve"> waarde toegevoegd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samenleving.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zijn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nog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maar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begonnen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investeringen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mensuren die nodig zijn.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Want AI komt niet vanzelf: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is nog steeds zo dat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 successen bepaald worden door de tijd en aandacht die mensen erin steken.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865B85" w14:paraId="4C2CCB72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3BA77EC1" w14:textId="4BBC99D9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lastRenderedPageBreak/>
        <w:t>Tegelijk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moeten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beheersbaarheid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technologische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ontwikkelingen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blijven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doorgaan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naast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nieuwe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mogelijkheden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zullen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nieuwe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risico’s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(verlies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privacy,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autonome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wapens,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bias,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marktdominantie,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fake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evidence)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zich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blijven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realiseren.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Ook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beheersbaarheid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vraagt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voortdurende tijd en aandacht van mensen.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 een mensgerichte, ethische AI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kunnen en moeten verschillende disciplines samenwerken (alfa, beta, gamma).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865B85" w14:paraId="2BF8EEC4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31900C33" w14:textId="3BA1E999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manifest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(voetnoot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daarom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gepleit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onderwijs en onderzoek naar </w:t>
      </w:r>
      <w:r w:rsidRPr="00FF1685">
        <w:rPr>
          <w:rFonts w:ascii="Georgia" w:hAnsi="Georgia"/>
          <w:b/>
          <w:bCs/>
          <w:lang w:val="nl-NL"/>
        </w:rPr>
        <w:t>socially</w:t>
      </w:r>
      <w:r w:rsidRPr="00FF1685" w:rsidR="0062404C">
        <w:rPr>
          <w:rFonts w:ascii="Georgia" w:hAnsi="Georgia"/>
          <w:b/>
          <w:bCs/>
          <w:lang w:val="nl-NL"/>
        </w:rPr>
        <w:t xml:space="preserve"> </w:t>
      </w:r>
      <w:r w:rsidRPr="00FF1685">
        <w:rPr>
          <w:rFonts w:ascii="Georgia" w:hAnsi="Georgia"/>
          <w:b/>
          <w:bCs/>
          <w:lang w:val="nl-NL"/>
        </w:rPr>
        <w:t>aware,</w:t>
      </w:r>
      <w:r w:rsidRPr="00FF1685" w:rsidR="0062404C">
        <w:rPr>
          <w:rFonts w:ascii="Georgia" w:hAnsi="Georgia"/>
          <w:b/>
          <w:bCs/>
          <w:lang w:val="nl-NL"/>
        </w:rPr>
        <w:t xml:space="preserve"> </w:t>
      </w:r>
      <w:r w:rsidRPr="00FF1685">
        <w:rPr>
          <w:rFonts w:ascii="Georgia" w:hAnsi="Georgia"/>
          <w:b/>
          <w:bCs/>
          <w:lang w:val="nl-NL"/>
        </w:rPr>
        <w:t>explainable,</w:t>
      </w:r>
      <w:r w:rsidRPr="00FF1685" w:rsidR="0062404C">
        <w:rPr>
          <w:rFonts w:ascii="Georgia" w:hAnsi="Georgia"/>
          <w:b/>
          <w:bCs/>
          <w:lang w:val="nl-NL"/>
        </w:rPr>
        <w:t xml:space="preserve"> </w:t>
      </w:r>
      <w:r w:rsidRPr="00FF1685">
        <w:rPr>
          <w:rFonts w:ascii="Georgia" w:hAnsi="Georgia"/>
          <w:b/>
          <w:bCs/>
          <w:lang w:val="nl-NL"/>
        </w:rPr>
        <w:t>responsible</w:t>
      </w:r>
      <w:r w:rsidRPr="00FF1685" w:rsidR="0062404C">
        <w:rPr>
          <w:rFonts w:ascii="Georgia" w:hAnsi="Georgia"/>
          <w:b/>
          <w:bCs/>
          <w:lang w:val="nl-NL"/>
        </w:rPr>
        <w:t xml:space="preserve"> </w:t>
      </w:r>
      <w:r w:rsidRPr="00FF1685">
        <w:rPr>
          <w:rFonts w:ascii="Georgia" w:hAnsi="Georgia"/>
          <w:b/>
          <w:bCs/>
          <w:lang w:val="nl-NL"/>
        </w:rPr>
        <w:t>AI</w:t>
      </w:r>
      <w:r w:rsidRPr="000158B1">
        <w:rPr>
          <w:rFonts w:ascii="Georgia" w:hAnsi="Georgia"/>
          <w:lang w:val="nl-NL"/>
        </w:rPr>
        <w:t>.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Vanuit NWO wordt gewerkt aan een nationale AI onderzoeksagenda die hierop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voortbouwt (AIREA-NL).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30B7F688" w14:textId="75F8B893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355A1C36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B.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Verdieping: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Recht</w:t>
      </w:r>
      <w:r w:rsidRPr="000158B1" w:rsidR="00796EF7">
        <w:rPr>
          <w:rFonts w:ascii="Georgia" w:hAnsi="Georgia"/>
          <w:b/>
          <w:bCs/>
          <w:lang w:val="nl-NL"/>
        </w:rPr>
        <w:t xml:space="preserve"> </w:t>
      </w:r>
    </w:p>
    <w:p w:rsidRPr="000158B1" w:rsidR="007D1564" w:rsidP="00F95F92" w:rsidRDefault="007D1564" w14:paraId="266F87A1" w14:textId="16997897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5CF9186F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licht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zoektocht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naar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socially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aware,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explainable,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responsible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heeft het recht een speciale positie.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Immers in het vakgebied AI&amp;Law </w:t>
      </w:r>
      <w:r w:rsidR="00EC7868">
        <w:rPr>
          <w:rFonts w:ascii="Georgia" w:hAnsi="Georgia"/>
          <w:lang w:val="nl-NL"/>
        </w:rPr>
        <w:t>(</w:t>
      </w:r>
      <w:r w:rsidRPr="000158B1">
        <w:rPr>
          <w:rFonts w:ascii="Georgia" w:hAnsi="Georgia"/>
          <w:lang w:val="nl-NL"/>
        </w:rPr>
        <w:t>dat zich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bezighoudt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ontwikkeling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AI-technieken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juridische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toepassingen</w:t>
      </w:r>
      <w:r w:rsidR="00EC7868">
        <w:rPr>
          <w:rFonts w:ascii="Georgia" w:hAnsi="Georgia"/>
          <w:lang w:val="nl-NL"/>
        </w:rPr>
        <w:t>)</w:t>
      </w:r>
      <w:r w:rsidRPr="000158B1">
        <w:rPr>
          <w:rFonts w:ascii="Georgia" w:hAnsi="Georgia"/>
          <w:lang w:val="nl-NL"/>
        </w:rPr>
        <w:t xml:space="preserve"> wordt door de speciﬁeke aard van het toepassingsgebied al tientallen jaren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gewerkt aan socially aware, explainable, responsible AI. Voor inzicht in de wetenschappelijke discussie wordt verwezen naar [1, 2].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865B85" w14:paraId="2CBBB46C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238AB612" w14:textId="3B02B4E6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Informatietechnologie in het recht is tegenwoordig normaal,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anders dan bij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begin van het vakgebied AI&amp;Law</w:t>
      </w:r>
      <w:r w:rsidR="001F2515">
        <w:rPr>
          <w:rFonts w:ascii="Georgia" w:hAnsi="Georgia"/>
          <w:lang w:val="nl-NL"/>
        </w:rPr>
        <w:t xml:space="preserve"> (in de jaren tachtig)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Overheden gebruiken IT om informatie 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diensten publiek toegankelijk te maken, bijvoorbeeld wetgeving,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2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boetes,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3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rechterlijke beslissingen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4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 belastingaangifte.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5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 staat er wat juridische IT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betreft internationaal gezien goed voor, maar zelfs IT-projecten zonder de complexiteit van AI kunnen tegen de weerbarstige werkelijkheid aanlopen.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6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Tegelijk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wordt er internationaal ﬂink in juridische IT ge</w:t>
      </w:r>
      <w:r w:rsidR="00CC6893">
        <w:rPr>
          <w:rFonts w:ascii="Georgia" w:hAnsi="Georgia"/>
          <w:lang w:val="nl-NL"/>
        </w:rPr>
        <w:t>ï</w:t>
      </w:r>
      <w:r w:rsidRPr="000158B1">
        <w:rPr>
          <w:rFonts w:ascii="Georgia" w:hAnsi="Georgia"/>
          <w:lang w:val="nl-NL"/>
        </w:rPr>
        <w:t>nvesteerd zoals blijkt uit de tech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index die wordt bijgehouden door het CodeX </w:t>
      </w:r>
      <w:r w:rsidR="000D1368">
        <w:rPr>
          <w:rFonts w:ascii="Georgia" w:hAnsi="Georgia"/>
          <w:lang w:val="nl-NL"/>
        </w:rPr>
        <w:t>C</w:t>
      </w:r>
      <w:r w:rsidRPr="000158B1">
        <w:rPr>
          <w:rFonts w:ascii="Georgia" w:hAnsi="Georgia"/>
          <w:lang w:val="nl-NL"/>
        </w:rPr>
        <w:t xml:space="preserve">enter for </w:t>
      </w:r>
      <w:r w:rsidR="000D1368">
        <w:rPr>
          <w:rFonts w:ascii="Georgia" w:hAnsi="Georgia"/>
          <w:lang w:val="nl-NL"/>
        </w:rPr>
        <w:t>L</w:t>
      </w:r>
      <w:r w:rsidRPr="000158B1">
        <w:rPr>
          <w:rFonts w:ascii="Georgia" w:hAnsi="Georgia"/>
          <w:lang w:val="nl-NL"/>
        </w:rPr>
        <w:t xml:space="preserve">egal </w:t>
      </w:r>
      <w:r w:rsidR="000D1368">
        <w:rPr>
          <w:rFonts w:ascii="Georgia" w:hAnsi="Georgia"/>
          <w:lang w:val="nl-NL"/>
        </w:rPr>
        <w:t>I</w:t>
      </w:r>
      <w:r w:rsidRPr="000158B1">
        <w:rPr>
          <w:rFonts w:ascii="Georgia" w:hAnsi="Georgia"/>
          <w:lang w:val="nl-NL"/>
        </w:rPr>
        <w:t>nformatics (Stanford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University)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waar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1000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legal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tech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bedrijven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zijn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verzameld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(categorie</w:t>
      </w:r>
      <w:r w:rsidR="00C356B5">
        <w:rPr>
          <w:rFonts w:ascii="Georgia" w:hAnsi="Georgia"/>
          <w:lang w:val="nl-NL"/>
        </w:rPr>
        <w:t>ë</w:t>
      </w:r>
      <w:r w:rsidRPr="000158B1">
        <w:rPr>
          <w:rFonts w:ascii="Georgia" w:hAnsi="Georgia"/>
          <w:lang w:val="nl-NL"/>
        </w:rPr>
        <w:t>n: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Marketplace,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Document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Automation,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Practice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Management,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Legal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Research, Legal Education, Online Dispute Resolution, E-Discovery, Analytics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and Compliance).</w:t>
      </w:r>
      <w:r w:rsidRPr="000158B1" w:rsidR="008F7490">
        <w:rPr>
          <w:rStyle w:val="Voetnootmarkering"/>
          <w:rFonts w:ascii="Georgia" w:hAnsi="Georgia"/>
          <w:lang w:val="nl-NL"/>
        </w:rPr>
        <w:footnoteReference w:id="7"/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351117D2" w14:textId="07EB8C80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2CDC7128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Er zijn veel kansen voor het toepassen van AI in</w:t>
      </w:r>
      <w:r w:rsidR="00C035EB">
        <w:rPr>
          <w:rFonts w:ascii="Georgia" w:hAnsi="Georgia"/>
          <w:lang w:val="nl-NL"/>
        </w:rPr>
        <w:t xml:space="preserve"> het recht</w:t>
      </w:r>
      <w:r w:rsidRPr="000158B1">
        <w:rPr>
          <w:rFonts w:ascii="Georgia" w:hAnsi="Georgia"/>
          <w:lang w:val="nl-NL"/>
        </w:rPr>
        <w:t xml:space="preserve"> want legal tech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praktijk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gaat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nog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niet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toepassen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Daar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tijd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aandacht voor nodig vanuit verschillende disciplines.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Juridische AI raakt namelijk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complexe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fundamentele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puzzels,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relevant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hele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Edwina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Rissland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[4]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pionierswerk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Anne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Gardner’s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Stanford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proefschrift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‘An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 approach to legal reasoning’ [3] besprak (beiden ‘founding mothers’ van de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AI&amp;Law) benoemde ze de volgende aandachtspunten: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5F21F97A" w14:textId="786216CF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1FEDDEA1" w14:textId="77777777">
      <w:pPr>
        <w:pStyle w:val="Geenafstand"/>
        <w:numPr>
          <w:ilvl w:val="0"/>
          <w:numId w:val="3"/>
        </w:numPr>
        <w:ind w:left="36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Juridisch redeneren is regel-geleid, niet regel-bepaald.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1EE88B88" w14:textId="585F031A">
      <w:pPr>
        <w:pStyle w:val="Geenafstand"/>
        <w:numPr>
          <w:ilvl w:val="0"/>
          <w:numId w:val="3"/>
        </w:numPr>
        <w:ind w:left="36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Juridische termen hebben een open einde.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133BACE1" w14:textId="531C346D">
      <w:pPr>
        <w:pStyle w:val="Geenafstand"/>
        <w:numPr>
          <w:ilvl w:val="0"/>
          <w:numId w:val="3"/>
        </w:numPr>
        <w:ind w:left="36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Juridische vragen hebben vaak geen eenduidig antwoord, en er moet wel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 redelijk en tijdig antwoord worden gegeven.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682A3E2D" w14:textId="2D9AF587">
      <w:pPr>
        <w:pStyle w:val="Geenafstand"/>
        <w:numPr>
          <w:ilvl w:val="0"/>
          <w:numId w:val="3"/>
        </w:numPr>
        <w:ind w:left="36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De antwoorden op juridische vragen kunnen met de tijd veranderen.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129A7AEC" w14:textId="733DDF5C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03828AD4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Allevier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vragen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om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speciﬁeke,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innovatieve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AI-oplossingen.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Toepassing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 is namelijk een creatieve, sociale zoektocht, waarin in een kritische dialoog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hypothetische oplossingen worden geconstrueerd en getoetst.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Wetenschappelijke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voorstellen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om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proces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juridische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theorieconstructie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ondersteunen (met een prominente rol voor </w:t>
      </w:r>
      <w:r w:rsidRPr="000158B1">
        <w:rPr>
          <w:rFonts w:ascii="Georgia" w:hAnsi="Georgia"/>
          <w:lang w:val="nl-NL"/>
        </w:rPr>
        <w:lastRenderedPageBreak/>
        <w:t>Nederlandse wetenschappers) hebben de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praktijk nog beperkt bereikt.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verband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enkele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opmerkingen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over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eerder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genoemde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deelgebieden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 de AI.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38112625" w14:textId="54C2CD3A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42148D4E" w14:textId="77777777">
      <w:pPr>
        <w:pStyle w:val="Geenafstand"/>
        <w:numPr>
          <w:ilvl w:val="0"/>
          <w:numId w:val="4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Knowledge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representation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and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reasoning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Gedetailleerde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speciﬁeke kennisrepresentatie is in het recht onontbeerlijk.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 het recht gaat 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namelijk vaak om nauwkeurig genalyseerde normatieve situaties en rechtsgevolgen.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kennis-intensief: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veel</w:t>
      </w:r>
      <w:r w:rsidRPr="000158B1" w:rsidR="0062404C">
        <w:rPr>
          <w:rFonts w:ascii="Georgia" w:hAnsi="Georgia"/>
          <w:lang w:val="nl-NL"/>
        </w:rPr>
        <w:t xml:space="preserve"> </w:t>
      </w:r>
      <w:r w:rsidR="004D60FE">
        <w:rPr>
          <w:rFonts w:ascii="Georgia" w:hAnsi="Georgia"/>
          <w:lang w:val="nl-NL"/>
        </w:rPr>
        <w:t xml:space="preserve">specifieke </w:t>
      </w:r>
      <w:r w:rsidRPr="000158B1">
        <w:rPr>
          <w:rFonts w:ascii="Georgia" w:hAnsi="Georgia"/>
          <w:lang w:val="nl-NL"/>
        </w:rPr>
        <w:t>kennis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begrip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onze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wereld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nodig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goede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rechtstoepassing.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Redeneren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vaak de vorm van een constructieve kritische dialoog (argumentatie).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bij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elkaar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brengen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data-gedreven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kennis-gebaseerde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standaard-AI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 nodig als opstap naar responsible AI</w:t>
      </w:r>
      <w:r w:rsidR="00A50B3B">
        <w:rPr>
          <w:rFonts w:ascii="Georgia" w:hAnsi="Georgia"/>
          <w:lang w:val="nl-NL"/>
        </w:rPr>
        <w:t xml:space="preserve"> die ook buiten het recht belangrijk is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31B16819" w14:textId="5B200B41">
      <w:pPr>
        <w:pStyle w:val="Geenafstand"/>
        <w:numPr>
          <w:ilvl w:val="0"/>
          <w:numId w:val="4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Machine learning</w:t>
      </w:r>
      <w:r w:rsidRPr="000158B1">
        <w:rPr>
          <w:rFonts w:ascii="Georgia" w:hAnsi="Georgia"/>
          <w:lang w:val="nl-NL"/>
        </w:rPr>
        <w:t xml:space="preserve"> Juridisch beslissen met machine leren vraagt om nieuwe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methoden omdat in het recht een onderbouwing van een beslissing nodig 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(we noemden al het probleem van explainable AI). Statistische patronen 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 data zijn niet genoeg.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 tegelijk ﬂauw en nuttig gedachtenexperiment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 de machine die elke verdachte als schuldig veroordeel</w:t>
      </w:r>
      <w:r w:rsidR="00E750A3">
        <w:rPr>
          <w:rFonts w:ascii="Georgia" w:hAnsi="Georgia"/>
          <w:lang w:val="nl-NL"/>
        </w:rPr>
        <w:t>t</w:t>
      </w:r>
      <w:r w:rsidRPr="000158B1">
        <w:rPr>
          <w:rFonts w:ascii="Georgia" w:hAnsi="Georgia"/>
          <w:lang w:val="nl-NL"/>
        </w:rPr>
        <w:t>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deze machine 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heel goed in overeenstemming met de data want is het in 91% van de gevallen eens met de strafrechter (http://www</w:t>
      </w:r>
      <w:r w:rsidR="00911460">
        <w:rPr>
          <w:rFonts w:ascii="Georgia" w:hAnsi="Georgia"/>
          <w:lang w:val="nl-NL"/>
        </w:rPr>
        <w:t>.</w:t>
      </w:r>
      <w:r w:rsidRPr="000158B1">
        <w:rPr>
          <w:rFonts w:ascii="Georgia" w:hAnsi="Georgia"/>
          <w:lang w:val="nl-NL"/>
        </w:rPr>
        <w:t>cbs</w:t>
      </w:r>
      <w:r w:rsidR="00911460">
        <w:rPr>
          <w:rFonts w:ascii="Georgia" w:hAnsi="Georgia"/>
          <w:lang w:val="nl-NL"/>
        </w:rPr>
        <w:t>.</w:t>
      </w:r>
      <w:r w:rsidRPr="000158B1">
        <w:rPr>
          <w:rFonts w:ascii="Georgia" w:hAnsi="Georgia"/>
          <w:lang w:val="nl-NL"/>
        </w:rPr>
        <w:t>nl), maar onderbouwing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ontbreekt.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4002ED18" w14:textId="1196EF31">
      <w:pPr>
        <w:pStyle w:val="Geenafstand"/>
        <w:numPr>
          <w:ilvl w:val="0"/>
          <w:numId w:val="4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Natural language processing</w:t>
      </w:r>
      <w:r w:rsidRPr="000158B1">
        <w:rPr>
          <w:rFonts w:ascii="Georgia" w:hAnsi="Georgia"/>
          <w:lang w:val="nl-NL"/>
        </w:rPr>
        <w:t xml:space="preserve"> Het taalgebruik in het recht </w:t>
      </w:r>
      <w:r w:rsidR="0057781F">
        <w:rPr>
          <w:rFonts w:ascii="Georgia" w:hAnsi="Georgia"/>
          <w:lang w:val="nl-NL"/>
        </w:rPr>
        <w:t>is subtiel. E</w:t>
      </w:r>
      <w:r w:rsidRPr="000158B1">
        <w:rPr>
          <w:rFonts w:ascii="Georgia" w:hAnsi="Georgia"/>
          <w:lang w:val="nl-NL"/>
        </w:rPr>
        <w:t xml:space="preserve">lk woord telt en de interpretatie van een wettekst </w:t>
      </w:r>
      <w:r w:rsidR="009B4168">
        <w:rPr>
          <w:rFonts w:ascii="Georgia" w:hAnsi="Georgia"/>
          <w:lang w:val="nl-NL"/>
        </w:rPr>
        <w:t xml:space="preserve">of </w:t>
      </w:r>
      <w:r w:rsidRPr="000158B1">
        <w:rPr>
          <w:rFonts w:ascii="Georgia" w:hAnsi="Georgia"/>
          <w:lang w:val="nl-NL"/>
        </w:rPr>
        <w:t xml:space="preserve">beslissing </w:t>
      </w:r>
      <w:r w:rsidR="00B81135">
        <w:rPr>
          <w:rFonts w:ascii="Georgia" w:hAnsi="Georgia"/>
          <w:lang w:val="nl-NL"/>
        </w:rPr>
        <w:t xml:space="preserve">kan </w:t>
      </w:r>
      <w:r w:rsidRPr="000158B1">
        <w:rPr>
          <w:rFonts w:ascii="Georgia" w:hAnsi="Georgia"/>
          <w:lang w:val="nl-NL"/>
        </w:rPr>
        <w:t>onderwerp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debat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zijn</w:t>
      </w:r>
      <w:r w:rsidR="00B81135">
        <w:rPr>
          <w:rFonts w:ascii="Georgia" w:hAnsi="Georgia"/>
          <w:lang w:val="nl-NL"/>
        </w:rPr>
        <w:t>. Door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hedendaagse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taal-AI</w:t>
      </w:r>
      <w:r w:rsidRPr="000158B1" w:rsidR="0062404C">
        <w:rPr>
          <w:rFonts w:ascii="Georgia" w:hAnsi="Georgia"/>
          <w:lang w:val="nl-NL"/>
        </w:rPr>
        <w:t xml:space="preserve"> </w:t>
      </w:r>
      <w:r w:rsidR="00B81135">
        <w:rPr>
          <w:rFonts w:ascii="Georgia" w:hAnsi="Georgia"/>
          <w:lang w:val="nl-NL"/>
        </w:rPr>
        <w:t xml:space="preserve">kan dat nog </w:t>
      </w:r>
      <w:r w:rsidRPr="000158B1">
        <w:rPr>
          <w:rFonts w:ascii="Georgia" w:hAnsi="Georgia"/>
          <w:lang w:val="nl-NL"/>
        </w:rPr>
        <w:t>niet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begrepen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Hierboven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IBM’s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Watson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genoemd:</w:t>
      </w:r>
      <w:r w:rsidRPr="000158B1" w:rsidR="0062404C">
        <w:rPr>
          <w:rFonts w:ascii="Georgia" w:hAnsi="Georgia"/>
          <w:lang w:val="nl-NL"/>
        </w:rPr>
        <w:t xml:space="preserve"> </w:t>
      </w:r>
      <w:r w:rsidR="007609C3">
        <w:rPr>
          <w:rFonts w:ascii="Georgia" w:hAnsi="Georgia"/>
          <w:lang w:val="nl-NL"/>
        </w:rPr>
        <w:t xml:space="preserve">het </w:t>
      </w:r>
      <w:r w:rsidRPr="000158B1">
        <w:rPr>
          <w:rFonts w:ascii="Georgia" w:hAnsi="Georgia"/>
          <w:lang w:val="nl-NL"/>
        </w:rPr>
        <w:t>bestaan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Wikipedia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 het bereiken van dat succes van veel groter belang dan het gebruik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 taal-AI. Het kritisch lezen en begrijpen van teksten (zoals nodig is 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recht) is nu nog niet goed mogelijk met standaard-AI. Aandacht 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onderzoek naar het automatisch begrijpen van een juridisch betoog biedt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daarom nu veel kansen.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6A652BAF" w14:textId="0BC1532A">
      <w:pPr>
        <w:pStyle w:val="Geenafstand"/>
        <w:jc w:val="both"/>
        <w:rPr>
          <w:rFonts w:ascii="Georgia" w:hAnsi="Georgia"/>
          <w:lang w:val="nl-NL"/>
        </w:rPr>
      </w:pPr>
    </w:p>
    <w:p w:rsidR="007159B4" w:rsidP="00F95F92" w:rsidRDefault="007D1564" w14:paraId="297DBC35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Het recht stelt zo bijzondere eisen aan AI en kan nieuwe idee</w:t>
      </w:r>
      <w:r w:rsidR="00D81D2F">
        <w:rPr>
          <w:rFonts w:ascii="Georgia" w:hAnsi="Georgia"/>
          <w:lang w:val="nl-NL"/>
        </w:rPr>
        <w:t>ë</w:t>
      </w:r>
      <w:r w:rsidRPr="000158B1">
        <w:rPr>
          <w:rFonts w:ascii="Georgia" w:hAnsi="Georgia"/>
          <w:lang w:val="nl-NL"/>
        </w:rPr>
        <w:t>n genereren.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die geschikt is voor het juridisch domein is vanzelf socially aware, explainable,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responsible AI. Ik heb recent betoogd dat een ‘AI als recht’ </w:t>
      </w:r>
      <w:r w:rsidR="00D81D2F">
        <w:rPr>
          <w:rFonts w:ascii="Georgia" w:hAnsi="Georgia"/>
          <w:lang w:val="nl-NL"/>
        </w:rPr>
        <w:t xml:space="preserve">aanpak perspectief biedt op </w:t>
      </w:r>
      <w:r w:rsidRPr="000158B1">
        <w:rPr>
          <w:rFonts w:ascii="Georgia" w:hAnsi="Georgia"/>
          <w:lang w:val="nl-NL"/>
        </w:rPr>
        <w:t>een mensgerichte, ethische AI [5, 6].</w:t>
      </w:r>
    </w:p>
    <w:p w:rsidR="007159B4" w:rsidP="00F95F92" w:rsidRDefault="007159B4" w14:paraId="18B24B9E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3B962DFA" w14:textId="4649CFB6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C.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Europese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dimensie</w:t>
      </w:r>
      <w:r w:rsidRPr="000158B1" w:rsidR="00796EF7">
        <w:rPr>
          <w:rFonts w:ascii="Georgia" w:hAnsi="Georgia"/>
          <w:b/>
          <w:bCs/>
          <w:lang w:val="nl-NL"/>
        </w:rPr>
        <w:t xml:space="preserve"> </w:t>
      </w:r>
    </w:p>
    <w:p w:rsidRPr="000158B1" w:rsidR="007D1564" w:rsidP="00F95F92" w:rsidRDefault="007D1564" w14:paraId="0DCEB88B" w14:textId="06491650">
      <w:pPr>
        <w:pStyle w:val="Geenafstand"/>
        <w:jc w:val="both"/>
        <w:rPr>
          <w:rFonts w:ascii="Georgia" w:hAnsi="Georgia"/>
          <w:lang w:val="nl-NL"/>
        </w:rPr>
      </w:pPr>
    </w:p>
    <w:p w:rsidRPr="000158B1" w:rsidR="00393226" w:rsidP="00F95F92" w:rsidRDefault="007D1564" w14:paraId="57AA130C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Europa kan zich onderscheiden door het ontwikkelen van mensgerichte, ethische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contrast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gedomineerd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marktpartijen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(Verenigde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Staten)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 gestuurd door een centrale overheid (China).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393226" w:rsidP="00F95F92" w:rsidRDefault="00393226" w14:paraId="2DA7A419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16267450" w14:textId="598363F1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EU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High-Level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Expert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Group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aandacht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gevraagd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zeven ethische richtlijnen voor betrouwbare AI (trustworthy AI):</w:t>
      </w:r>
      <w:r w:rsidRPr="000158B1" w:rsidR="00522883">
        <w:rPr>
          <w:rStyle w:val="Voetnootmarkering"/>
          <w:rFonts w:ascii="Georgia" w:hAnsi="Georgia"/>
          <w:lang w:val="nl-NL"/>
        </w:rPr>
        <w:footnoteReference w:id="8"/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2E4982DA" w14:textId="342A31ED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2D7B10A0" w14:textId="77777777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Human agency and oversight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527A6251" w14:textId="52B5F82E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Technical robustness and safety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66011CA7" w14:textId="30C74D67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Privacy and data governance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6856933A" w14:textId="0B0909D5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Transparency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2A580E4A" w14:textId="27773004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Diversity, non-discrimination and fairness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314A7788" w14:textId="363766C5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Societal and environmental well-being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57CB0DBB" w14:textId="593396D3">
      <w:pPr>
        <w:pStyle w:val="Geenafstand"/>
        <w:numPr>
          <w:ilvl w:val="0"/>
          <w:numId w:val="6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Accountability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5A792516" w14:textId="5C017F06">
      <w:pPr>
        <w:pStyle w:val="Geenafstand"/>
        <w:jc w:val="both"/>
        <w:rPr>
          <w:rFonts w:ascii="Georgia" w:hAnsi="Georgia"/>
          <w:lang w:val="nl-NL"/>
        </w:rPr>
      </w:pPr>
    </w:p>
    <w:p w:rsidRPr="000158B1" w:rsidR="00393226" w:rsidP="00F95F92" w:rsidRDefault="007D1564" w14:paraId="6539841E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Deze richtlijnen sluiten goed aan bij het rijtje socially aware,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explainable,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responsible AI uit het eerdergenoemde Nederlandse AI manifest</w:t>
      </w:r>
      <w:r w:rsidR="00AB1289">
        <w:rPr>
          <w:rFonts w:ascii="Georgia" w:hAnsi="Georgia"/>
          <w:lang w:val="nl-NL"/>
        </w:rPr>
        <w:t xml:space="preserve"> (voetnoot 1)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393226" w:rsidP="00F95F92" w:rsidRDefault="00393226" w14:paraId="6961C1C6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6B52BBE4" w14:textId="5724DB59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Ook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slogan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CLAIRE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Confederation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of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Laboratories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Research in Europe,</w:t>
      </w:r>
      <w:r w:rsidRPr="000158B1" w:rsidR="008714D5">
        <w:rPr>
          <w:rStyle w:val="Voetnootmarkering"/>
          <w:rFonts w:ascii="Georgia" w:hAnsi="Georgia"/>
          <w:lang w:val="nl-NL"/>
        </w:rPr>
        <w:footnoteReference w:id="9"/>
      </w:r>
      <w:r w:rsidRPr="000158B1">
        <w:rPr>
          <w:rFonts w:ascii="Georgia" w:hAnsi="Georgia"/>
          <w:lang w:val="nl-NL"/>
        </w:rPr>
        <w:t xml:space="preserve"> een netwerk van Europese AI onderzoeksgroepen, past goed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bij een mensgerichte, ethische AI: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208F0C55" w14:textId="569893D5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7D1564" w14:paraId="7386D946" w14:textId="77777777">
      <w:pPr>
        <w:pStyle w:val="Geenafstand"/>
        <w:ind w:left="72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Excellence across all of AI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5B0D6641" w14:textId="72336C1F">
      <w:pPr>
        <w:pStyle w:val="Geenafstand"/>
        <w:ind w:left="72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For all of Europe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7D1564" w14:paraId="4A36B1CD" w14:textId="77777777">
      <w:pPr>
        <w:pStyle w:val="Geenafstand"/>
        <w:ind w:left="720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With a Human-Centered Focus.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865B85" w:rsidP="00F95F92" w:rsidRDefault="00865B85" w14:paraId="275924AD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393226" w:rsidP="00F95F92" w:rsidRDefault="007D1564" w14:paraId="34EB0AF5" w14:textId="2909BA64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CLAIRE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geco</w:t>
      </w:r>
      <w:r w:rsidR="00C1479B">
        <w:rPr>
          <w:rFonts w:ascii="Georgia" w:hAnsi="Georgia"/>
          <w:lang w:val="nl-NL"/>
        </w:rPr>
        <w:t>ö</w:t>
      </w:r>
      <w:r w:rsidRPr="000158B1">
        <w:rPr>
          <w:rFonts w:ascii="Georgia" w:hAnsi="Georgia"/>
          <w:lang w:val="nl-NL"/>
        </w:rPr>
        <w:t>rdineerd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vanuit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hoofdwartier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Haag</w:t>
      </w:r>
      <w:r w:rsidRPr="000158B1" w:rsidR="00FD7A33">
        <w:rPr>
          <w:rStyle w:val="Voetnootmarkering"/>
          <w:rFonts w:ascii="Georgia" w:hAnsi="Georgia"/>
          <w:lang w:val="nl-NL"/>
        </w:rPr>
        <w:footnoteReference w:id="10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gesteund door veel Nederlandse AI-onderzoekers.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393226" w:rsidP="00F95F92" w:rsidRDefault="00393226" w14:paraId="61950D77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6E86230C" w14:textId="41562E5C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betreft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ontwikkeld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recht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heeft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sterke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positie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Europese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wereldwijde)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AI&amp;Law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gemeenschap.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stichting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Juridische Kennissystemen JURIX</w:t>
      </w:r>
      <w:r w:rsidRPr="000158B1" w:rsidR="00FD7A33">
        <w:rPr>
          <w:rStyle w:val="Voetnootmarkering"/>
          <w:rFonts w:ascii="Georgia" w:hAnsi="Georgia"/>
          <w:lang w:val="nl-NL"/>
        </w:rPr>
        <w:footnoteReference w:id="11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 Nederlands en organiseert jaarlijks het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Europese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AI&amp;Law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congres.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onderzoekers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hebben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uitstekende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staat van dienst in internationa</w:t>
      </w:r>
      <w:r w:rsidR="00C1479B">
        <w:rPr>
          <w:rFonts w:ascii="Georgia" w:hAnsi="Georgia"/>
          <w:lang w:val="nl-NL"/>
        </w:rPr>
        <w:t>al</w:t>
      </w:r>
      <w:r w:rsidRPr="000158B1">
        <w:rPr>
          <w:rFonts w:ascii="Georgia" w:hAnsi="Georgia"/>
          <w:lang w:val="nl-NL"/>
        </w:rPr>
        <w:t xml:space="preserve"> AI&amp;Law onderzoek.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Onder de voorzitters van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de International Association </w:t>
      </w:r>
      <w:r w:rsidR="008A2F05">
        <w:rPr>
          <w:rFonts w:ascii="Georgia" w:hAnsi="Georgia"/>
          <w:lang w:val="nl-NL"/>
        </w:rPr>
        <w:t xml:space="preserve">for </w:t>
      </w:r>
      <w:r w:rsidRPr="000158B1">
        <w:rPr>
          <w:rFonts w:ascii="Georgia" w:hAnsi="Georgia"/>
          <w:lang w:val="nl-NL"/>
        </w:rPr>
        <w:t>AI and Law (IAAIL)</w:t>
      </w:r>
      <w:r w:rsidRPr="000158B1" w:rsidR="00FD7A33">
        <w:rPr>
          <w:rStyle w:val="Voetnootmarkering"/>
          <w:rFonts w:ascii="Georgia" w:hAnsi="Georgia"/>
          <w:lang w:val="nl-NL"/>
        </w:rPr>
        <w:footnoteReference w:id="12"/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 program chairs van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het bijbehorende tweejaarlijkse congres ICAIL zijn vijf Nederlanders.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0C3B30ED" w14:textId="1E2A1592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7FD3239C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b/>
          <w:bCs/>
          <w:lang w:val="nl-NL"/>
        </w:rPr>
        <w:t>D.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Organisatie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en</w:t>
      </w:r>
      <w:r w:rsidRPr="000158B1" w:rsidR="0062404C">
        <w:rPr>
          <w:rFonts w:ascii="Georgia" w:hAnsi="Georgia"/>
          <w:b/>
          <w:bCs/>
          <w:lang w:val="nl-NL"/>
        </w:rPr>
        <w:t xml:space="preserve"> </w:t>
      </w:r>
      <w:r w:rsidRPr="000158B1">
        <w:rPr>
          <w:rFonts w:ascii="Georgia" w:hAnsi="Georgia"/>
          <w:b/>
          <w:bCs/>
          <w:lang w:val="nl-NL"/>
        </w:rPr>
        <w:t>beleid</w:t>
      </w:r>
      <w:r w:rsidRPr="000158B1" w:rsidR="00796EF7">
        <w:rPr>
          <w:rFonts w:ascii="Georgia" w:hAnsi="Georgia"/>
          <w:b/>
          <w:bCs/>
          <w:lang w:val="nl-NL"/>
        </w:rPr>
        <w:t xml:space="preserve"> </w:t>
      </w:r>
    </w:p>
    <w:p w:rsidRPr="000158B1" w:rsidR="007D1564" w:rsidP="00F95F92" w:rsidRDefault="007D1564" w14:paraId="34119036" w14:textId="28CC687D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620A158D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volgende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beleidsacties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kunnen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positie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mensgerichte,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ethische AI versterken.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247FEEB3" w14:textId="23AC1D66">
      <w:pPr>
        <w:pStyle w:val="Geenafstand"/>
        <w:jc w:val="both"/>
        <w:rPr>
          <w:rFonts w:ascii="Georgia" w:hAnsi="Georgia"/>
          <w:lang w:val="nl-NL"/>
        </w:rPr>
      </w:pPr>
    </w:p>
    <w:p w:rsidRPr="000158B1" w:rsidR="00CB2059" w:rsidP="00F95F92" w:rsidRDefault="007D1564" w14:paraId="37E9A20F" w14:textId="77777777">
      <w:pPr>
        <w:pStyle w:val="Lijstalinea"/>
        <w:numPr>
          <w:ilvl w:val="0"/>
          <w:numId w:val="10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i/>
          <w:iCs/>
          <w:lang w:val="nl-NL"/>
        </w:rPr>
        <w:t>Verdiep investeringen in onderwijs en onderzoek op het gebied van brede AI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 heeft hier al een goede staat van dienst met toonaangevend onderwijs en onderzoek.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Tegelijk is de werkdruk nu erg hoog, kan opgeleid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talent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niet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behouden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gebrek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middelen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hanteren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AI-opleidingen een numerus ﬁxus om de gevolgen van de grote studentengroei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op te vangen</w:t>
      </w:r>
      <w:r w:rsidR="00995E68">
        <w:rPr>
          <w:rFonts w:ascii="Georgia" w:hAnsi="Georgia"/>
          <w:lang w:val="nl-NL"/>
        </w:rPr>
        <w:t>. En dat t</w:t>
      </w:r>
      <w:r w:rsidRPr="000158B1">
        <w:rPr>
          <w:rFonts w:ascii="Georgia" w:hAnsi="Georgia"/>
          <w:lang w:val="nl-NL"/>
        </w:rPr>
        <w:t xml:space="preserve">erwijl er een grote </w:t>
      </w:r>
      <w:r w:rsidR="00CE2BD3">
        <w:rPr>
          <w:rFonts w:ascii="Georgia" w:hAnsi="Georgia"/>
          <w:lang w:val="nl-NL"/>
        </w:rPr>
        <w:t xml:space="preserve">en groeiende </w:t>
      </w:r>
      <w:r w:rsidRPr="000158B1">
        <w:rPr>
          <w:rFonts w:ascii="Georgia" w:hAnsi="Georgia"/>
          <w:lang w:val="nl-NL"/>
        </w:rPr>
        <w:t>vraag is naar AI-expertise.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CB2059" w:rsidP="00F95F92" w:rsidRDefault="007D1564" w14:paraId="774BAA78" w14:textId="6C97B4A3">
      <w:pPr>
        <w:pStyle w:val="Lijstalinea"/>
        <w:numPr>
          <w:ilvl w:val="0"/>
          <w:numId w:val="10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i/>
          <w:iCs/>
          <w:lang w:val="nl-NL"/>
        </w:rPr>
        <w:t>Investeer in de ontwikkeling van mensgerichte, ethische AI</w:t>
      </w:r>
      <w:r w:rsidRPr="000158B1">
        <w:rPr>
          <w:rFonts w:ascii="Georgia" w:hAnsi="Georgia"/>
          <w:lang w:val="nl-NL"/>
        </w:rPr>
        <w:t>. Groei is mogelijk door talent te betrekken uit de alfa-, beta- en gamma-wetenschappen.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 deelgebieden ‘Knowledge representation and reasoning’, ‘Machine learning’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 ‘Natural language processing’ moeten verder ontwikkeld worden om 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komen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hybride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waarin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samenwerking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tussen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mens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machine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centraal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staat.</w:t>
      </w:r>
      <w:r w:rsidRPr="000158B1" w:rsidR="0089453C">
        <w:rPr>
          <w:rStyle w:val="Voetnootmarkering"/>
          <w:rFonts w:ascii="Georgia" w:hAnsi="Georgia"/>
          <w:lang w:val="nl-NL"/>
        </w:rPr>
        <w:footnoteReference w:id="13"/>
      </w:r>
      <w:r w:rsidRPr="000158B1">
        <w:rPr>
          <w:rFonts w:ascii="Georgia" w:hAnsi="Georgia"/>
          <w:lang w:val="nl-NL"/>
        </w:rPr>
        <w:t xml:space="preserve"> Het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vakgebied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AI&amp;Law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model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staan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voor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796EF7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ontwikkeling van socially aware, explainable, responsible AI.</w:t>
      </w:r>
      <w:r w:rsidRPr="000158B1" w:rsidR="0062404C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69016EE1" w14:textId="03E30797">
      <w:pPr>
        <w:pStyle w:val="Lijstalinea"/>
        <w:numPr>
          <w:ilvl w:val="0"/>
          <w:numId w:val="10"/>
        </w:numPr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i/>
          <w:iCs/>
          <w:lang w:val="nl-NL"/>
        </w:rPr>
        <w:t>Cre</w:t>
      </w:r>
      <w:r w:rsidRPr="000158B1" w:rsidR="00900C5B">
        <w:rPr>
          <w:rFonts w:ascii="Georgia" w:hAnsi="Georgia"/>
          <w:i/>
          <w:iCs/>
          <w:lang w:val="nl-NL"/>
        </w:rPr>
        <w:t>ë</w:t>
      </w:r>
      <w:r w:rsidRPr="000158B1">
        <w:rPr>
          <w:rFonts w:ascii="Georgia" w:hAnsi="Georgia"/>
          <w:i/>
          <w:iCs/>
          <w:lang w:val="nl-NL"/>
        </w:rPr>
        <w:t>er een internationaal toonaangevend center of excellence op het gebied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van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mensgerichte,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ethische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AI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gegrond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op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AI&amp;Law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Hiervoor kan aangesloten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worden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bij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CLAIRE</w:t>
      </w:r>
      <w:r w:rsidR="00954CA2">
        <w:rPr>
          <w:rFonts w:ascii="Georgia" w:hAnsi="Georgia"/>
          <w:lang w:val="nl-NL"/>
        </w:rPr>
        <w:t>’s</w:t>
      </w:r>
      <w:r w:rsidRPr="000158B1" w:rsidR="0062404C">
        <w:rPr>
          <w:rFonts w:ascii="Georgia" w:hAnsi="Georgia"/>
          <w:lang w:val="nl-NL"/>
        </w:rPr>
        <w:t xml:space="preserve"> </w:t>
      </w:r>
      <w:r w:rsidR="00424ED9">
        <w:rPr>
          <w:rFonts w:ascii="Georgia" w:hAnsi="Georgia"/>
          <w:lang w:val="nl-NL"/>
        </w:rPr>
        <w:t xml:space="preserve">(voetnoot 9) </w:t>
      </w:r>
      <w:r w:rsidRPr="000158B1">
        <w:rPr>
          <w:rFonts w:ascii="Georgia" w:hAnsi="Georgia"/>
          <w:lang w:val="nl-NL"/>
        </w:rPr>
        <w:t>hoofdwartier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Haag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</w:t>
      </w:r>
      <w:r w:rsidR="00EC200B">
        <w:rPr>
          <w:rFonts w:ascii="Georgia" w:hAnsi="Georgia"/>
          <w:lang w:val="nl-NL"/>
        </w:rPr>
        <w:t xml:space="preserve">gebruikmakend van de reputatie van </w:t>
      </w:r>
      <w:r w:rsidRPr="000158B1">
        <w:rPr>
          <w:rFonts w:ascii="Georgia" w:hAnsi="Georgia"/>
          <w:lang w:val="nl-NL"/>
        </w:rPr>
        <w:t>juridische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hoofdstad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Europa)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bestaande,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toonaangevende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expertise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Nederland in de AI&amp;Law.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Vernieuwing kan ontstaan door synergie tussen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expertise uit de alfa-, beta- en gamma-wetenschappen.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Een recente NWO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call ‘Responsible Innovation.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Designing for public values in a digital world’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samenwerking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met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gemeente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Haag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ministeries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Binnenlandse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Zaken,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Buitenlandse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Zaken,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Defensie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Justitie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Veiligheid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is een relevante opstap.</w:t>
      </w:r>
      <w:r w:rsidRPr="000158B1" w:rsidR="0089453C">
        <w:rPr>
          <w:rStyle w:val="Voetnootmarkering"/>
          <w:rFonts w:ascii="Georgia" w:hAnsi="Georgia"/>
          <w:lang w:val="nl-NL"/>
        </w:rPr>
        <w:footnoteReference w:id="14"/>
      </w:r>
    </w:p>
    <w:p w:rsidRPr="000158B1" w:rsidR="007D1564" w:rsidP="00F95F92" w:rsidRDefault="007D1564" w14:paraId="7847BAA8" w14:textId="59291E95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2B7BD8" w:rsidRDefault="007D1564" w14:paraId="58B2D822" w14:textId="77777777">
      <w:pPr>
        <w:pStyle w:val="Geenafstand"/>
        <w:jc w:val="right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September 2019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4C98BA4E" w14:textId="4D2B39B0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026304" w14:paraId="601A7547" w14:textId="77777777">
      <w:pPr>
        <w:pStyle w:val="Geenafstand"/>
        <w:jc w:val="both"/>
        <w:rPr>
          <w:rFonts w:ascii="Georgia" w:hAnsi="Georgia"/>
          <w:b/>
          <w:bCs/>
          <w:lang w:val="nl-NL"/>
        </w:rPr>
      </w:pPr>
      <w:r>
        <w:rPr>
          <w:rFonts w:ascii="Georgia" w:hAnsi="Georgia"/>
          <w:b/>
          <w:bCs/>
          <w:lang w:val="nl-NL"/>
        </w:rPr>
        <w:br w:type="column"/>
      </w:r>
      <w:r w:rsidRPr="000158B1" w:rsidR="007D1564">
        <w:rPr>
          <w:rFonts w:ascii="Georgia" w:hAnsi="Georgia"/>
          <w:b/>
          <w:bCs/>
          <w:lang w:val="nl-NL"/>
        </w:rPr>
        <w:lastRenderedPageBreak/>
        <w:t>Referenties</w:t>
      </w:r>
      <w:r w:rsidRPr="000158B1" w:rsidR="00796EF7">
        <w:rPr>
          <w:rFonts w:ascii="Georgia" w:hAnsi="Georgia"/>
          <w:b/>
          <w:bCs/>
          <w:lang w:val="nl-NL"/>
        </w:rPr>
        <w:t xml:space="preserve"> </w:t>
      </w:r>
    </w:p>
    <w:p w:rsidRPr="000158B1" w:rsidR="007D1564" w:rsidP="00F95F92" w:rsidRDefault="007D1564" w14:paraId="3DCA88BD" w14:textId="6E33C15C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72121854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[1]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K. D. Ashley. </w:t>
      </w:r>
      <w:r w:rsidRPr="000158B1">
        <w:rPr>
          <w:rFonts w:ascii="Georgia" w:hAnsi="Georgia"/>
          <w:i/>
          <w:iCs/>
          <w:lang w:val="nl-NL"/>
        </w:rPr>
        <w:t>Artiﬁcial Intelligence and Legal Analytics. New Tools for Law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Practice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in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the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Digital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Age</w:t>
      </w:r>
      <w:r w:rsidRPr="000158B1">
        <w:rPr>
          <w:rFonts w:ascii="Georgia" w:hAnsi="Georgia"/>
          <w:lang w:val="nl-NL"/>
        </w:rPr>
        <w:t>. The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MIT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Press,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Cambridge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(Massachusetts),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2017.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446A2ABF" w14:textId="6B4EF0BD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3B3C522A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[2]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T. J. M. Bench-Capon,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M. Araszkiewicz,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K. D. Ashley,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K. Atkinson,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F. J.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Bex,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Borges,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Bourcier,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Bourgine,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Conrad,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E.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Francesconi,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T. F. Gordon, G. Governatori, J. L. Leidner, D. D. Lewis, R. P. Loui, L. T.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McCarty, H. Prakken, F. Schilder, E. Schweighofer, P. Thompson, A. Tyrrell,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B. Verheij, D. N. Walton, and A. Z. Wyner.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 history of AI and Law in 50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papers: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25 years of the International Conference on AI and Law.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Artiﬁcial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Intelligence and Law</w:t>
      </w:r>
      <w:r w:rsidRPr="000158B1">
        <w:rPr>
          <w:rFonts w:ascii="Georgia" w:hAnsi="Georgia"/>
          <w:lang w:val="nl-NL"/>
        </w:rPr>
        <w:t>, 20(3):215</w:t>
      </w:r>
      <w:r w:rsidR="00DF613C">
        <w:rPr>
          <w:rFonts w:ascii="Georgia" w:hAnsi="Georgia"/>
          <w:lang w:val="nl-NL"/>
        </w:rPr>
        <w:t>-</w:t>
      </w:r>
      <w:r w:rsidRPr="000158B1">
        <w:rPr>
          <w:rFonts w:ascii="Georgia" w:hAnsi="Georgia"/>
          <w:lang w:val="nl-NL"/>
        </w:rPr>
        <w:t>319, 2012.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7C6B425B" w14:textId="66970C04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1428F4A5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[3]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Gardner.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An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Artiﬁcial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Intelligence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Approach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to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Legal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Reasoning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The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MIT Press, Cambridge (Massachusetts), 1987.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00E282DD" w14:textId="7D9CE4AB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023E1A30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[4] E.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Rissland. Book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review.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Artiﬁcial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Intelligence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Approach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to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Legal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Reasoning.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Harvard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Journal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of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Law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and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Technology</w:t>
      </w:r>
      <w:r w:rsidRPr="000158B1">
        <w:rPr>
          <w:rFonts w:ascii="Georgia" w:hAnsi="Georgia"/>
          <w:lang w:val="nl-NL"/>
        </w:rPr>
        <w:t>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1(Spring):223</w:t>
      </w:r>
      <w:r w:rsidR="00323384">
        <w:rPr>
          <w:rFonts w:ascii="Georgia" w:hAnsi="Georgia"/>
          <w:lang w:val="nl-NL"/>
        </w:rPr>
        <w:t>-</w:t>
      </w:r>
      <w:r w:rsidRPr="000158B1">
        <w:rPr>
          <w:rFonts w:ascii="Georgia" w:hAnsi="Georgia"/>
          <w:lang w:val="nl-NL"/>
        </w:rPr>
        <w:t>231,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1988.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7411B0B6" w14:textId="4D19D33A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237F586A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[5] B.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 xml:space="preserve">Verheij. </w:t>
      </w:r>
      <w:r w:rsidRPr="000158B1">
        <w:rPr>
          <w:rFonts w:ascii="Georgia" w:hAnsi="Georgia"/>
          <w:i/>
          <w:iCs/>
          <w:lang w:val="nl-NL"/>
        </w:rPr>
        <w:t>Arguments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for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Good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Artiﬁcial</w:t>
      </w:r>
      <w:r w:rsidRPr="000158B1" w:rsidR="0062404C">
        <w:rPr>
          <w:rFonts w:ascii="Georgia" w:hAnsi="Georgia"/>
          <w:i/>
          <w:iCs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Intelligence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University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of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Groningen, Groningen, 2018.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6128A158" w14:textId="4CB7531A">
      <w:pPr>
        <w:pStyle w:val="Geenafstand"/>
        <w:jc w:val="both"/>
        <w:rPr>
          <w:rFonts w:ascii="Georgia" w:hAnsi="Georgia"/>
          <w:lang w:val="nl-NL"/>
        </w:rPr>
      </w:pPr>
    </w:p>
    <w:p w:rsidRPr="000158B1" w:rsidR="007D1564" w:rsidP="00F95F92" w:rsidRDefault="007D1564" w14:paraId="676F9E18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[6]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B. Verheij.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i/>
          <w:iCs/>
          <w:lang w:val="nl-NL"/>
        </w:rPr>
        <w:t>Artiﬁcial Intelligence as Law</w:t>
      </w:r>
      <w:r w:rsidRPr="000158B1">
        <w:rPr>
          <w:rFonts w:ascii="Georgia" w:hAnsi="Georgia"/>
          <w:lang w:val="nl-NL"/>
        </w:rPr>
        <w:t>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17th International Conference on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Artiﬁcial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Intelligence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and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Law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(ICAIL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2019).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June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17-21,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2019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(Montreal,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Canada), Presidential address, 2019.</w:t>
      </w:r>
      <w:r w:rsidRPr="000158B1" w:rsidR="00796EF7">
        <w:rPr>
          <w:rFonts w:ascii="Georgia" w:hAnsi="Georgia"/>
          <w:lang w:val="nl-NL"/>
        </w:rPr>
        <w:t xml:space="preserve"> </w:t>
      </w:r>
    </w:p>
    <w:p w:rsidRPr="000158B1" w:rsidR="007D1564" w:rsidP="00F95F92" w:rsidRDefault="007D1564" w14:paraId="4262A9B5" w14:textId="26A51B21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865B85" w14:paraId="4010E96B" w14:textId="77777777">
      <w:pPr>
        <w:pStyle w:val="Geenafstand"/>
        <w:jc w:val="both"/>
        <w:rPr>
          <w:rFonts w:ascii="Georgia" w:hAnsi="Georgia"/>
          <w:lang w:val="nl-NL"/>
        </w:rPr>
      </w:pPr>
    </w:p>
    <w:p w:rsidR="00225521" w:rsidP="00F95F92" w:rsidRDefault="00225521" w14:paraId="1F455B56" w14:textId="77777777">
      <w:pPr>
        <w:pStyle w:val="Geenafstand"/>
        <w:jc w:val="both"/>
        <w:rPr>
          <w:rFonts w:ascii="Georgia" w:hAnsi="Georgia"/>
          <w:lang w:val="nl-NL"/>
        </w:rPr>
      </w:pPr>
    </w:p>
    <w:p w:rsidR="00225521" w:rsidP="00F95F92" w:rsidRDefault="00225521" w14:paraId="6B7A1A8A" w14:textId="77777777">
      <w:pPr>
        <w:pStyle w:val="Geenafstand"/>
        <w:jc w:val="both"/>
        <w:rPr>
          <w:rFonts w:ascii="Georgia" w:hAnsi="Georgia"/>
          <w:lang w:val="nl-NL"/>
        </w:rPr>
      </w:pPr>
    </w:p>
    <w:p w:rsidRPr="000158B1" w:rsidR="00865B85" w:rsidP="00F95F92" w:rsidRDefault="00865B85" w14:paraId="0315AF6E" w14:textId="42CDC7E3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Prof.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dr.</w:t>
      </w:r>
      <w:r w:rsidRPr="000158B1" w:rsidR="0062404C">
        <w:rPr>
          <w:rFonts w:ascii="Georgia" w:hAnsi="Georgia"/>
          <w:lang w:val="nl-NL"/>
        </w:rPr>
        <w:t xml:space="preserve"> </w:t>
      </w:r>
      <w:r w:rsidRPr="000158B1">
        <w:rPr>
          <w:rFonts w:ascii="Georgia" w:hAnsi="Georgia"/>
          <w:lang w:val="nl-NL"/>
        </w:rPr>
        <w:t>H.B. Verheij (Bart)</w:t>
      </w:r>
    </w:p>
    <w:p w:rsidRPr="000158B1" w:rsidR="00865B85" w:rsidP="00F95F92" w:rsidRDefault="00865B85" w14:paraId="4B5238B0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 xml:space="preserve">Hoofd afdeling Kunstmatige Intelligentie, </w:t>
      </w:r>
    </w:p>
    <w:p w:rsidRPr="000158B1" w:rsidR="00865B85" w:rsidP="00F95F92" w:rsidRDefault="00865B85" w14:paraId="677BEB58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 xml:space="preserve">Bernoulli Institute of Mathematics, Computer Science and Artiﬁcial Intelligence, </w:t>
      </w:r>
    </w:p>
    <w:p w:rsidRPr="000158B1" w:rsidR="00865B85" w:rsidP="00F95F92" w:rsidRDefault="00865B85" w14:paraId="67F1A31F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 xml:space="preserve">University of Groningen </w:t>
      </w:r>
    </w:p>
    <w:p w:rsidRPr="000158B1" w:rsidR="00865B85" w:rsidP="00F95F92" w:rsidRDefault="00865B85" w14:paraId="2A66BD53" w14:textId="77777777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 xml:space="preserve">President International Association for Artiﬁcial Intelligence and Law </w:t>
      </w:r>
    </w:p>
    <w:p w:rsidR="00865B85" w:rsidP="00F95F92" w:rsidRDefault="00865B85" w14:paraId="7281F9EB" w14:textId="184F7B13">
      <w:pPr>
        <w:pStyle w:val="Geenafstand"/>
        <w:jc w:val="both"/>
        <w:rPr>
          <w:rFonts w:ascii="Georgia" w:hAnsi="Georgia"/>
          <w:lang w:val="nl-NL"/>
        </w:rPr>
      </w:pPr>
      <w:r w:rsidRPr="000158B1">
        <w:rPr>
          <w:rFonts w:ascii="Georgia" w:hAnsi="Georgia"/>
          <w:lang w:val="nl-NL"/>
        </w:rPr>
        <w:t>https://www.ai.rug.nl/~verheij/</w:t>
      </w:r>
    </w:p>
    <w:p w:rsidRPr="000158B1" w:rsidR="00437563" w:rsidP="00F95F92" w:rsidRDefault="00437563" w14:paraId="3C3139E1" w14:textId="77777777">
      <w:pPr>
        <w:pStyle w:val="Geenafstand"/>
        <w:jc w:val="both"/>
        <w:rPr>
          <w:rFonts w:ascii="Georgia" w:hAnsi="Georgia"/>
          <w:lang w:val="nl-NL"/>
        </w:rPr>
      </w:pPr>
    </w:p>
    <w:sectPr w:rsidRPr="000158B1" w:rsidR="00437563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BA79" w14:textId="77777777" w:rsidR="00377A56" w:rsidRDefault="00377A56" w:rsidP="00865B85">
      <w:pPr>
        <w:spacing w:after="0" w:line="240" w:lineRule="auto"/>
      </w:pPr>
      <w:r>
        <w:separator/>
      </w:r>
    </w:p>
  </w:endnote>
  <w:endnote w:type="continuationSeparator" w:id="0">
    <w:p w14:paraId="54721D4C" w14:textId="77777777" w:rsidR="00377A56" w:rsidRDefault="00377A56" w:rsidP="008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AF31B" w14:textId="77777777" w:rsidR="00377A56" w:rsidRDefault="00377A56" w:rsidP="00865B85">
      <w:pPr>
        <w:spacing w:after="0" w:line="240" w:lineRule="auto"/>
      </w:pPr>
      <w:r>
        <w:separator/>
      </w:r>
    </w:p>
  </w:footnote>
  <w:footnote w:type="continuationSeparator" w:id="0">
    <w:p w14:paraId="09280A0F" w14:textId="77777777" w:rsidR="00377A56" w:rsidRDefault="00377A56" w:rsidP="00865B85">
      <w:pPr>
        <w:spacing w:after="0" w:line="240" w:lineRule="auto"/>
      </w:pPr>
      <w:r>
        <w:continuationSeparator/>
      </w:r>
    </w:p>
  </w:footnote>
  <w:footnote w:id="1">
    <w:p w14:paraId="20E77DB2" w14:textId="533B4569" w:rsidR="00D93649" w:rsidRPr="00D93649" w:rsidRDefault="00D93649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Voor meer: zie het Nederlands AI Manifesto, http://bnvki</w:t>
      </w:r>
      <w:r w:rsidR="00300ED6">
        <w:rPr>
          <w:rFonts w:ascii="Georgia" w:hAnsi="Georgia"/>
          <w:lang w:val="en-GB"/>
        </w:rPr>
        <w:t>.</w:t>
      </w:r>
      <w:r w:rsidRPr="00D93649">
        <w:rPr>
          <w:rFonts w:ascii="Georgia" w:hAnsi="Georgia"/>
        </w:rPr>
        <w:t>org/?page id=1247.</w:t>
      </w:r>
    </w:p>
  </w:footnote>
  <w:footnote w:id="2">
    <w:p w14:paraId="594F6859" w14:textId="6593E067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https://wetten.overheid.nl/</w:t>
      </w:r>
    </w:p>
  </w:footnote>
  <w:footnote w:id="3">
    <w:p w14:paraId="1A4DCB61" w14:textId="15E3D474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https://www.om.nl/onderwerpen/boetebase/</w:t>
      </w:r>
    </w:p>
  </w:footnote>
  <w:footnote w:id="4">
    <w:p w14:paraId="01D22C0B" w14:textId="63D66610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https://uitspraken.rechtspraak.nl/</w:t>
      </w:r>
    </w:p>
  </w:footnote>
  <w:footnote w:id="5">
    <w:p w14:paraId="4DDD6CF1" w14:textId="3B2F8572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https://www.belastingdienst.nl/</w:t>
      </w:r>
    </w:p>
  </w:footnote>
  <w:footnote w:id="6">
    <w:p w14:paraId="0505988A" w14:textId="015E4638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`ICT-project basisregistratie totaal mislukt', https://www.nrc.nl/nieuws/2017/07/07/ict-project-basisregistratie-totaal-mislukt-11685808, 17 juli 2017.</w:t>
      </w:r>
    </w:p>
  </w:footnote>
  <w:footnote w:id="7">
    <w:p w14:paraId="60CA01E7" w14:textId="5F69048D" w:rsidR="008F7490" w:rsidRPr="00D93649" w:rsidRDefault="008F7490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E1740" w:rsidRPr="00AE1740">
        <w:rPr>
          <w:rFonts w:ascii="Georgia" w:hAnsi="Georgia"/>
        </w:rPr>
        <w:t>https://techindex.law.stanford.edu/</w:t>
      </w:r>
    </w:p>
  </w:footnote>
  <w:footnote w:id="8">
    <w:p w14:paraId="209E0133" w14:textId="50644CC9" w:rsidR="00522883" w:rsidRPr="00D93649" w:rsidRDefault="00522883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150EFC" w:rsidRPr="00150EFC">
        <w:rPr>
          <w:rFonts w:ascii="Georgia" w:hAnsi="Georgia"/>
        </w:rPr>
        <w:t>https://ec.europa.eu/digital-single-market/en/high-level-expert-group-artificial-intelligence</w:t>
      </w:r>
    </w:p>
  </w:footnote>
  <w:footnote w:id="9">
    <w:p w14:paraId="46AB94D0" w14:textId="55FA3FFC" w:rsidR="008714D5" w:rsidRPr="00D93649" w:rsidRDefault="008714D5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150EFC" w:rsidRPr="00150EFC">
        <w:rPr>
          <w:rFonts w:ascii="Georgia" w:hAnsi="Georgia"/>
        </w:rPr>
        <w:t>https://claire-ai.org</w:t>
      </w:r>
    </w:p>
  </w:footnote>
  <w:footnote w:id="10">
    <w:p w14:paraId="5DC5F5AD" w14:textId="63DB5132" w:rsidR="00FD7A33" w:rsidRPr="00D93649" w:rsidRDefault="00FD7A33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150EFC" w:rsidRPr="00150EFC">
        <w:rPr>
          <w:rFonts w:ascii="Georgia" w:hAnsi="Georgia"/>
        </w:rPr>
        <w:t>The Hague Humanity Hub, a.p.kodde@liacs.leidenuniv.nl</w:t>
      </w:r>
    </w:p>
  </w:footnote>
  <w:footnote w:id="11">
    <w:p w14:paraId="368B1026" w14:textId="7D431CFC" w:rsidR="00FD7A33" w:rsidRPr="00D93649" w:rsidRDefault="00FD7A33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021982" w:rsidRPr="00021982">
        <w:rPr>
          <w:rFonts w:ascii="Georgia" w:hAnsi="Georgia"/>
        </w:rPr>
        <w:t>http://jurix.nl/. Recentste editie: https://jurix2018.ai.rug.nl in Groningen.</w:t>
      </w:r>
    </w:p>
  </w:footnote>
  <w:footnote w:id="12">
    <w:p w14:paraId="254A9947" w14:textId="5C66BB27" w:rsidR="00FD7A33" w:rsidRPr="00D93649" w:rsidRDefault="00FD7A33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9857FF" w:rsidRPr="009857FF">
        <w:rPr>
          <w:rFonts w:ascii="Georgia" w:hAnsi="Georgia"/>
        </w:rPr>
        <w:t>http://iaail.org/. Recentste editie: https://icail2019-cyberjustice.com in Montr</w:t>
      </w:r>
      <w:r w:rsidR="009857FF">
        <w:rPr>
          <w:rFonts w:ascii="Georgia" w:hAnsi="Georgia"/>
        </w:rPr>
        <w:t>é</w:t>
      </w:r>
      <w:r w:rsidR="009857FF" w:rsidRPr="009857FF">
        <w:rPr>
          <w:rFonts w:ascii="Georgia" w:hAnsi="Georgia"/>
        </w:rPr>
        <w:t>al.</w:t>
      </w:r>
    </w:p>
  </w:footnote>
  <w:footnote w:id="13">
    <w:p w14:paraId="13770294" w14:textId="3F4232F8" w:rsidR="0089453C" w:rsidRPr="00D93649" w:rsidRDefault="0089453C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D366A9" w:rsidRPr="00D366A9">
        <w:rPr>
          <w:rFonts w:ascii="Georgia" w:hAnsi="Georgia"/>
        </w:rPr>
        <w:t xml:space="preserve">Zie het onderzoeksproject Hybrid Intelligence </w:t>
      </w:r>
      <w:r w:rsidR="00D366A9">
        <w:rPr>
          <w:rFonts w:ascii="Georgia" w:hAnsi="Georgia"/>
          <w:lang w:val="en-GB"/>
        </w:rPr>
        <w:t xml:space="preserve">- </w:t>
      </w:r>
      <w:r w:rsidR="00D366A9" w:rsidRPr="00D366A9">
        <w:rPr>
          <w:rFonts w:ascii="Georgia" w:hAnsi="Georgia"/>
        </w:rPr>
        <w:t>Augmenting Human Intellect, https://www.hybrid-intelligence-centre.nl/.</w:t>
      </w:r>
    </w:p>
  </w:footnote>
  <w:footnote w:id="14">
    <w:p w14:paraId="33E77F2D" w14:textId="52FE5241" w:rsidR="0089453C" w:rsidRPr="00D93649" w:rsidRDefault="0089453C">
      <w:pPr>
        <w:pStyle w:val="Voetnoottekst"/>
        <w:rPr>
          <w:rFonts w:ascii="Georgia" w:hAnsi="Georgia"/>
          <w:lang w:val="en-GB"/>
        </w:rPr>
      </w:pPr>
      <w:r w:rsidRPr="00D93649">
        <w:rPr>
          <w:rStyle w:val="Voetnootmarkering"/>
          <w:rFonts w:ascii="Georgia" w:hAnsi="Georgia"/>
        </w:rPr>
        <w:footnoteRef/>
      </w:r>
      <w:r w:rsidRPr="00D93649">
        <w:rPr>
          <w:rFonts w:ascii="Georgia" w:hAnsi="Georgia"/>
        </w:rPr>
        <w:t xml:space="preserve"> </w:t>
      </w:r>
      <w:r w:rsidR="00AF548D" w:rsidRPr="00AF548D">
        <w:rPr>
          <w:rFonts w:ascii="Georgia" w:hAnsi="Georgia"/>
        </w:rPr>
        <w:t>https://www.nwo.nl/en/funding/our-funding-instruments/sgw/responsible-innovation.-designing-for-public-values-in-a-digital-world/responsible-innovation.html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580E"/>
    <w:multiLevelType w:val="hybridMultilevel"/>
    <w:tmpl w:val="D67E1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238"/>
    <w:multiLevelType w:val="hybridMultilevel"/>
    <w:tmpl w:val="9FE6AD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4674"/>
    <w:multiLevelType w:val="hybridMultilevel"/>
    <w:tmpl w:val="1B30446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61899"/>
    <w:multiLevelType w:val="hybridMultilevel"/>
    <w:tmpl w:val="9392E13C"/>
    <w:lvl w:ilvl="0" w:tplc="42C4D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D4"/>
    <w:multiLevelType w:val="hybridMultilevel"/>
    <w:tmpl w:val="3DB49F9E"/>
    <w:lvl w:ilvl="0" w:tplc="42C4D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F7E26"/>
    <w:multiLevelType w:val="hybridMultilevel"/>
    <w:tmpl w:val="818A1B22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A47A6"/>
    <w:multiLevelType w:val="hybridMultilevel"/>
    <w:tmpl w:val="E140E266"/>
    <w:lvl w:ilvl="0" w:tplc="42C4D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91F36"/>
    <w:multiLevelType w:val="hybridMultilevel"/>
    <w:tmpl w:val="28AC9F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4DBB"/>
    <w:multiLevelType w:val="hybridMultilevel"/>
    <w:tmpl w:val="9D4E5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F44C4"/>
    <w:multiLevelType w:val="hybridMultilevel"/>
    <w:tmpl w:val="A316FA70"/>
    <w:lvl w:ilvl="0" w:tplc="42C4D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D1"/>
    <w:rsid w:val="000158B1"/>
    <w:rsid w:val="00021982"/>
    <w:rsid w:val="00026304"/>
    <w:rsid w:val="00026378"/>
    <w:rsid w:val="000A4742"/>
    <w:rsid w:val="000B5769"/>
    <w:rsid w:val="000D1368"/>
    <w:rsid w:val="00150EFC"/>
    <w:rsid w:val="0019287F"/>
    <w:rsid w:val="001D6771"/>
    <w:rsid w:val="001F2515"/>
    <w:rsid w:val="002125BA"/>
    <w:rsid w:val="00225521"/>
    <w:rsid w:val="00276B3D"/>
    <w:rsid w:val="00284162"/>
    <w:rsid w:val="002B7BD8"/>
    <w:rsid w:val="002C6D2E"/>
    <w:rsid w:val="00300ED6"/>
    <w:rsid w:val="00323384"/>
    <w:rsid w:val="00361DFC"/>
    <w:rsid w:val="00377A56"/>
    <w:rsid w:val="00393226"/>
    <w:rsid w:val="00424ED9"/>
    <w:rsid w:val="00437563"/>
    <w:rsid w:val="00445BFD"/>
    <w:rsid w:val="004D60FE"/>
    <w:rsid w:val="005040AA"/>
    <w:rsid w:val="00521057"/>
    <w:rsid w:val="00522883"/>
    <w:rsid w:val="00570A64"/>
    <w:rsid w:val="0057781F"/>
    <w:rsid w:val="0062404C"/>
    <w:rsid w:val="0067597E"/>
    <w:rsid w:val="006970CB"/>
    <w:rsid w:val="006A0C18"/>
    <w:rsid w:val="007159B4"/>
    <w:rsid w:val="007609C3"/>
    <w:rsid w:val="00777A97"/>
    <w:rsid w:val="00796EF7"/>
    <w:rsid w:val="007B7696"/>
    <w:rsid w:val="007C03D1"/>
    <w:rsid w:val="007D1564"/>
    <w:rsid w:val="00865B85"/>
    <w:rsid w:val="00866AF4"/>
    <w:rsid w:val="008714D5"/>
    <w:rsid w:val="00885B27"/>
    <w:rsid w:val="0089453C"/>
    <w:rsid w:val="008A2F05"/>
    <w:rsid w:val="008F7490"/>
    <w:rsid w:val="00900C5B"/>
    <w:rsid w:val="00911460"/>
    <w:rsid w:val="00926CA4"/>
    <w:rsid w:val="0094152C"/>
    <w:rsid w:val="00954CA2"/>
    <w:rsid w:val="009857FF"/>
    <w:rsid w:val="00995E68"/>
    <w:rsid w:val="009A1C3A"/>
    <w:rsid w:val="009B4168"/>
    <w:rsid w:val="009B7B4B"/>
    <w:rsid w:val="009D7D2B"/>
    <w:rsid w:val="00A451DD"/>
    <w:rsid w:val="00A50B3B"/>
    <w:rsid w:val="00AB1289"/>
    <w:rsid w:val="00AB3452"/>
    <w:rsid w:val="00AE1740"/>
    <w:rsid w:val="00AF548D"/>
    <w:rsid w:val="00B3439B"/>
    <w:rsid w:val="00B54855"/>
    <w:rsid w:val="00B7722A"/>
    <w:rsid w:val="00B81135"/>
    <w:rsid w:val="00C035EB"/>
    <w:rsid w:val="00C1479B"/>
    <w:rsid w:val="00C356B5"/>
    <w:rsid w:val="00C40E0C"/>
    <w:rsid w:val="00CB2059"/>
    <w:rsid w:val="00CC6893"/>
    <w:rsid w:val="00CE2BD3"/>
    <w:rsid w:val="00D366A9"/>
    <w:rsid w:val="00D81D2F"/>
    <w:rsid w:val="00D93649"/>
    <w:rsid w:val="00DF2920"/>
    <w:rsid w:val="00DF42E3"/>
    <w:rsid w:val="00DF613C"/>
    <w:rsid w:val="00E526DA"/>
    <w:rsid w:val="00E750A3"/>
    <w:rsid w:val="00EC200B"/>
    <w:rsid w:val="00EC7868"/>
    <w:rsid w:val="00EF407D"/>
    <w:rsid w:val="00F945F4"/>
    <w:rsid w:val="00F95F92"/>
    <w:rsid w:val="00FD7A33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42CB"/>
  <w15:chartTrackingRefBased/>
  <w15:docId w15:val="{F313F0DF-8852-4145-A807-8495F20D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F2920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5B8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5B8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5B8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B205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75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2082</ap:Words>
  <ap:Characters>11457</ap:Characters>
  <ap:DocSecurity>0</ap:DocSecurity>
  <ap:Lines>95</ap:Lines>
  <ap:Paragraphs>27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2019-09-11T13:09:00.0000000Z</dcterms:created>
  <dcterms:modified xsi:type="dcterms:W3CDTF">2019-09-11T13:09:00.0000000Z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