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21383" w:rsidR="00771CAB" w:rsidP="00771CAB" w:rsidRDefault="00771CAB">
      <w:pPr>
        <w:rPr>
          <w:rFonts w:asciiTheme="minorHAnsi" w:hAnsiTheme="minorHAnsi"/>
          <w:b/>
          <w:sz w:val="20"/>
          <w:szCs w:val="20"/>
        </w:rPr>
      </w:pPr>
      <w:bookmarkStart w:name="_GoBack" w:id="0"/>
      <w:bookmarkEnd w:id="0"/>
      <w:r w:rsidRPr="00221383">
        <w:rPr>
          <w:rFonts w:asciiTheme="minorHAnsi" w:hAnsiTheme="minorHAnsi"/>
          <w:b/>
          <w:sz w:val="20"/>
          <w:szCs w:val="20"/>
        </w:rPr>
        <w:t xml:space="preserve">Overzicht nieuw gepubliceerde EU-voorstellen </w:t>
      </w:r>
    </w:p>
    <w:p w:rsidRPr="00221383" w:rsidR="00771CAB" w:rsidP="00771CAB" w:rsidRDefault="00771CAB">
      <w:pPr>
        <w:rPr>
          <w:rFonts w:asciiTheme="minorHAnsi" w:hAnsiTheme="minorHAnsi"/>
          <w:sz w:val="20"/>
          <w:szCs w:val="20"/>
        </w:rPr>
      </w:pPr>
    </w:p>
    <w:p w:rsidRPr="00C00215" w:rsidR="00771CAB" w:rsidP="00771CAB" w:rsidRDefault="00771CAB">
      <w:pPr>
        <w:rPr>
          <w:rFonts w:asciiTheme="minorHAnsi" w:hAnsiTheme="minorHAnsi"/>
          <w:color w:val="FF0000"/>
          <w:sz w:val="20"/>
          <w:szCs w:val="20"/>
          <w:u w:val="single"/>
        </w:rPr>
      </w:pPr>
      <w:r w:rsidRPr="0055500A">
        <w:rPr>
          <w:rFonts w:asciiTheme="minorHAnsi" w:hAnsiTheme="minorHAnsi"/>
          <w:sz w:val="20"/>
          <w:szCs w:val="20"/>
          <w:u w:val="single"/>
        </w:rPr>
        <w:t xml:space="preserve">Integraal overzicht met nieuw gepubliceerde EU-voorstellen van </w:t>
      </w:r>
      <w:r w:rsidR="00402DBB">
        <w:rPr>
          <w:rFonts w:asciiTheme="minorHAnsi" w:hAnsiTheme="minorHAnsi"/>
          <w:sz w:val="20"/>
          <w:szCs w:val="20"/>
          <w:u w:val="single"/>
        </w:rPr>
        <w:t>28</w:t>
      </w:r>
      <w:r w:rsidR="006026E4">
        <w:rPr>
          <w:rFonts w:asciiTheme="minorHAnsi" w:hAnsiTheme="minorHAnsi"/>
          <w:sz w:val="20"/>
          <w:szCs w:val="20"/>
          <w:u w:val="single"/>
        </w:rPr>
        <w:t xml:space="preserve"> november</w:t>
      </w:r>
      <w:r w:rsidR="005B442F">
        <w:rPr>
          <w:rFonts w:asciiTheme="minorHAnsi" w:hAnsiTheme="minorHAnsi"/>
          <w:sz w:val="20"/>
          <w:szCs w:val="20"/>
          <w:u w:val="single"/>
        </w:rPr>
        <w:t xml:space="preserve"> 2019</w:t>
      </w:r>
      <w:r w:rsidR="00701C69">
        <w:rPr>
          <w:rFonts w:asciiTheme="minorHAnsi" w:hAnsiTheme="minorHAnsi"/>
          <w:sz w:val="20"/>
          <w:szCs w:val="20"/>
          <w:u w:val="single"/>
        </w:rPr>
        <w:t xml:space="preserve"> tot en met </w:t>
      </w:r>
      <w:r w:rsidR="005B442F">
        <w:rPr>
          <w:rFonts w:asciiTheme="minorHAnsi" w:hAnsiTheme="minorHAnsi"/>
          <w:sz w:val="20"/>
          <w:szCs w:val="20"/>
          <w:u w:val="single"/>
        </w:rPr>
        <w:t>8 januari 2020</w:t>
      </w:r>
      <w:r w:rsidRPr="0055500A">
        <w:rPr>
          <w:rFonts w:asciiTheme="minorHAnsi" w:hAnsiTheme="minorHAnsi"/>
          <w:sz w:val="20"/>
          <w:szCs w:val="20"/>
          <w:u w:val="single"/>
        </w:rPr>
        <w:t xml:space="preserve"> </w:t>
      </w:r>
    </w:p>
    <w:p w:rsidRPr="00221383" w:rsidR="00771CAB" w:rsidP="00771CAB" w:rsidRDefault="00771CAB">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49"/>
        <w:gridCol w:w="567"/>
        <w:gridCol w:w="1418"/>
        <w:gridCol w:w="4536"/>
        <w:gridCol w:w="1276"/>
        <w:gridCol w:w="708"/>
        <w:gridCol w:w="4820"/>
      </w:tblGrid>
      <w:tr w:rsidRPr="00221383" w:rsidR="00771CAB" w:rsidTr="00B3079F">
        <w:trPr>
          <w:trHeight w:val="1550"/>
        </w:trPr>
        <w:tc>
          <w:tcPr>
            <w:tcW w:w="1149"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Publicatie-</w:t>
            </w:r>
          </w:p>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datum</w:t>
            </w:r>
          </w:p>
        </w:tc>
        <w:tc>
          <w:tcPr>
            <w:tcW w:w="567"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Voortouw</w:t>
            </w:r>
          </w:p>
        </w:tc>
        <w:tc>
          <w:tcPr>
            <w:tcW w:w="1418"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Soort</w:t>
            </w:r>
          </w:p>
        </w:tc>
        <w:tc>
          <w:tcPr>
            <w:tcW w:w="4536"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Titel</w:t>
            </w:r>
          </w:p>
        </w:tc>
        <w:tc>
          <w:tcPr>
            <w:tcW w:w="1276"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COM-nummer</w:t>
            </w:r>
          </w:p>
        </w:tc>
        <w:tc>
          <w:tcPr>
            <w:tcW w:w="708" w:type="dxa"/>
            <w:textDirection w:val="btLr"/>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Deadline</w:t>
            </w:r>
          </w:p>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Sub.toets</w:t>
            </w:r>
          </w:p>
        </w:tc>
        <w:tc>
          <w:tcPr>
            <w:tcW w:w="4820" w:type="dxa"/>
            <w:shd w:val="clear" w:color="auto" w:fill="auto"/>
            <w:textDirection w:val="btLr"/>
            <w:vAlign w:val="bottom"/>
            <w:hideMark/>
          </w:tcPr>
          <w:p w:rsidRPr="008505DB" w:rsidR="00771CAB" w:rsidP="00B3079F" w:rsidRDefault="00771CAB">
            <w:pPr>
              <w:rPr>
                <w:rFonts w:asciiTheme="minorHAnsi" w:hAnsiTheme="minorHAnsi"/>
                <w:b/>
                <w:bCs/>
                <w:color w:val="000000"/>
                <w:sz w:val="20"/>
                <w:szCs w:val="20"/>
              </w:rPr>
            </w:pPr>
            <w:r w:rsidRPr="008505DB">
              <w:rPr>
                <w:rFonts w:asciiTheme="minorHAnsi" w:hAnsiTheme="minorHAnsi"/>
                <w:b/>
                <w:bCs/>
                <w:color w:val="000000"/>
                <w:sz w:val="20"/>
                <w:szCs w:val="20"/>
              </w:rPr>
              <w:t>Opmerking</w:t>
            </w:r>
          </w:p>
        </w:tc>
      </w:tr>
      <w:tr w:rsidRPr="00221383" w:rsidR="00771CAB" w:rsidTr="00B3079F">
        <w:trPr>
          <w:trHeight w:val="300"/>
        </w:trPr>
        <w:tc>
          <w:tcPr>
            <w:tcW w:w="1149"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567"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418"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4536"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276"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708" w:type="dxa"/>
            <w:tcBorders>
              <w:bottom w:val="single" w:color="auto" w:sz="4" w:space="0"/>
            </w:tcBorders>
            <w:shd w:val="clear" w:color="000000" w:fill="538DD5"/>
          </w:tcPr>
          <w:p w:rsidRPr="00221383" w:rsidR="00771CAB" w:rsidP="00B3079F" w:rsidRDefault="00771CAB">
            <w:pPr>
              <w:rPr>
                <w:rFonts w:asciiTheme="minorHAnsi" w:hAnsiTheme="minorHAnsi"/>
                <w:b/>
                <w:bCs/>
                <w:color w:val="000000"/>
                <w:sz w:val="20"/>
                <w:szCs w:val="20"/>
              </w:rPr>
            </w:pPr>
          </w:p>
        </w:tc>
        <w:tc>
          <w:tcPr>
            <w:tcW w:w="4820" w:type="dxa"/>
            <w:tcBorders>
              <w:bottom w:val="single" w:color="auto" w:sz="4" w:space="0"/>
            </w:tcBorders>
            <w:shd w:val="clear" w:color="000000" w:fill="538DD5"/>
            <w:hideMark/>
          </w:tcPr>
          <w:p w:rsidRPr="008505DB" w:rsidR="00771CAB" w:rsidP="00B3079F" w:rsidRDefault="00771CAB">
            <w:pPr>
              <w:rPr>
                <w:rFonts w:asciiTheme="minorHAnsi" w:hAnsiTheme="minorHAnsi"/>
                <w:b/>
                <w:bCs/>
                <w:color w:val="000000"/>
                <w:sz w:val="20"/>
                <w:szCs w:val="20"/>
              </w:rPr>
            </w:pPr>
            <w:r w:rsidRPr="008505DB">
              <w:rPr>
                <w:rFonts w:asciiTheme="minorHAnsi" w:hAnsiTheme="minorHAnsi"/>
                <w:b/>
                <w:bCs/>
                <w:color w:val="000000"/>
                <w:sz w:val="20"/>
                <w:szCs w:val="20"/>
              </w:rPr>
              <w:t> </w:t>
            </w:r>
          </w:p>
        </w:tc>
      </w:tr>
      <w:tr w:rsidRPr="00221383" w:rsidR="00771CAB" w:rsidTr="00B30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771CAB" w:rsidP="00402DBB" w:rsidRDefault="006026E4">
            <w:pPr>
              <w:rPr>
                <w:rFonts w:ascii="Calibri" w:hAnsi="Calibri" w:cs="Calibri"/>
                <w:color w:val="000000"/>
                <w:sz w:val="22"/>
                <w:szCs w:val="22"/>
              </w:rPr>
            </w:pPr>
            <w:r>
              <w:rPr>
                <w:rFonts w:ascii="Calibri" w:hAnsi="Calibri" w:cs="Calibri"/>
                <w:color w:val="000000"/>
                <w:sz w:val="22"/>
                <w:szCs w:val="22"/>
              </w:rPr>
              <w:t>1</w:t>
            </w:r>
            <w:r w:rsidR="00402DBB">
              <w:rPr>
                <w:rFonts w:ascii="Calibri" w:hAnsi="Calibri" w:cs="Calibri"/>
                <w:color w:val="000000"/>
                <w:sz w:val="22"/>
                <w:szCs w:val="22"/>
              </w:rPr>
              <w:t>2</w:t>
            </w:r>
            <w:r w:rsidR="004E264E">
              <w:rPr>
                <w:rFonts w:ascii="Calibri" w:hAnsi="Calibri" w:cs="Calibri"/>
                <w:color w:val="000000"/>
                <w:sz w:val="22"/>
                <w:szCs w:val="22"/>
              </w:rPr>
              <w:t>-nov-19</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771CAB" w:rsidP="00771CAB" w:rsidRDefault="00771CAB">
            <w:pPr>
              <w:rPr>
                <w:rFonts w:ascii="Calibri" w:hAnsi="Calibri"/>
                <w:color w:val="000000"/>
                <w:sz w:val="22"/>
                <w:szCs w:val="22"/>
              </w:rPr>
            </w:pPr>
            <w:r>
              <w:rPr>
                <w:rFonts w:ascii="Calibri" w:hAnsi="Calibri"/>
                <w:color w:val="000000"/>
                <w:sz w:val="22"/>
                <w:szCs w:val="22"/>
              </w:rPr>
              <w:t>VWS</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771CAB" w:rsidP="00771CAB" w:rsidRDefault="00402DBB">
            <w:pPr>
              <w:rPr>
                <w:rFonts w:ascii="Calibri" w:hAnsi="Calibri"/>
                <w:color w:val="000000"/>
                <w:sz w:val="22"/>
                <w:szCs w:val="22"/>
              </w:rPr>
            </w:pPr>
            <w:r>
              <w:rPr>
                <w:rFonts w:ascii="Calibri" w:hAnsi="Calibri" w:cs="Calibri"/>
                <w:color w:val="000000"/>
                <w:sz w:val="22"/>
                <w:szCs w:val="22"/>
              </w:rPr>
              <w:t>Raadpleging</w:t>
            </w:r>
          </w:p>
        </w:tc>
        <w:tc>
          <w:tcPr>
            <w:tcW w:w="4536" w:type="dxa"/>
            <w:tcBorders>
              <w:top w:val="single" w:color="auto" w:sz="4" w:space="0"/>
              <w:left w:val="nil"/>
              <w:bottom w:val="single" w:color="auto" w:sz="4" w:space="0"/>
              <w:right w:val="nil"/>
            </w:tcBorders>
            <w:shd w:val="clear" w:color="auto" w:fill="FFFFFF" w:themeFill="background1"/>
            <w:noWrap/>
          </w:tcPr>
          <w:p w:rsidR="00402DBB" w:rsidP="00402DBB" w:rsidRDefault="00402DBB">
            <w:pPr>
              <w:rPr>
                <w:rFonts w:ascii="Calibri" w:hAnsi="Calibri" w:cs="Calibri"/>
                <w:color w:val="000000"/>
                <w:sz w:val="22"/>
                <w:szCs w:val="22"/>
              </w:rPr>
            </w:pPr>
            <w:r>
              <w:rPr>
                <w:rFonts w:ascii="Calibri" w:hAnsi="Calibri" w:cs="Calibri"/>
                <w:color w:val="000000"/>
                <w:sz w:val="22"/>
                <w:szCs w:val="22"/>
              </w:rPr>
              <w:t>Labelling fragrance allergens</w:t>
            </w:r>
          </w:p>
          <w:p w:rsidR="00771CAB" w:rsidP="006026E4" w:rsidRDefault="00771CAB">
            <w:pPr>
              <w:rPr>
                <w:rFonts w:ascii="Calibri" w:hAnsi="Calibri" w:cs="Calibri"/>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402DBB" w:rsidP="00402DBB" w:rsidRDefault="00D86DFA">
            <w:pPr>
              <w:rPr>
                <w:rFonts w:ascii="Calibri" w:hAnsi="Calibri" w:cs="Calibri"/>
                <w:color w:val="0000FF"/>
                <w:sz w:val="22"/>
                <w:szCs w:val="22"/>
                <w:u w:val="single"/>
              </w:rPr>
            </w:pPr>
            <w:hyperlink w:history="1" r:id="rId7">
              <w:r w:rsidR="00402DBB">
                <w:rPr>
                  <w:rStyle w:val="Hyperlink"/>
                  <w:rFonts w:ascii="Calibri" w:hAnsi="Calibri" w:cs="Calibri"/>
                  <w:sz w:val="22"/>
                  <w:szCs w:val="22"/>
                </w:rPr>
                <w:t>OR</w:t>
              </w:r>
            </w:hyperlink>
            <w:r w:rsidR="00402DBB">
              <w:rPr>
                <w:rFonts w:ascii="Calibri" w:hAnsi="Calibri" w:cs="Calibri"/>
                <w:color w:val="0000FF"/>
                <w:sz w:val="22"/>
                <w:szCs w:val="22"/>
                <w:u w:val="single"/>
              </w:rPr>
              <w:t xml:space="preserve"> </w:t>
            </w:r>
            <w:r w:rsidR="00402DBB">
              <w:rPr>
                <w:rFonts w:eastAsia="Arial Unicode MS" w:asciiTheme="minorHAnsi" w:hAnsiTheme="minorHAnsi"/>
                <w:noProof/>
                <w:sz w:val="20"/>
                <w:szCs w:val="20"/>
              </w:rPr>
              <w:t xml:space="preserve"> (Deadline – 4/2/2020)</w:t>
            </w:r>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212212" w:rsidR="00771CAB" w:rsidP="00B3079F" w:rsidRDefault="00771CAB">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134419" w:rsidP="00470170" w:rsidRDefault="00402DBB">
            <w:pPr>
              <w:pBdr>
                <w:top w:val="nil"/>
                <w:left w:val="nil"/>
                <w:bottom w:val="nil"/>
                <w:right w:val="nil"/>
                <w:between w:val="nil"/>
                <w:bar w:val="nil"/>
              </w:pBdr>
              <w:rPr>
                <w:rFonts w:eastAsia="Arial Unicode MS" w:asciiTheme="minorHAnsi" w:hAnsiTheme="minorHAnsi"/>
                <w:noProof/>
                <w:sz w:val="20"/>
                <w:szCs w:val="20"/>
              </w:rPr>
            </w:pPr>
            <w:r>
              <w:rPr>
                <w:rFonts w:eastAsia="Arial Unicode MS" w:asciiTheme="minorHAnsi" w:hAnsiTheme="minorHAnsi"/>
                <w:noProof/>
                <w:sz w:val="20"/>
                <w:szCs w:val="20"/>
              </w:rPr>
              <w:t>Het betreft een consultatie</w:t>
            </w:r>
            <w:r w:rsidR="003F4E96">
              <w:rPr>
                <w:rFonts w:eastAsia="Arial Unicode MS" w:asciiTheme="minorHAnsi" w:hAnsiTheme="minorHAnsi"/>
                <w:noProof/>
                <w:sz w:val="20"/>
                <w:szCs w:val="20"/>
              </w:rPr>
              <w:t xml:space="preserve"> om na te gaan welke manier van labellen van additionale geurallergenen in cosmetische producten de voorkeur heeft. </w:t>
            </w:r>
            <w:r w:rsidR="00931EF9">
              <w:rPr>
                <w:rFonts w:eastAsia="Arial Unicode MS" w:asciiTheme="minorHAnsi" w:hAnsiTheme="minorHAnsi"/>
                <w:noProof/>
                <w:sz w:val="20"/>
                <w:szCs w:val="20"/>
              </w:rPr>
              <w:t>Het labelen van extra geurallergenen op de verpakking kan problemen veroorzaken met de leesbaarheid van ingrediëntenlijsten. Als alternatief kan gedacht worden aan online labelen (e-labeling), maar dit vereist dat de consument toegang heeft tot internet in de winkel.</w:t>
            </w:r>
          </w:p>
          <w:p w:rsidR="00402DBB" w:rsidP="00470170" w:rsidRDefault="00402DBB">
            <w:pPr>
              <w:pBdr>
                <w:top w:val="nil"/>
                <w:left w:val="nil"/>
                <w:bottom w:val="nil"/>
                <w:right w:val="nil"/>
                <w:between w:val="nil"/>
                <w:bar w:val="nil"/>
              </w:pBdr>
              <w:rPr>
                <w:rFonts w:eastAsia="Arial Unicode MS" w:asciiTheme="minorHAnsi" w:hAnsiTheme="minorHAnsi"/>
                <w:noProof/>
                <w:sz w:val="20"/>
                <w:szCs w:val="20"/>
              </w:rPr>
            </w:pPr>
          </w:p>
          <w:p w:rsidR="00402DBB" w:rsidP="00470170" w:rsidRDefault="00402DBB">
            <w:pPr>
              <w:pBdr>
                <w:top w:val="nil"/>
                <w:left w:val="nil"/>
                <w:bottom w:val="nil"/>
                <w:right w:val="nil"/>
                <w:between w:val="nil"/>
                <w:bar w:val="nil"/>
              </w:pBdr>
              <w:rPr>
                <w:rFonts w:eastAsia="Arial Unicode MS" w:asciiTheme="minorHAnsi" w:hAnsiTheme="minorHAnsi"/>
                <w:noProof/>
                <w:sz w:val="20"/>
                <w:szCs w:val="20"/>
              </w:rPr>
            </w:pPr>
            <w:r>
              <w:rPr>
                <w:rFonts w:eastAsia="Arial Unicode MS" w:asciiTheme="minorHAnsi" w:hAnsiTheme="minorHAnsi"/>
                <w:noProof/>
                <w:sz w:val="20"/>
                <w:szCs w:val="20"/>
              </w:rPr>
              <w:t xml:space="preserve">Het ministerie </w:t>
            </w:r>
            <w:r w:rsidR="005B442F">
              <w:rPr>
                <w:rFonts w:eastAsia="Arial Unicode MS" w:asciiTheme="minorHAnsi" w:hAnsiTheme="minorHAnsi"/>
                <w:noProof/>
                <w:sz w:val="20"/>
                <w:szCs w:val="20"/>
              </w:rPr>
              <w:t xml:space="preserve">is niet voornemens </w:t>
            </w:r>
            <w:r>
              <w:rPr>
                <w:rFonts w:eastAsia="Arial Unicode MS" w:asciiTheme="minorHAnsi" w:hAnsiTheme="minorHAnsi"/>
                <w:noProof/>
                <w:sz w:val="20"/>
                <w:szCs w:val="20"/>
              </w:rPr>
              <w:t xml:space="preserve">om te reageren. </w:t>
            </w:r>
          </w:p>
          <w:p w:rsidRPr="00470170" w:rsidR="00402DBB" w:rsidP="00470170" w:rsidRDefault="00402DBB">
            <w:pPr>
              <w:pBdr>
                <w:top w:val="nil"/>
                <w:left w:val="nil"/>
                <w:bottom w:val="nil"/>
                <w:right w:val="nil"/>
                <w:between w:val="nil"/>
                <w:bar w:val="nil"/>
              </w:pBdr>
              <w:rPr>
                <w:rFonts w:eastAsia="Arial Unicode MS" w:asciiTheme="minorHAnsi" w:hAnsiTheme="minorHAnsi"/>
                <w:noProof/>
                <w:sz w:val="20"/>
                <w:szCs w:val="20"/>
              </w:rPr>
            </w:pPr>
          </w:p>
          <w:p w:rsidRPr="00272820" w:rsidR="00771CAB" w:rsidP="005B442F" w:rsidRDefault="00771CAB">
            <w:pPr>
              <w:pBdr>
                <w:top w:val="nil"/>
                <w:left w:val="nil"/>
                <w:bottom w:val="nil"/>
                <w:right w:val="nil"/>
                <w:between w:val="nil"/>
                <w:bar w:val="nil"/>
              </w:pBdr>
              <w:spacing w:after="240"/>
              <w:rPr>
                <w:rFonts w:eastAsia="Arial Unicode MS" w:asciiTheme="minorHAnsi" w:hAnsiTheme="minorHAnsi"/>
                <w:b/>
                <w:noProof/>
                <w:sz w:val="20"/>
                <w:szCs w:val="20"/>
                <w:highlight w:val="yellow"/>
              </w:rPr>
            </w:pPr>
            <w:r w:rsidRPr="00272820">
              <w:rPr>
                <w:rFonts w:eastAsia="Arial Unicode MS" w:asciiTheme="minorHAnsi" w:hAnsiTheme="minorHAnsi"/>
                <w:b/>
                <w:noProof/>
                <w:sz w:val="20"/>
                <w:szCs w:val="20"/>
              </w:rPr>
              <w:t xml:space="preserve">Behandelvoorstel: </w:t>
            </w:r>
            <w:r w:rsidR="005B442F">
              <w:rPr>
                <w:rFonts w:eastAsia="Arial Unicode MS" w:asciiTheme="minorHAnsi" w:hAnsiTheme="minorHAnsi"/>
                <w:noProof/>
                <w:sz w:val="20"/>
                <w:szCs w:val="20"/>
              </w:rPr>
              <w:t>voor kennisgeving aannemen</w:t>
            </w:r>
          </w:p>
        </w:tc>
      </w:tr>
    </w:tbl>
    <w:p w:rsidRPr="009D058D" w:rsidR="00771CAB" w:rsidP="00771CAB" w:rsidRDefault="00771CAB">
      <w:pPr>
        <w:spacing w:after="200" w:line="276" w:lineRule="auto"/>
        <w:rPr>
          <w:rFonts w:asciiTheme="minorHAnsi" w:hAnsiTheme="minorHAnsi"/>
          <w:b/>
          <w:sz w:val="22"/>
          <w:szCs w:val="22"/>
        </w:rPr>
      </w:pPr>
    </w:p>
    <w:p w:rsidRPr="00221383" w:rsidR="00771CAB" w:rsidP="00771CAB" w:rsidRDefault="00771CAB">
      <w:pPr>
        <w:spacing w:after="200" w:line="276" w:lineRule="auto"/>
        <w:rPr>
          <w:rFonts w:asciiTheme="minorHAnsi" w:hAnsiTheme="minorHAnsi"/>
          <w:b/>
          <w:sz w:val="22"/>
          <w:szCs w:val="22"/>
        </w:rPr>
      </w:pPr>
      <w:r w:rsidRPr="00221383">
        <w:rPr>
          <w:rFonts w:asciiTheme="minorHAnsi" w:hAnsiTheme="minorHAnsi"/>
          <w:b/>
          <w:sz w:val="22"/>
          <w:szCs w:val="22"/>
        </w:rPr>
        <w:t>Bijlage: behandelmogelijkheden EU-voorstellen</w:t>
      </w:r>
    </w:p>
    <w:p w:rsidRPr="00221383" w:rsidR="00771CAB" w:rsidP="00771CAB" w:rsidRDefault="00771CAB">
      <w:pPr>
        <w:rPr>
          <w:rFonts w:asciiTheme="minorHAnsi" w:hAnsiTheme="minorHAnsi"/>
          <w:sz w:val="20"/>
          <w:szCs w:val="20"/>
        </w:rPr>
      </w:pPr>
      <w:r w:rsidRPr="00221383">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221383" w:rsidR="00771CAB" w:rsidP="00771CAB" w:rsidRDefault="00771CAB">
      <w:pPr>
        <w:rPr>
          <w:rFonts w:asciiTheme="minorHAnsi" w:hAnsiTheme="minorHAnsi"/>
          <w:sz w:val="20"/>
          <w:szCs w:val="20"/>
        </w:rPr>
      </w:pPr>
      <w:r w:rsidRPr="00221383">
        <w:rPr>
          <w:rFonts w:asciiTheme="minorHAnsi" w:hAnsiTheme="minorHAnsi"/>
          <w:sz w:val="20"/>
          <w:szCs w:val="20"/>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221383" w:rsidR="00771CAB" w:rsidP="00771CAB" w:rsidRDefault="00771CAB">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221383" w:rsidR="00771CAB" w:rsidTr="00B3079F">
        <w:tc>
          <w:tcPr>
            <w:tcW w:w="2093" w:type="dxa"/>
          </w:tcPr>
          <w:p w:rsidRPr="00221383" w:rsidR="00771CAB" w:rsidP="00B3079F" w:rsidRDefault="00771CAB">
            <w:pPr>
              <w:pStyle w:val="Voetnoottekst"/>
              <w:rPr>
                <w:rFonts w:asciiTheme="minorHAnsi" w:hAnsiTheme="minorHAnsi"/>
                <w:b/>
              </w:rPr>
            </w:pPr>
            <w:r w:rsidRPr="00221383">
              <w:rPr>
                <w:rFonts w:asciiTheme="minorHAnsi" w:hAnsiTheme="minorHAnsi"/>
                <w:b/>
              </w:rPr>
              <w:t>Soort Instrument</w:t>
            </w:r>
          </w:p>
        </w:tc>
        <w:tc>
          <w:tcPr>
            <w:tcW w:w="6946" w:type="dxa"/>
          </w:tcPr>
          <w:p w:rsidRPr="00221383" w:rsidR="00771CAB" w:rsidP="00B3079F" w:rsidRDefault="00771CAB">
            <w:pPr>
              <w:pStyle w:val="Voetnoottekst"/>
              <w:rPr>
                <w:rFonts w:asciiTheme="minorHAnsi" w:hAnsiTheme="minorHAnsi"/>
                <w:b/>
              </w:rPr>
            </w:pPr>
            <w:r w:rsidRPr="00221383">
              <w:rPr>
                <w:rFonts w:asciiTheme="minorHAnsi" w:hAnsiTheme="minorHAnsi"/>
                <w:b/>
              </w:rPr>
              <w:t>Toelichting</w:t>
            </w:r>
          </w:p>
        </w:tc>
        <w:tc>
          <w:tcPr>
            <w:tcW w:w="5103" w:type="dxa"/>
          </w:tcPr>
          <w:p w:rsidRPr="00221383" w:rsidR="00771CAB" w:rsidP="00B3079F" w:rsidRDefault="00771CAB">
            <w:pPr>
              <w:pStyle w:val="Voetnoottekst"/>
              <w:rPr>
                <w:rFonts w:asciiTheme="minorHAnsi" w:hAnsiTheme="minorHAnsi"/>
                <w:b/>
              </w:rPr>
            </w:pPr>
            <w:r w:rsidRPr="00221383">
              <w:rPr>
                <w:rFonts w:asciiTheme="minorHAnsi" w:hAnsiTheme="minorHAnsi"/>
                <w:b/>
              </w:rPr>
              <w:t xml:space="preserve">Mogelijke beïnvloedingsmomenten </w:t>
            </w: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p>
          <w:p w:rsidRPr="00221383" w:rsidR="00771CAB" w:rsidP="00B3079F" w:rsidRDefault="00771CAB">
            <w:pPr>
              <w:pStyle w:val="Voetnoottekst"/>
              <w:rPr>
                <w:rFonts w:asciiTheme="minorHAnsi" w:hAnsiTheme="minorHAnsi"/>
                <w:i/>
              </w:rPr>
            </w:pPr>
            <w:r w:rsidRPr="00221383">
              <w:rPr>
                <w:rFonts w:asciiTheme="minorHAnsi" w:hAnsiTheme="minorHAnsi"/>
                <w:i/>
              </w:rPr>
              <w:lastRenderedPageBreak/>
              <w:t>Wetgevende, bindende rechtshandelingen</w:t>
            </w:r>
            <w:r w:rsidRPr="00221383">
              <w:rPr>
                <w:rStyle w:val="Voetnootmarkering"/>
                <w:rFonts w:asciiTheme="minorHAnsi" w:hAnsiTheme="minorHAnsi"/>
                <w:i/>
              </w:rPr>
              <w:footnoteReference w:id="1"/>
            </w:r>
            <w:r w:rsidRPr="00221383">
              <w:rPr>
                <w:rFonts w:asciiTheme="minorHAnsi" w:hAnsiTheme="minorHAnsi"/>
                <w:i/>
              </w:rPr>
              <w:t xml:space="preserve"> </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lastRenderedPageBreak/>
              <w:t>Verordening</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ambtenaren of Commissaris Europese Commissie (de ‘auteurs’) uitnodigen voor briefing/gesprek, evt. via videoconferentie.</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subsidiariteitstoets overwegen: let op termijn (zie hieronder).</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behandelvoorbehoud overwegen: let op termijn (zie hieronder).</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ad-hoc rapporteur(s) binnen de commissie(s) benoemen.</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tijdens overleg met kabinet NL onderhandelingsinzet aan de orde stellen, evt. aan de hand van het “BNC-fiche”.</w:t>
            </w:r>
            <w:r w:rsidRPr="00221383">
              <w:rPr>
                <w:rStyle w:val="Voetnootmarkering"/>
                <w:rFonts w:asciiTheme="minorHAnsi" w:hAnsiTheme="minorHAnsi"/>
              </w:rPr>
              <w:footnoteReference w:id="2"/>
            </w:r>
            <w:r w:rsidRPr="00221383">
              <w:rPr>
                <w:rFonts w:asciiTheme="minorHAnsi" w:hAnsiTheme="minorHAnsi"/>
              </w:rPr>
              <w:t xml:space="preserve"> </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EP-rapporteur uitnodigen, evt. via videoconferentie.</w:t>
            </w:r>
            <w:r w:rsidRPr="00221383">
              <w:rPr>
                <w:rFonts w:asciiTheme="minorHAnsi" w:hAnsiTheme="minorHAnsi"/>
              </w:rPr>
              <w:br/>
            </w:r>
            <w:r w:rsidRPr="00221383">
              <w:rPr>
                <w:rFonts w:asciiTheme="minorHAnsi" w:hAnsiTheme="minorHAnsi"/>
              </w:rPr>
              <w:br/>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NB: Pas na afronding van het onderhandelingstraject: nationale wetgevingstraject monitoren (i.h.k.v. omzetting naar nationale wetgeving).</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Richtlijn </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221383" w:rsidR="00771CAB" w:rsidP="00B3079F" w:rsidRDefault="00771CAB">
            <w:pPr>
              <w:pStyle w:val="Voetnoottekst"/>
              <w:numPr>
                <w:ilvl w:val="0"/>
                <w:numId w:val="2"/>
              </w:numPr>
              <w:ind w:left="317" w:hanging="283"/>
              <w:rPr>
                <w:rFonts w:asciiTheme="minorHAnsi" w:hAnsiTheme="minorHAnsi"/>
              </w:rPr>
            </w:pP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(Besluit)</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221383">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w:t>
            </w:r>
            <w:r w:rsidRPr="00221383">
              <w:rPr>
                <w:rFonts w:asciiTheme="minorHAnsi" w:hAnsiTheme="minorHAnsi"/>
              </w:rPr>
              <w:lastRenderedPageBreak/>
              <w:t xml:space="preserve">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221383" w:rsidR="00771CAB" w:rsidP="00B3079F" w:rsidRDefault="00771CAB">
            <w:pPr>
              <w:pStyle w:val="Voetnoottekst"/>
              <w:numPr>
                <w:ilvl w:val="0"/>
                <w:numId w:val="2"/>
              </w:numPr>
              <w:ind w:left="317" w:hanging="283"/>
              <w:rPr>
                <w:rFonts w:asciiTheme="minorHAnsi" w:hAnsiTheme="minorHAnsi"/>
              </w:rPr>
            </w:pP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r w:rsidRPr="00221383">
              <w:rPr>
                <w:rFonts w:asciiTheme="minorHAnsi" w:hAnsiTheme="minorHAnsi"/>
                <w:i/>
              </w:rPr>
              <w:t>Niet-wetgevende bindende rechtshandelingen</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Gedelegeerde handeling</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221383" w:rsidR="00771CAB" w:rsidP="00B3079F" w:rsidRDefault="00771CAB">
            <w:pPr>
              <w:pStyle w:val="Voetnoottekst"/>
              <w:ind w:left="360"/>
              <w:rPr>
                <w:rFonts w:asciiTheme="minorHAnsi" w:hAnsiTheme="minorHAnsi"/>
              </w:rPr>
            </w:pP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Uitvoerings-handeling</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 per brief of tijdens algemeen overleg/debat bevragen over stand van zaken en appreciatie EU onderhandelingen en NL inzet.</w:t>
            </w:r>
          </w:p>
          <w:p w:rsidRPr="00221383" w:rsidR="00771CAB" w:rsidP="00B3079F" w:rsidRDefault="00771CAB">
            <w:pPr>
              <w:numPr>
                <w:ilvl w:val="0"/>
                <w:numId w:val="1"/>
              </w:numPr>
              <w:rPr>
                <w:rFonts w:asciiTheme="minorHAnsi" w:hAnsiTheme="minorHAnsi"/>
                <w:sz w:val="20"/>
                <w:szCs w:val="20"/>
              </w:rPr>
            </w:pPr>
            <w:r w:rsidRPr="00221383">
              <w:rPr>
                <w:rFonts w:asciiTheme="minorHAnsi" w:hAnsiTheme="minorHAnsi"/>
                <w:color w:val="000000"/>
                <w:sz w:val="20"/>
                <w:szCs w:val="20"/>
              </w:rPr>
              <w:t xml:space="preserve">op basis van </w:t>
            </w:r>
            <w:r w:rsidRPr="00221383">
              <w:rPr>
                <w:rFonts w:asciiTheme="minorHAnsi" w:hAnsiTheme="minorHAnsi"/>
                <w:sz w:val="20"/>
                <w:szCs w:val="20"/>
              </w:rPr>
              <w:t xml:space="preserve">de </w:t>
            </w:r>
            <w:hyperlink w:history="1" r:id="rId8">
              <w:r w:rsidRPr="00221383">
                <w:rPr>
                  <w:rFonts w:asciiTheme="minorHAnsi" w:hAnsiTheme="minorHAnsi"/>
                  <w:sz w:val="20"/>
                  <w:szCs w:val="20"/>
                  <w:u w:val="single"/>
                </w:rPr>
                <w:t>(gewijzigde) motie Van Gent</w:t>
              </w:r>
            </w:hyperlink>
            <w:r w:rsidRPr="00221383">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Handelingen vastgesteld volgens de regelgevingsprocedure met toetsing</w:t>
            </w:r>
          </w:p>
        </w:tc>
        <w:tc>
          <w:tcPr>
            <w:tcW w:w="6946" w:type="dxa"/>
          </w:tcPr>
          <w:p w:rsidRPr="00221383" w:rsidR="00771CAB" w:rsidP="00B3079F" w:rsidRDefault="00771CAB">
            <w:pPr>
              <w:rPr>
                <w:rFonts w:asciiTheme="minorHAnsi" w:hAnsiTheme="minorHAnsi"/>
                <w:sz w:val="20"/>
                <w:szCs w:val="20"/>
              </w:rPr>
            </w:pPr>
            <w:r w:rsidRPr="00221383">
              <w:rPr>
                <w:rFonts w:asciiTheme="minorHAnsi" w:hAnsiTheme="minorHAnsi"/>
                <w:sz w:val="20"/>
                <w:szCs w:val="20"/>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w:t>
            </w:r>
          </w:p>
          <w:p w:rsidRPr="00221383" w:rsidR="00771CAB" w:rsidP="00B3079F" w:rsidRDefault="00771CAB">
            <w:pPr>
              <w:pStyle w:val="Voetnoottekst"/>
              <w:numPr>
                <w:ilvl w:val="0"/>
                <w:numId w:val="1"/>
              </w:numPr>
              <w:rPr>
                <w:rFonts w:asciiTheme="minorHAnsi" w:hAnsiTheme="minorHAnsi"/>
              </w:rPr>
            </w:pP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Bijzondere rechtshandelingen</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221383" w:rsidR="00771CAB" w:rsidP="00B3079F" w:rsidRDefault="00771CAB">
            <w:pPr>
              <w:pStyle w:val="Voetnoottekst"/>
              <w:rPr>
                <w:rFonts w:asciiTheme="minorHAnsi" w:hAnsiTheme="minorHAnsi"/>
              </w:rPr>
            </w:pP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lastRenderedPageBreak/>
              <w:t>kabinetsappreciatie (‘BNC-fiche’) vragen, bespreken.</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ambtenaren of Commissaris van Europese Commissie (de ‘auteurs’) uitnodigen voor briefing/gesprek, evt. via videoconferentie</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lastRenderedPageBreak/>
              <w:t>indien het Europees Parlement een rapporteur heeft aangesteld kan deze desgewenst worden uitgenodigd voor een gesprek.</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uw commissie kan op dit onderwerp een ad-hoc rapporteur benoemen</w:t>
            </w:r>
          </w:p>
          <w:p w:rsidRPr="00221383" w:rsidR="00771CAB" w:rsidP="00B3079F" w:rsidRDefault="00771CAB">
            <w:pPr>
              <w:pStyle w:val="Voetnoottekst"/>
              <w:ind w:left="360"/>
              <w:rPr>
                <w:rFonts w:asciiTheme="minorHAnsi" w:hAnsiTheme="minorHAnsi"/>
              </w:rPr>
            </w:pPr>
            <w:r w:rsidRPr="00221383">
              <w:rPr>
                <w:rFonts w:asciiTheme="minorHAnsi" w:hAnsiTheme="minorHAnsi"/>
              </w:rPr>
              <w:t>nationale wetgevingstraject (i.h.k.v. omzetting van richtlijn naar nationale wetgeving).</w:t>
            </w: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r w:rsidRPr="00221383">
              <w:rPr>
                <w:rFonts w:asciiTheme="minorHAnsi" w:hAnsiTheme="minorHAnsi"/>
                <w:i/>
              </w:rPr>
              <w:lastRenderedPageBreak/>
              <w:t>Niet-bindende handelingen (soft-law)</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Advies, aanbeveling, mededeling</w:t>
            </w:r>
          </w:p>
          <w:p w:rsidRPr="00221383" w:rsidR="00771CAB" w:rsidP="00B3079F" w:rsidRDefault="00771CAB">
            <w:pPr>
              <w:jc w:val="right"/>
              <w:rPr>
                <w:rFonts w:asciiTheme="minorHAnsi" w:hAnsiTheme="minorHAnsi"/>
                <w:sz w:val="20"/>
                <w:szCs w:val="20"/>
              </w:rPr>
            </w:pPr>
          </w:p>
          <w:p w:rsidRPr="00221383" w:rsidR="00771CAB" w:rsidP="00B3079F" w:rsidRDefault="00771CAB">
            <w:pPr>
              <w:jc w:val="right"/>
              <w:rPr>
                <w:rFonts w:asciiTheme="minorHAnsi" w:hAnsiTheme="minorHAnsi"/>
                <w:sz w:val="20"/>
                <w:szCs w:val="20"/>
              </w:rPr>
            </w:pPr>
          </w:p>
          <w:p w:rsidRPr="00221383" w:rsidR="00771CAB" w:rsidP="00B3079F" w:rsidRDefault="00771CAB">
            <w:pPr>
              <w:jc w:val="right"/>
              <w:rPr>
                <w:rFonts w:asciiTheme="minorHAnsi" w:hAnsiTheme="minorHAnsi"/>
                <w:sz w:val="20"/>
                <w:szCs w:val="20"/>
              </w:rPr>
            </w:pPr>
          </w:p>
          <w:p w:rsidRPr="00221383" w:rsidR="00771CAB" w:rsidP="00B3079F" w:rsidRDefault="00771CAB">
            <w:pPr>
              <w:jc w:val="right"/>
              <w:rPr>
                <w:rFonts w:asciiTheme="minorHAnsi" w:hAnsiTheme="minorHAnsi"/>
                <w:sz w:val="20"/>
                <w:szCs w:val="20"/>
              </w:rPr>
            </w:pPr>
          </w:p>
          <w:p w:rsidRPr="00221383" w:rsidR="00771CAB" w:rsidP="00B3079F" w:rsidRDefault="00771CAB">
            <w:pPr>
              <w:jc w:val="right"/>
              <w:rPr>
                <w:rFonts w:asciiTheme="minorHAnsi" w:hAnsiTheme="minorHAnsi"/>
                <w:sz w:val="20"/>
                <w:szCs w:val="20"/>
              </w:rPr>
            </w:pPr>
          </w:p>
        </w:tc>
        <w:tc>
          <w:tcPr>
            <w:tcW w:w="6946" w:type="dxa"/>
          </w:tcPr>
          <w:p w:rsidRPr="00221383" w:rsidR="00771CAB" w:rsidP="00B3079F" w:rsidRDefault="00771CAB">
            <w:pPr>
              <w:pStyle w:val="Voetnoottekst"/>
              <w:spacing w:before="100" w:beforeAutospacing="1" w:after="100" w:afterAutospacing="1"/>
              <w:rPr>
                <w:rFonts w:asciiTheme="minorHAnsi" w:hAnsiTheme="minorHAnsi"/>
              </w:rPr>
            </w:pPr>
            <w:r w:rsidRPr="00221383">
              <w:rPr>
                <w:rFonts w:asciiTheme="minorHAnsi" w:hAnsiTheme="minorHAnsi"/>
              </w:rPr>
              <w:t xml:space="preserve">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 </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r w:rsidRPr="00221383">
              <w:rPr>
                <w:rFonts w:asciiTheme="minorHAnsi" w:hAnsiTheme="minorHAnsi"/>
                <w:i/>
              </w:rPr>
              <w:t xml:space="preserve">Overige handelingen en instrumenten </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Routekaart, actieplannen, strategie, agenda </w:t>
            </w:r>
          </w:p>
        </w:tc>
        <w:tc>
          <w:tcPr>
            <w:tcW w:w="6946" w:type="dxa"/>
          </w:tcPr>
          <w:p w:rsidRPr="00221383" w:rsidR="00771CAB" w:rsidP="00B3079F" w:rsidRDefault="00771CAB">
            <w:pPr>
              <w:pStyle w:val="Voetnoottekst"/>
              <w:rPr>
                <w:rFonts w:asciiTheme="minorHAnsi" w:hAnsiTheme="minorHAnsi"/>
              </w:rPr>
            </w:pPr>
            <w:r w:rsidRPr="00221383">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221383">
              <w:rPr>
                <w:rStyle w:val="Zwaar"/>
                <w:rFonts w:cs="Arial" w:asciiTheme="minorHAnsi" w:hAnsiTheme="minorHAnsi"/>
                <w:b w:val="0"/>
              </w:rPr>
              <w:t>voor nieuwe initiatieven</w:t>
            </w:r>
            <w:r w:rsidRPr="00221383">
              <w:rPr>
                <w:rFonts w:cs="Arial" w:asciiTheme="minorHAnsi" w:hAnsiTheme="minorHAnsi"/>
              </w:rPr>
              <w:t xml:space="preserve"> wordt uitgelegd wat het probleem is, wat de Commissie wil bereiken, waarom juist de EU maatregelen moet nemen, wat de toegevoegde waarde is en welke alternatieven er zijn. In deze documenten</w:t>
            </w:r>
            <w:r w:rsidRPr="00221383">
              <w:rPr>
                <w:rStyle w:val="Zwaar"/>
                <w:rFonts w:cs="Arial" w:asciiTheme="minorHAnsi" w:hAnsiTheme="minorHAnsi"/>
              </w:rPr>
              <w:t xml:space="preserve"> </w:t>
            </w:r>
            <w:r w:rsidRPr="00221383">
              <w:rPr>
                <w:rStyle w:val="Zwaar"/>
                <w:rFonts w:cs="Arial" w:asciiTheme="minorHAnsi" w:hAnsiTheme="minorHAnsi"/>
                <w:b w:val="0"/>
              </w:rPr>
              <w:t>voor evaluaties en geschiktheidscontroles</w:t>
            </w:r>
            <w:r w:rsidRPr="00221383">
              <w:rPr>
                <w:rFonts w:cs="Arial" w:asciiTheme="minorHAnsi" w:hAnsiTheme="minorHAnsi"/>
              </w:rPr>
              <w:t xml:space="preserve"> wordt bepaald wat er geëvalueerd moet worden en welke aspecten moeten worden onderzocht. </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en/of kabinet vragen om NL inzet (per commissiebrief of tijdens algemeen overleg/debat).</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Groen- en witboek</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Groenboek: een discussiestuk, waarmee de Europese Commissie de stand van zaken inventariseert omtrent een onderwerp. Ook doet ze aanbevelingen voor nieuw beleid. </w:t>
            </w: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r w:rsidRPr="00221383">
              <w:rPr>
                <w:rFonts w:asciiTheme="minorHAnsi" w:hAnsiTheme="minorHAnsi"/>
              </w:rPr>
              <w:t>Witboek: hierin zet de Europese Commissie uiteen hoe zij bepaalde doelen wil bereiken. Vaak worden in een witboek al concrete voorstellen uitgewerkt en toegelicht.</w:t>
            </w:r>
          </w:p>
          <w:p w:rsidRPr="00221383" w:rsidR="00771CAB" w:rsidP="00B3079F" w:rsidRDefault="00771CAB">
            <w:pPr>
              <w:pStyle w:val="Voetnoottekst"/>
              <w:rPr>
                <w:rFonts w:asciiTheme="minorHAnsi" w:hAnsiTheme="minorHAnsi"/>
              </w:rPr>
            </w:pPr>
            <w:r w:rsidRPr="00221383">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desgewenst ambtenaren EC of Europees Commissaris uitnodigen voor een toelichting.</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in commissieverband (via schriftelijke inbreng in de vorm van een politieke dialoog) of als lid, burger of via fracties een reactie sturen aan de Europese Commissie.</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 xml:space="preserve">kabinet stuurt de Kamer het concept van haar reactie op Groen- en Witboeken tenminste dertig dagen voor het verstrijken van de reactietermijn bij de Europese Commissie. Ook de definitieve reactie wordt in afschrift aan de Kamer gezonden. Deze reactie kan in </w:t>
            </w:r>
            <w:r w:rsidRPr="00221383">
              <w:rPr>
                <w:rFonts w:asciiTheme="minorHAnsi" w:hAnsiTheme="minorHAnsi"/>
              </w:rPr>
              <w:lastRenderedPageBreak/>
              <w:t>behandeling worden genomen, bv. door te agenderen voor een algemeen overleg/debat.</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lastRenderedPageBreak/>
              <w:t>Openbare raadpleging (consultatie)</w:t>
            </w:r>
          </w:p>
        </w:tc>
        <w:tc>
          <w:tcPr>
            <w:tcW w:w="6946" w:type="dxa"/>
          </w:tcPr>
          <w:p w:rsidRPr="00221383" w:rsidR="00771CAB" w:rsidP="00B3079F" w:rsidRDefault="00771CAB">
            <w:pPr>
              <w:pStyle w:val="Voetnoottekst"/>
              <w:spacing w:before="100" w:beforeAutospacing="1" w:after="100" w:afterAutospacing="1"/>
              <w:rPr>
                <w:rFonts w:asciiTheme="minorHAnsi" w:hAnsiTheme="minorHAnsi"/>
              </w:rPr>
            </w:pPr>
            <w:r w:rsidRPr="00221383">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9">
              <w:r w:rsidRPr="00221383">
                <w:rPr>
                  <w:rStyle w:val="Hyperlink"/>
                  <w:rFonts w:asciiTheme="minorHAnsi" w:hAnsiTheme="minorHAnsi"/>
                </w:rPr>
                <w:t>Bekijk alle openbare raadplegingen op "Uw stem in Europa"</w:t>
              </w:r>
            </w:hyperlink>
            <w:r w:rsidRPr="00221383">
              <w:rPr>
                <w:rFonts w:asciiTheme="minorHAnsi" w:hAnsiTheme="minorHAnsi"/>
              </w:rPr>
              <w:t xml:space="preserve"> . </w:t>
            </w:r>
          </w:p>
        </w:tc>
        <w:tc>
          <w:tcPr>
            <w:tcW w:w="5103" w:type="dxa"/>
          </w:tcPr>
          <w:p w:rsidRPr="00221383" w:rsidR="00771CAB" w:rsidP="00B3079F" w:rsidRDefault="00771CAB">
            <w:pPr>
              <w:pStyle w:val="Voetnoottekst"/>
              <w:numPr>
                <w:ilvl w:val="0"/>
                <w:numId w:val="1"/>
              </w:numPr>
              <w:autoSpaceDE w:val="0"/>
              <w:autoSpaceDN w:val="0"/>
              <w:rPr>
                <w:rFonts w:asciiTheme="minorHAnsi" w:hAnsiTheme="minorHAnsi"/>
              </w:rPr>
            </w:pPr>
            <w:r w:rsidRPr="00221383">
              <w:rPr>
                <w:rFonts w:asciiTheme="minorHAnsi" w:hAnsiTheme="minorHAnsi"/>
              </w:rPr>
              <w:t>als burger, lid, fractie of in commissieverband (via schriftelijke inbreng in de vorm van een politieke dialoog). meedoen aan de openbare raadpleging.</w:t>
            </w:r>
          </w:p>
          <w:p w:rsidRPr="00221383" w:rsidR="00771CAB" w:rsidP="00B3079F" w:rsidRDefault="00771CAB">
            <w:pPr>
              <w:pStyle w:val="Voetnoottekst"/>
              <w:numPr>
                <w:ilvl w:val="0"/>
                <w:numId w:val="1"/>
              </w:numPr>
              <w:autoSpaceDE w:val="0"/>
              <w:autoSpaceDN w:val="0"/>
              <w:rPr>
                <w:rFonts w:asciiTheme="minorHAnsi" w:hAnsiTheme="minorHAnsi"/>
              </w:rPr>
            </w:pPr>
            <w:r w:rsidRPr="00221383">
              <w:rPr>
                <w:rFonts w:asciiTheme="minorHAnsi" w:hAnsiTheme="minorHAnsi"/>
              </w:rPr>
              <w:t>kabinet verzoeken om de concept-kabinetsreactie naar de Kamer te sturen voordat de definitieve versie naar de Europese Commissie wordt gestuurd, teneinde desgewenst hierover met de bewindspersoon in gesprek te treden.</w:t>
            </w:r>
          </w:p>
          <w:p w:rsidRPr="00221383" w:rsidR="00771CAB" w:rsidP="00B3079F" w:rsidRDefault="00771CAB">
            <w:pPr>
              <w:pStyle w:val="Voetnoottekst"/>
              <w:numPr>
                <w:ilvl w:val="0"/>
                <w:numId w:val="1"/>
              </w:numPr>
              <w:autoSpaceDE w:val="0"/>
              <w:autoSpaceDN w:val="0"/>
              <w:rPr>
                <w:rFonts w:asciiTheme="minorHAnsi" w:hAnsiTheme="minorHAnsi"/>
              </w:rPr>
            </w:pPr>
            <w:r w:rsidRPr="00221383">
              <w:rPr>
                <w:rFonts w:asciiTheme="minorHAnsi" w:hAnsiTheme="minorHAnsi"/>
              </w:rPr>
              <w:t>de Kamer ontvangt krachtens de standaard-informatieafspraken de definitieve kabinetsreactie op alle consultaties van de Europese Commissie waarop het kabinet reageert.</w:t>
            </w: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r w:rsidRPr="00221383">
              <w:rPr>
                <w:rFonts w:asciiTheme="minorHAnsi" w:hAnsiTheme="minorHAnsi"/>
                <w:i/>
              </w:rPr>
              <w:t>Uitgelicht: twee specifieke parlementaire instrumenten bij nieuw gepubliceerde EU-voorstellen</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Subsidiariteitstoets </w:t>
            </w:r>
          </w:p>
          <w:p w:rsidRPr="00221383" w:rsidR="00771CAB" w:rsidP="00B3079F" w:rsidRDefault="00771CAB">
            <w:pPr>
              <w:pStyle w:val="Voetnoottekst"/>
              <w:rPr>
                <w:rFonts w:asciiTheme="minorHAnsi" w:hAnsiTheme="minorHAnsi"/>
              </w:rPr>
            </w:pPr>
            <w:r w:rsidRPr="00221383">
              <w:rPr>
                <w:rFonts w:asciiTheme="minorHAnsi" w:hAnsiTheme="minorHAnsi"/>
              </w:rPr>
              <w:t>(richting EU)</w:t>
            </w:r>
          </w:p>
        </w:tc>
        <w:tc>
          <w:tcPr>
            <w:tcW w:w="6946" w:type="dxa"/>
          </w:tcPr>
          <w:p w:rsidRPr="00221383" w:rsidR="00771CAB" w:rsidP="00B3079F" w:rsidRDefault="00771CAB">
            <w:pPr>
              <w:pStyle w:val="Lijstalinea"/>
              <w:ind w:left="0"/>
              <w:rPr>
                <w:rFonts w:asciiTheme="minorHAnsi" w:hAnsiTheme="minorHAnsi"/>
                <w:sz w:val="20"/>
                <w:szCs w:val="20"/>
              </w:rPr>
            </w:pPr>
            <w:r w:rsidRPr="00221383">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221383">
              <w:rPr>
                <w:rFonts w:asciiTheme="minorHAnsi" w:hAnsiTheme="minorHAnsi" w:cstheme="minorHAnsi"/>
                <w:color w:val="000000" w:themeColor="text1"/>
                <w:sz w:val="20"/>
                <w:szCs w:val="20"/>
              </w:rPr>
              <w:t>Elk parlement krijgt 2 stemmen, maar bij een bicameraal stelsel, zoals in Nederland, krijgt elke kamer 1 stem</w:t>
            </w:r>
            <w:r w:rsidRPr="00221383">
              <w:rPr>
                <w:rFonts w:asciiTheme="minorHAnsi" w:hAnsiTheme="minorHAnsi"/>
                <w:sz w:val="20"/>
                <w:szCs w:val="20"/>
              </w:rPr>
              <w:t>.</w:t>
            </w:r>
            <w:r w:rsidRPr="00221383">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bij wetgevende EU-voorstellen kan een Kamercommissie besluiten tot het uitvoeren van een subsidiariteitstoets. Let op: dit moet binnen acht weken na het uitkomen van alle taalversies van het voorstel.</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kabinetsappreciatie (‘BNC-fiche’) komt voor aangekondigde subsidiariteitstoetsen binnen drie weken t.b.v. een snelle behandeling.</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 xml:space="preserve">met andere parlementen in overleg treden t.b.v. behalen meerderheid voor ’gele kaart’ (1/3 stemmen) via parlementaire vertegenwoordiging en/of fractielijnen. </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Behandel-voorbehoud (richting regering)</w:t>
            </w:r>
          </w:p>
        </w:tc>
        <w:tc>
          <w:tcPr>
            <w:tcW w:w="6946" w:type="dxa"/>
          </w:tcPr>
          <w:p w:rsidRPr="00221383" w:rsidR="00771CAB" w:rsidP="00B3079F" w:rsidRDefault="00771CAB">
            <w:pPr>
              <w:pStyle w:val="Lijstalinea"/>
              <w:ind w:left="34"/>
              <w:rPr>
                <w:rFonts w:asciiTheme="minorHAnsi" w:hAnsiTheme="minorHAnsi"/>
                <w:sz w:val="20"/>
                <w:szCs w:val="20"/>
              </w:rPr>
            </w:pPr>
            <w:r w:rsidRPr="00221383">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w:t>
            </w:r>
            <w:r w:rsidRPr="00221383">
              <w:rPr>
                <w:rFonts w:asciiTheme="minorHAnsi" w:hAnsiTheme="minorHAnsi"/>
                <w:sz w:val="20"/>
                <w:szCs w:val="20"/>
              </w:rPr>
              <w:lastRenderedPageBreak/>
              <w:t xml:space="preserve">onderhandelingen en over een eventueel vervolgoverleg. Deze afspraken worden in een brief aan het kabinet vastgelegd. Zodra het nadere overleg heeft plaatsgevonden, wordt het behandelvoorbehoud opgeheven. </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lastRenderedPageBreak/>
              <w:t>bij wetgevende EU-voorstellen kan een commissie besluiten tot het uitvoeren van een zgn. ‘behandelvoorbehoud’. Over deze brief moet plenair gestemd worden (let op de termijnen).</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tijdens een speciaal overleg kan de commissie afspraken maken over informatieverstrekking (bv. in kwartaalrapportages) zolang het desbetreffende dossier in onderhandeling is.</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lastRenderedPageBreak/>
              <w:t>kabinetsappreciatie (‘BNC-fiche’) komt voor aangekondigde behandelvoorbehouden binnen drie weken t.b.v. een snelle behandeling.</w:t>
            </w:r>
          </w:p>
          <w:p w:rsidRPr="00221383" w:rsidR="00771CAB" w:rsidP="00B3079F" w:rsidRDefault="00771CAB">
            <w:pPr>
              <w:pStyle w:val="Voetnoottekst"/>
              <w:rPr>
                <w:rFonts w:asciiTheme="minorHAnsi" w:hAnsiTheme="minorHAnsi"/>
              </w:rPr>
            </w:pPr>
          </w:p>
        </w:tc>
      </w:tr>
    </w:tbl>
    <w:p w:rsidRPr="00221383" w:rsidR="00771CAB" w:rsidP="00771CAB" w:rsidRDefault="00771CAB">
      <w:pPr>
        <w:rPr>
          <w:rFonts w:asciiTheme="minorHAnsi" w:hAnsiTheme="minorHAnsi"/>
          <w:sz w:val="20"/>
          <w:szCs w:val="20"/>
        </w:rPr>
      </w:pPr>
    </w:p>
    <w:p w:rsidRPr="00221383" w:rsidR="00771CAB" w:rsidP="00771CAB" w:rsidRDefault="00771CAB">
      <w:pPr>
        <w:rPr>
          <w:rFonts w:asciiTheme="minorHAnsi" w:hAnsiTheme="minorHAnsi"/>
        </w:rPr>
      </w:pPr>
    </w:p>
    <w:p w:rsidR="00771CAB" w:rsidP="00771CAB" w:rsidRDefault="00771CAB"/>
    <w:p w:rsidR="00451F3B" w:rsidRDefault="00D86DFA"/>
    <w:sectPr w:rsidR="00451F3B"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CAB" w:rsidRDefault="00771CAB" w:rsidP="00771CAB">
      <w:r>
        <w:separator/>
      </w:r>
    </w:p>
  </w:endnote>
  <w:endnote w:type="continuationSeparator" w:id="0">
    <w:p w:rsidR="00771CAB" w:rsidRDefault="00771CAB" w:rsidP="00771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CAB" w:rsidRDefault="00771CAB" w:rsidP="00771CAB">
      <w:r>
        <w:separator/>
      </w:r>
    </w:p>
  </w:footnote>
  <w:footnote w:type="continuationSeparator" w:id="0">
    <w:p w:rsidR="00771CAB" w:rsidRDefault="00771CAB" w:rsidP="00771CAB">
      <w:r>
        <w:continuationSeparator/>
      </w:r>
    </w:p>
  </w:footnote>
  <w:footnote w:id="1">
    <w:p w:rsidR="00771CAB" w:rsidRDefault="00771CAB" w:rsidP="00771CAB">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771CAB" w:rsidRPr="00B45904" w:rsidRDefault="00771CAB" w:rsidP="00771CAB">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2343A89"/>
    <w:multiLevelType w:val="hybridMultilevel"/>
    <w:tmpl w:val="770EB6C0"/>
    <w:lvl w:ilvl="0" w:tplc="5BB22986">
      <w:start w:val="5"/>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73124299"/>
    <w:multiLevelType w:val="hybridMultilevel"/>
    <w:tmpl w:val="AEBAB20E"/>
    <w:lvl w:ilvl="0" w:tplc="EB501A5C">
      <w:start w:val="16"/>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CAB"/>
    <w:rsid w:val="0003444D"/>
    <w:rsid w:val="0009530C"/>
    <w:rsid w:val="00104C5F"/>
    <w:rsid w:val="00134419"/>
    <w:rsid w:val="00165F4D"/>
    <w:rsid w:val="001F3897"/>
    <w:rsid w:val="003103A0"/>
    <w:rsid w:val="003C261A"/>
    <w:rsid w:val="003F4E96"/>
    <w:rsid w:val="003F7103"/>
    <w:rsid w:val="00402DBB"/>
    <w:rsid w:val="00410CDC"/>
    <w:rsid w:val="00470170"/>
    <w:rsid w:val="004A4758"/>
    <w:rsid w:val="004E264E"/>
    <w:rsid w:val="00566027"/>
    <w:rsid w:val="005B442F"/>
    <w:rsid w:val="006026E4"/>
    <w:rsid w:val="006C06A8"/>
    <w:rsid w:val="006E309D"/>
    <w:rsid w:val="00701C69"/>
    <w:rsid w:val="00771CAB"/>
    <w:rsid w:val="0083521C"/>
    <w:rsid w:val="008F53C1"/>
    <w:rsid w:val="00931EF9"/>
    <w:rsid w:val="009D058D"/>
    <w:rsid w:val="00AA7D91"/>
    <w:rsid w:val="00C24752"/>
    <w:rsid w:val="00D86DFA"/>
    <w:rsid w:val="00DA6C99"/>
    <w:rsid w:val="00DC27A2"/>
    <w:rsid w:val="00E6059F"/>
    <w:rsid w:val="00ED3242"/>
    <w:rsid w:val="00F872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80468F-374B-421D-9A1F-9A586691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71CA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71CAB"/>
    <w:rPr>
      <w:color w:val="0000FF"/>
      <w:u w:val="single"/>
    </w:rPr>
  </w:style>
  <w:style w:type="character" w:styleId="Zwaar">
    <w:name w:val="Strong"/>
    <w:basedOn w:val="Standaardalinea-lettertype"/>
    <w:uiPriority w:val="22"/>
    <w:qFormat/>
    <w:rsid w:val="00771CAB"/>
    <w:rPr>
      <w:b/>
      <w:bCs/>
    </w:rPr>
  </w:style>
  <w:style w:type="paragraph" w:styleId="Voetnoottekst">
    <w:name w:val="footnote text"/>
    <w:basedOn w:val="Standaard"/>
    <w:link w:val="VoetnoottekstChar"/>
    <w:rsid w:val="00771CAB"/>
    <w:rPr>
      <w:sz w:val="20"/>
      <w:szCs w:val="20"/>
    </w:rPr>
  </w:style>
  <w:style w:type="character" w:customStyle="1" w:styleId="VoetnoottekstChar">
    <w:name w:val="Voetnoottekst Char"/>
    <w:basedOn w:val="Standaardalinea-lettertype"/>
    <w:link w:val="Voetnoottekst"/>
    <w:rsid w:val="00771CAB"/>
    <w:rPr>
      <w:rFonts w:ascii="Times New Roman" w:eastAsia="Times New Roman" w:hAnsi="Times New Roman" w:cs="Times New Roman"/>
      <w:sz w:val="20"/>
      <w:szCs w:val="20"/>
      <w:lang w:eastAsia="nl-NL"/>
    </w:rPr>
  </w:style>
  <w:style w:type="table" w:styleId="Tabelraster">
    <w:name w:val="Table Grid"/>
    <w:basedOn w:val="Standaardtabel"/>
    <w:rsid w:val="00771CA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71CAB"/>
    <w:pPr>
      <w:ind w:left="720"/>
    </w:pPr>
    <w:rPr>
      <w:rFonts w:eastAsiaTheme="minorHAnsi"/>
    </w:rPr>
  </w:style>
  <w:style w:type="character" w:styleId="Voetnootmarkering">
    <w:name w:val="footnote reference"/>
    <w:basedOn w:val="Standaardalinea-lettertype"/>
    <w:uiPriority w:val="99"/>
    <w:rsid w:val="00771CAB"/>
    <w:rPr>
      <w:vertAlign w:val="superscript"/>
    </w:rPr>
  </w:style>
  <w:style w:type="character" w:styleId="GevolgdeHyperlink">
    <w:name w:val="FollowedHyperlink"/>
    <w:basedOn w:val="Standaardalinea-lettertype"/>
    <w:uiPriority w:val="99"/>
    <w:semiHidden/>
    <w:unhideWhenUsed/>
    <w:rsid w:val="00771CAB"/>
    <w:rPr>
      <w:color w:val="954F72" w:themeColor="followedHyperlink"/>
      <w:u w:val="single"/>
    </w:rPr>
  </w:style>
  <w:style w:type="character" w:styleId="Verwijzingopmerking">
    <w:name w:val="annotation reference"/>
    <w:basedOn w:val="Standaardalinea-lettertype"/>
    <w:uiPriority w:val="99"/>
    <w:semiHidden/>
    <w:unhideWhenUsed/>
    <w:rsid w:val="00771CAB"/>
    <w:rPr>
      <w:sz w:val="16"/>
      <w:szCs w:val="16"/>
    </w:rPr>
  </w:style>
  <w:style w:type="paragraph" w:styleId="Tekstopmerking">
    <w:name w:val="annotation text"/>
    <w:basedOn w:val="Standaard"/>
    <w:link w:val="TekstopmerkingChar"/>
    <w:uiPriority w:val="99"/>
    <w:semiHidden/>
    <w:unhideWhenUsed/>
    <w:rsid w:val="00771CAB"/>
    <w:rPr>
      <w:sz w:val="20"/>
      <w:szCs w:val="20"/>
    </w:rPr>
  </w:style>
  <w:style w:type="character" w:customStyle="1" w:styleId="TekstopmerkingChar">
    <w:name w:val="Tekst opmerking Char"/>
    <w:basedOn w:val="Standaardalinea-lettertype"/>
    <w:link w:val="Tekstopmerking"/>
    <w:uiPriority w:val="99"/>
    <w:semiHidden/>
    <w:rsid w:val="00771CAB"/>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71CAB"/>
    <w:rPr>
      <w:b/>
      <w:bCs/>
    </w:rPr>
  </w:style>
  <w:style w:type="character" w:customStyle="1" w:styleId="OnderwerpvanopmerkingChar">
    <w:name w:val="Onderwerp van opmerking Char"/>
    <w:basedOn w:val="TekstopmerkingChar"/>
    <w:link w:val="Onderwerpvanopmerking"/>
    <w:uiPriority w:val="99"/>
    <w:semiHidden/>
    <w:rsid w:val="00771CAB"/>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771CA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71CAB"/>
    <w:rPr>
      <w:rFonts w:ascii="Segoe UI" w:eastAsia="Times New Roman"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858809">
      <w:bodyDiv w:val="1"/>
      <w:marLeft w:val="0"/>
      <w:marRight w:val="0"/>
      <w:marTop w:val="0"/>
      <w:marBottom w:val="0"/>
      <w:divBdr>
        <w:top w:val="none" w:sz="0" w:space="0" w:color="auto"/>
        <w:left w:val="none" w:sz="0" w:space="0" w:color="auto"/>
        <w:bottom w:val="none" w:sz="0" w:space="0" w:color="auto"/>
        <w:right w:val="none" w:sz="0" w:space="0" w:color="auto"/>
      </w:divBdr>
    </w:div>
    <w:div w:id="447286965">
      <w:bodyDiv w:val="1"/>
      <w:marLeft w:val="0"/>
      <w:marRight w:val="0"/>
      <w:marTop w:val="0"/>
      <w:marBottom w:val="0"/>
      <w:divBdr>
        <w:top w:val="none" w:sz="0" w:space="0" w:color="auto"/>
        <w:left w:val="none" w:sz="0" w:space="0" w:color="auto"/>
        <w:bottom w:val="none" w:sz="0" w:space="0" w:color="auto"/>
        <w:right w:val="none" w:sz="0" w:space="0" w:color="auto"/>
      </w:divBdr>
    </w:div>
    <w:div w:id="488401030">
      <w:bodyDiv w:val="1"/>
      <w:marLeft w:val="0"/>
      <w:marRight w:val="0"/>
      <w:marTop w:val="0"/>
      <w:marBottom w:val="0"/>
      <w:divBdr>
        <w:top w:val="none" w:sz="0" w:space="0" w:color="auto"/>
        <w:left w:val="none" w:sz="0" w:space="0" w:color="auto"/>
        <w:bottom w:val="none" w:sz="0" w:space="0" w:color="auto"/>
        <w:right w:val="none" w:sz="0" w:space="0" w:color="auto"/>
      </w:divBdr>
    </w:div>
    <w:div w:id="759179215">
      <w:bodyDiv w:val="1"/>
      <w:marLeft w:val="0"/>
      <w:marRight w:val="0"/>
      <w:marTop w:val="0"/>
      <w:marBottom w:val="0"/>
      <w:divBdr>
        <w:top w:val="none" w:sz="0" w:space="0" w:color="auto"/>
        <w:left w:val="none" w:sz="0" w:space="0" w:color="auto"/>
        <w:bottom w:val="none" w:sz="0" w:space="0" w:color="auto"/>
        <w:right w:val="none" w:sz="0" w:space="0" w:color="auto"/>
      </w:divBdr>
    </w:div>
    <w:div w:id="145833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8" /><Relationship Type="http://schemas.openxmlformats.org/officeDocument/2006/relationships/settings" Target="settings.xml" Id="rId3" /><Relationship Type="http://schemas.openxmlformats.org/officeDocument/2006/relationships/hyperlink" Target="https://ec.europa.eu/info/law/better-regulation/initiatives/ares-2018-6241542_en"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yperlink" Target="http://ec.europa.eu/yourvoice/consultations/index_nl.htm" TargetMode="External" Id="rId9"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2403</ap:Words>
  <ap:Characters>13220</ap:Characters>
  <ap:DocSecurity>4</ap:DocSecurity>
  <ap:Lines>110</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15592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2020-01-08T14:56:00.0000000Z</dcterms:created>
  <dcterms:modified xsi:type="dcterms:W3CDTF">2020-01-08T14:56:00.0000000Z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0x010100689E9F0DCE416C4E90BA805F44DCE99C</vt:lpwstr>
  </property>
</Properties>
</file>