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5B0D" w:rsidR="007367FC" w:rsidP="00A57CE8" w:rsidRDefault="007367FC" w14:paraId="75472243" w14:textId="77777777">
      <w:pPr>
        <w:spacing w:after="0"/>
        <w:rPr>
          <w:rFonts w:ascii="Verdana" w:hAnsi="Verdana"/>
          <w:b/>
          <w:sz w:val="18"/>
          <w:szCs w:val="18"/>
          <w:u w:val="single"/>
        </w:rPr>
      </w:pPr>
      <w:r w:rsidRPr="00665B0D">
        <w:rPr>
          <w:rFonts w:ascii="Verdana" w:hAnsi="Verdana"/>
          <w:b/>
          <w:sz w:val="18"/>
          <w:szCs w:val="18"/>
          <w:u w:val="single"/>
        </w:rPr>
        <w:t>Vragen VVD:</w:t>
      </w:r>
    </w:p>
    <w:p w:rsidR="00F777E3" w:rsidP="00A57CE8" w:rsidRDefault="00F777E3" w14:paraId="44FA673D" w14:textId="77777777">
      <w:pPr>
        <w:spacing w:after="0"/>
        <w:rPr>
          <w:rFonts w:ascii="Verdana" w:hAnsi="Verdana"/>
          <w:b/>
          <w:sz w:val="18"/>
          <w:szCs w:val="18"/>
        </w:rPr>
      </w:pPr>
    </w:p>
    <w:p w:rsidRPr="006F3FF7" w:rsidR="00A57CE8" w:rsidP="00A57CE8" w:rsidRDefault="00A57CE8" w14:paraId="55577596" w14:textId="77777777">
      <w:pPr>
        <w:spacing w:after="0"/>
        <w:rPr>
          <w:rFonts w:ascii="Verdana" w:hAnsi="Verdana"/>
          <w:b/>
          <w:sz w:val="18"/>
          <w:szCs w:val="18"/>
        </w:rPr>
      </w:pPr>
      <w:r w:rsidRPr="006F3FF7">
        <w:rPr>
          <w:rFonts w:ascii="Verdana" w:hAnsi="Verdana"/>
          <w:b/>
          <w:sz w:val="18"/>
          <w:szCs w:val="18"/>
        </w:rPr>
        <w:t>Vraag 1</w:t>
      </w:r>
    </w:p>
    <w:p w:rsidRPr="006F3FF7" w:rsidR="007367FC" w:rsidP="00A57CE8" w:rsidRDefault="007367FC" w14:paraId="1746E0F3" w14:textId="77777777">
      <w:pPr>
        <w:spacing w:after="0"/>
        <w:rPr>
          <w:rFonts w:ascii="Verdana" w:hAnsi="Verdana"/>
          <w:sz w:val="18"/>
          <w:szCs w:val="18"/>
        </w:rPr>
      </w:pPr>
      <w:r w:rsidRPr="006F3FF7">
        <w:rPr>
          <w:rFonts w:ascii="Verdana" w:hAnsi="Verdana"/>
          <w:sz w:val="18"/>
          <w:szCs w:val="18"/>
        </w:rPr>
        <w:t>Kunt u toelichten wat in algemene zin de economische voordelen van CETA zijn voor de Nederlandse economie? Op welke manier hebben deze voordelen sinds de voorlopige inwerkingtreding van CETA gemanifesteerd?</w:t>
      </w:r>
    </w:p>
    <w:p w:rsidRPr="006F3FF7" w:rsidR="00A57CE8" w:rsidP="00A57CE8" w:rsidRDefault="00A57CE8" w14:paraId="15307B82" w14:textId="77777777">
      <w:pPr>
        <w:spacing w:after="0"/>
        <w:rPr>
          <w:rFonts w:ascii="Verdana" w:hAnsi="Verdana"/>
          <w:b/>
          <w:sz w:val="18"/>
          <w:szCs w:val="18"/>
        </w:rPr>
      </w:pPr>
    </w:p>
    <w:p w:rsidRPr="006F3FF7" w:rsidR="00A57CE8" w:rsidP="00A57CE8" w:rsidRDefault="00A57CE8" w14:paraId="7FFEEAA9" w14:textId="77777777">
      <w:pPr>
        <w:spacing w:after="0"/>
        <w:rPr>
          <w:rFonts w:ascii="Verdana" w:hAnsi="Verdana"/>
          <w:b/>
          <w:sz w:val="18"/>
          <w:szCs w:val="18"/>
        </w:rPr>
      </w:pPr>
      <w:r w:rsidRPr="006F3FF7">
        <w:rPr>
          <w:rFonts w:ascii="Verdana" w:hAnsi="Verdana"/>
          <w:b/>
          <w:sz w:val="18"/>
          <w:szCs w:val="18"/>
        </w:rPr>
        <w:t>Antwoord</w:t>
      </w:r>
    </w:p>
    <w:p w:rsidRPr="008F6DDF" w:rsidR="00871C1B" w:rsidP="00871C1B" w:rsidRDefault="009E56BD" w14:paraId="717D5DB0" w14:textId="77777777">
      <w:pPr>
        <w:rPr>
          <w:rFonts w:ascii="Verdana" w:hAnsi="Verdana"/>
          <w:sz w:val="18"/>
          <w:szCs w:val="18"/>
        </w:rPr>
      </w:pPr>
      <w:r>
        <w:rPr>
          <w:rFonts w:ascii="Verdana" w:hAnsi="Verdana"/>
          <w:sz w:val="18"/>
          <w:szCs w:val="18"/>
        </w:rPr>
        <w:t xml:space="preserve">Met CETA krijgen Nederlandse bedrijven nieuwe of betere toegang tot een markt van 35 miljoen mensen. CETA schrapt 99% van alle tarieven op import vanuit de EU. </w:t>
      </w:r>
    </w:p>
    <w:p w:rsidRPr="00EB3978" w:rsidR="009E56BD" w:rsidP="00EB3978" w:rsidRDefault="009E56BD" w14:paraId="7180125C" w14:textId="5E95D1F9">
      <w:pPr>
        <w:rPr>
          <w:rFonts w:ascii="Verdana" w:hAnsi="Verdana"/>
          <w:sz w:val="18"/>
          <w:szCs w:val="18"/>
        </w:rPr>
      </w:pPr>
      <w:r w:rsidRPr="00EB3978">
        <w:rPr>
          <w:rFonts w:ascii="Verdana" w:hAnsi="Verdana"/>
          <w:sz w:val="18"/>
          <w:szCs w:val="18"/>
        </w:rPr>
        <w:t>Door CETA wordt de markt voor overheidsaanbestedingen van Canadese overheden geopend voor Nederlandse bedrijven.</w:t>
      </w:r>
      <w:r>
        <w:rPr>
          <w:rFonts w:ascii="Verdana" w:hAnsi="Verdana"/>
          <w:sz w:val="18"/>
          <w:szCs w:val="18"/>
        </w:rPr>
        <w:t xml:space="preserve"> </w:t>
      </w:r>
      <w:r w:rsidRPr="008F6DDF">
        <w:rPr>
          <w:rFonts w:ascii="Verdana" w:hAnsi="Verdana"/>
          <w:sz w:val="18"/>
          <w:szCs w:val="18"/>
        </w:rPr>
        <w:t xml:space="preserve">Hierdoor kunnen bijvoorbeeld baggeraars, bouwers en scheepsbouwers meedingen naar contracten van Canadese overheden. </w:t>
      </w:r>
      <w:r w:rsidRPr="00EB3978">
        <w:rPr>
          <w:rFonts w:ascii="Verdana" w:hAnsi="Verdana"/>
          <w:sz w:val="18"/>
          <w:szCs w:val="18"/>
        </w:rPr>
        <w:t xml:space="preserve">CETA maakt het Canadese aanbestedingsproces ook transparanter. Openstelling van de Canadese markt voor overheidsaanbestedingen is van grote waarde gezien de omvang </w:t>
      </w:r>
      <w:r w:rsidR="00B83584">
        <w:rPr>
          <w:rFonts w:ascii="Verdana" w:hAnsi="Verdana"/>
          <w:sz w:val="18"/>
          <w:szCs w:val="18"/>
        </w:rPr>
        <w:t>daarvan van</w:t>
      </w:r>
      <w:r w:rsidRPr="00EB3978">
        <w:rPr>
          <w:rFonts w:ascii="Verdana" w:hAnsi="Verdana"/>
          <w:sz w:val="18"/>
          <w:szCs w:val="18"/>
        </w:rPr>
        <w:t xml:space="preserve"> rond de 30 miljard euro per jaar.</w:t>
      </w:r>
    </w:p>
    <w:p w:rsidRPr="006F3FF7" w:rsidR="00A57CE8" w:rsidP="00FE359C" w:rsidRDefault="00871C1B" w14:paraId="4A28356C" w14:textId="49A36AE3">
      <w:pPr>
        <w:rPr>
          <w:rFonts w:ascii="Verdana" w:hAnsi="Verdana"/>
          <w:sz w:val="18"/>
          <w:szCs w:val="18"/>
        </w:rPr>
      </w:pPr>
      <w:r w:rsidRPr="008F6DDF">
        <w:rPr>
          <w:rFonts w:ascii="Verdana" w:hAnsi="Verdana"/>
          <w:sz w:val="18"/>
          <w:szCs w:val="18"/>
        </w:rPr>
        <w:t xml:space="preserve">Het is te vroeg om de precieze effecten van CETA voor de Nederlandse economie vast te stellen. </w:t>
      </w:r>
      <w:r w:rsidRPr="008F6DDF">
        <w:rPr>
          <w:rStyle w:val="bumpedfont15"/>
          <w:rFonts w:ascii="Verdana" w:hAnsi="Verdana" w:eastAsia="Times New Roman" w:cstheme="minorHAnsi"/>
          <w:sz w:val="18"/>
          <w:szCs w:val="18"/>
        </w:rPr>
        <w:t>Dit komt doordat er ook andere factoren invloed hebben op de handel met Canada. Wel zijn een aantal ma</w:t>
      </w:r>
      <w:r>
        <w:rPr>
          <w:rStyle w:val="bumpedfont15"/>
          <w:rFonts w:ascii="Verdana" w:hAnsi="Verdana" w:eastAsia="Times New Roman" w:cstheme="minorHAnsi"/>
          <w:sz w:val="18"/>
          <w:szCs w:val="18"/>
        </w:rPr>
        <w:t xml:space="preserve">atregelen nu al merkbaar. Veel tarieven zijn verlaagd naar nul procent met de voorlopige </w:t>
      </w:r>
      <w:r w:rsidR="00514BD2">
        <w:rPr>
          <w:rStyle w:val="bumpedfont15"/>
          <w:rFonts w:ascii="Verdana" w:hAnsi="Verdana" w:eastAsia="Times New Roman" w:cstheme="minorHAnsi"/>
          <w:sz w:val="18"/>
          <w:szCs w:val="18"/>
        </w:rPr>
        <w:t>toepassing</w:t>
      </w:r>
      <w:r w:rsidR="00665B0D">
        <w:rPr>
          <w:rStyle w:val="bumpedfont15"/>
          <w:rFonts w:ascii="Verdana" w:hAnsi="Verdana" w:eastAsia="Times New Roman" w:cstheme="minorHAnsi"/>
          <w:sz w:val="18"/>
          <w:szCs w:val="18"/>
        </w:rPr>
        <w:t xml:space="preserve"> </w:t>
      </w:r>
      <w:r>
        <w:rPr>
          <w:rStyle w:val="bumpedfont15"/>
          <w:rFonts w:ascii="Verdana" w:hAnsi="Verdana" w:eastAsia="Times New Roman" w:cstheme="minorHAnsi"/>
          <w:sz w:val="18"/>
          <w:szCs w:val="18"/>
        </w:rPr>
        <w:t>van CETA. Daarnaast is het Canadese quotum voor kaas uit de EU verruimd. Op kaas die onder dit quotum wordt ge</w:t>
      </w:r>
      <w:r w:rsidRPr="008F6DDF">
        <w:rPr>
          <w:rStyle w:val="bumpedfont15"/>
          <w:rFonts w:ascii="Verdana" w:hAnsi="Verdana" w:eastAsia="Times New Roman" w:cstheme="minorHAnsi"/>
          <w:sz w:val="18"/>
          <w:szCs w:val="18"/>
        </w:rPr>
        <w:t xml:space="preserve">ïmporteerd zit een tarief van minder dan </w:t>
      </w:r>
      <w:r>
        <w:rPr>
          <w:rStyle w:val="bumpedfont15"/>
          <w:rFonts w:ascii="Verdana" w:hAnsi="Verdana" w:eastAsia="Times New Roman" w:cstheme="minorHAnsi"/>
          <w:sz w:val="18"/>
          <w:szCs w:val="18"/>
        </w:rPr>
        <w:t>één procent terwijl in Canada normaal een tarief van 245 procent op kaas geldt</w:t>
      </w:r>
      <w:r w:rsidR="00802D81">
        <w:rPr>
          <w:rStyle w:val="bumpedfont15"/>
          <w:rFonts w:ascii="Verdana" w:hAnsi="Verdana" w:eastAsia="Times New Roman" w:cstheme="minorHAnsi"/>
          <w:sz w:val="18"/>
          <w:szCs w:val="18"/>
        </w:rPr>
        <w:t xml:space="preserve">. </w:t>
      </w:r>
      <w:r w:rsidRPr="00802D81" w:rsidR="00802D81">
        <w:rPr>
          <w:rFonts w:ascii="Verdana" w:hAnsi="Verdana" w:eastAsia="Times New Roman" w:cstheme="minorHAnsi"/>
          <w:sz w:val="18"/>
          <w:szCs w:val="18"/>
        </w:rPr>
        <w:t xml:space="preserve">Van de verruiming van het kaasquotum is sinds de voorlopige </w:t>
      </w:r>
      <w:r w:rsidR="00514BD2">
        <w:rPr>
          <w:rFonts w:ascii="Verdana" w:hAnsi="Verdana" w:eastAsia="Times New Roman" w:cstheme="minorHAnsi"/>
          <w:sz w:val="18"/>
          <w:szCs w:val="18"/>
        </w:rPr>
        <w:t>toepassing</w:t>
      </w:r>
      <w:r w:rsidR="00665B0D">
        <w:rPr>
          <w:rFonts w:ascii="Verdana" w:hAnsi="Verdana" w:eastAsia="Times New Roman" w:cstheme="minorHAnsi"/>
          <w:sz w:val="18"/>
          <w:szCs w:val="18"/>
        </w:rPr>
        <w:t xml:space="preserve"> </w:t>
      </w:r>
      <w:r w:rsidRPr="00802D81" w:rsidR="00802D81">
        <w:rPr>
          <w:rFonts w:ascii="Verdana" w:hAnsi="Verdana" w:eastAsia="Times New Roman" w:cstheme="minorHAnsi"/>
          <w:sz w:val="18"/>
          <w:szCs w:val="18"/>
        </w:rPr>
        <w:t>al gebruik gemaakt: de</w:t>
      </w:r>
      <w:r w:rsidR="00025972">
        <w:rPr>
          <w:rFonts w:ascii="Verdana" w:hAnsi="Verdana" w:eastAsia="Times New Roman" w:cstheme="minorHAnsi"/>
          <w:sz w:val="18"/>
          <w:szCs w:val="18"/>
        </w:rPr>
        <w:t xml:space="preserve"> export van Nederlandse kaas is </w:t>
      </w:r>
      <w:r w:rsidRPr="00802D81" w:rsidR="00802D81">
        <w:rPr>
          <w:rFonts w:ascii="Verdana" w:hAnsi="Verdana" w:eastAsia="Times New Roman" w:cstheme="minorHAnsi"/>
          <w:sz w:val="18"/>
          <w:szCs w:val="18"/>
        </w:rPr>
        <w:t xml:space="preserve">met ruim 20 </w:t>
      </w:r>
      <w:r w:rsidR="00514BD2">
        <w:rPr>
          <w:rFonts w:ascii="Verdana" w:hAnsi="Verdana" w:eastAsia="Times New Roman" w:cstheme="minorHAnsi"/>
          <w:sz w:val="18"/>
          <w:szCs w:val="18"/>
        </w:rPr>
        <w:t>procent</w:t>
      </w:r>
      <w:r w:rsidRPr="00802D81" w:rsidR="00802D81">
        <w:rPr>
          <w:rFonts w:ascii="Verdana" w:hAnsi="Verdana" w:eastAsia="Times New Roman" w:cstheme="minorHAnsi"/>
          <w:sz w:val="18"/>
          <w:szCs w:val="18"/>
        </w:rPr>
        <w:t xml:space="preserve"> gestegen</w:t>
      </w:r>
      <w:r>
        <w:rPr>
          <w:rStyle w:val="bumpedfont15"/>
          <w:rFonts w:ascii="Verdana" w:hAnsi="Verdana" w:eastAsia="Times New Roman" w:cstheme="minorHAnsi"/>
          <w:sz w:val="18"/>
          <w:szCs w:val="18"/>
        </w:rPr>
        <w:t>.</w:t>
      </w:r>
    </w:p>
    <w:p w:rsidRPr="006F3FF7" w:rsidR="00A57CE8" w:rsidP="00A57CE8" w:rsidRDefault="00A57CE8" w14:paraId="03965B03" w14:textId="77777777">
      <w:pPr>
        <w:spacing w:after="0"/>
        <w:rPr>
          <w:rFonts w:ascii="Verdana" w:hAnsi="Verdana"/>
          <w:b/>
          <w:sz w:val="18"/>
          <w:szCs w:val="18"/>
        </w:rPr>
      </w:pPr>
      <w:r w:rsidRPr="006F3FF7">
        <w:rPr>
          <w:rFonts w:ascii="Verdana" w:hAnsi="Verdana"/>
          <w:b/>
          <w:sz w:val="18"/>
          <w:szCs w:val="18"/>
        </w:rPr>
        <w:t>Vraag 2</w:t>
      </w:r>
    </w:p>
    <w:p w:rsidRPr="006F3FF7" w:rsidR="007367FC" w:rsidP="00A57CE8" w:rsidRDefault="007367FC" w14:paraId="3A2E2F59" w14:textId="77777777">
      <w:pPr>
        <w:spacing w:after="0"/>
        <w:rPr>
          <w:rFonts w:ascii="Verdana" w:hAnsi="Verdana"/>
          <w:sz w:val="18"/>
          <w:szCs w:val="18"/>
        </w:rPr>
      </w:pPr>
      <w:r w:rsidRPr="006F3FF7">
        <w:rPr>
          <w:rFonts w:ascii="Verdana" w:hAnsi="Verdana"/>
          <w:sz w:val="18"/>
          <w:szCs w:val="18"/>
        </w:rPr>
        <w:t>Kunt u toelichten hoe de economische voordelen van CETA voor Nederland zich verhouden tot de economische voordelen van CETA voor andere Europese landen?</w:t>
      </w:r>
    </w:p>
    <w:p w:rsidRPr="006F3FF7" w:rsidR="00A57CE8" w:rsidP="00A57CE8" w:rsidRDefault="00A57CE8" w14:paraId="18DB3816" w14:textId="77777777">
      <w:pPr>
        <w:spacing w:after="0"/>
        <w:rPr>
          <w:rFonts w:ascii="Verdana" w:hAnsi="Verdana"/>
          <w:i/>
          <w:sz w:val="18"/>
          <w:szCs w:val="18"/>
        </w:rPr>
      </w:pPr>
    </w:p>
    <w:p w:rsidRPr="006F3FF7" w:rsidR="00A57CE8" w:rsidP="00A57CE8" w:rsidRDefault="00A57CE8" w14:paraId="2D0353CC" w14:textId="77777777">
      <w:pPr>
        <w:spacing w:after="0"/>
        <w:rPr>
          <w:rFonts w:ascii="Verdana" w:hAnsi="Verdana"/>
          <w:b/>
          <w:sz w:val="18"/>
          <w:szCs w:val="18"/>
        </w:rPr>
      </w:pPr>
      <w:r w:rsidRPr="006F3FF7">
        <w:rPr>
          <w:rFonts w:ascii="Verdana" w:hAnsi="Verdana"/>
          <w:b/>
          <w:sz w:val="18"/>
          <w:szCs w:val="18"/>
        </w:rPr>
        <w:t>Antwoord</w:t>
      </w:r>
    </w:p>
    <w:p w:rsidR="000042F5" w:rsidP="00AC60EA" w:rsidRDefault="00AC60EA" w14:paraId="73B28E9A" w14:textId="77777777">
      <w:pPr>
        <w:rPr>
          <w:rFonts w:ascii="Verdana" w:hAnsi="Verdana"/>
          <w:sz w:val="18"/>
          <w:szCs w:val="18"/>
        </w:rPr>
      </w:pPr>
      <w:r>
        <w:rPr>
          <w:rFonts w:ascii="Verdana" w:hAnsi="Verdana"/>
          <w:sz w:val="18"/>
          <w:szCs w:val="18"/>
        </w:rPr>
        <w:t>Dit is voornamelijk afhankelijk van de volumes</w:t>
      </w:r>
      <w:r w:rsidR="000042F5">
        <w:rPr>
          <w:rFonts w:ascii="Verdana" w:hAnsi="Verdana"/>
          <w:sz w:val="18"/>
          <w:szCs w:val="18"/>
        </w:rPr>
        <w:t xml:space="preserve"> van</w:t>
      </w:r>
      <w:r>
        <w:rPr>
          <w:rFonts w:ascii="Verdana" w:hAnsi="Verdana"/>
          <w:sz w:val="18"/>
          <w:szCs w:val="18"/>
        </w:rPr>
        <w:t xml:space="preserve"> handel</w:t>
      </w:r>
      <w:r w:rsidR="000042F5">
        <w:rPr>
          <w:rFonts w:ascii="Verdana" w:hAnsi="Verdana"/>
          <w:sz w:val="18"/>
          <w:szCs w:val="18"/>
        </w:rPr>
        <w:t>, de structuur van bedrijven die handelen</w:t>
      </w:r>
      <w:r>
        <w:rPr>
          <w:rFonts w:ascii="Verdana" w:hAnsi="Verdana"/>
          <w:sz w:val="18"/>
          <w:szCs w:val="18"/>
        </w:rPr>
        <w:t xml:space="preserve"> en de productmix van de handel tussen EU lidstaten en Canada. Nederland is na het Verenigd Koninkrijk en Duitsland de grootste Europese handelspartner van Canada. Door deze hogere volumes zal Nederland ook meer profiteren van CETA dan de meeste andere EU landen. </w:t>
      </w:r>
    </w:p>
    <w:p w:rsidRPr="00F3683A" w:rsidR="00AC60EA" w:rsidP="00AC60EA" w:rsidRDefault="00CF2C04" w14:paraId="69E05702" w14:textId="31192941">
      <w:pPr>
        <w:rPr>
          <w:rFonts w:ascii="Verdana" w:hAnsi="Verdana"/>
          <w:sz w:val="18"/>
          <w:szCs w:val="18"/>
        </w:rPr>
      </w:pPr>
      <w:r>
        <w:rPr>
          <w:rFonts w:ascii="Verdana" w:hAnsi="Verdana"/>
          <w:sz w:val="18"/>
          <w:szCs w:val="18"/>
        </w:rPr>
        <w:t xml:space="preserve">Naast verlagen van tarieven </w:t>
      </w:r>
      <w:r w:rsidR="00B83584">
        <w:rPr>
          <w:rFonts w:ascii="Verdana" w:hAnsi="Verdana"/>
          <w:sz w:val="18"/>
          <w:szCs w:val="18"/>
        </w:rPr>
        <w:t xml:space="preserve">kent CETA </w:t>
      </w:r>
      <w:r>
        <w:rPr>
          <w:rFonts w:ascii="Verdana" w:hAnsi="Verdana"/>
          <w:sz w:val="18"/>
          <w:szCs w:val="18"/>
        </w:rPr>
        <w:t xml:space="preserve">ook non-tarifaire </w:t>
      </w:r>
      <w:r w:rsidR="006730FF">
        <w:rPr>
          <w:rFonts w:ascii="Verdana" w:hAnsi="Verdana"/>
          <w:sz w:val="18"/>
          <w:szCs w:val="18"/>
        </w:rPr>
        <w:t>bepalingen</w:t>
      </w:r>
      <w:r>
        <w:rPr>
          <w:rFonts w:ascii="Verdana" w:hAnsi="Verdana"/>
          <w:sz w:val="18"/>
          <w:szCs w:val="18"/>
        </w:rPr>
        <w:t xml:space="preserve">. </w:t>
      </w:r>
      <w:r w:rsidR="000042F5">
        <w:rPr>
          <w:rFonts w:ascii="Verdana" w:hAnsi="Verdana"/>
          <w:sz w:val="18"/>
          <w:szCs w:val="18"/>
        </w:rPr>
        <w:t>Deze zijn vaak heel specifiek toegedicht op goederen en/of goederencategorie</w:t>
      </w:r>
      <w:r w:rsidRPr="00EB3978" w:rsidR="000042F5">
        <w:rPr>
          <w:rFonts w:ascii="Verdana" w:hAnsi="Verdana"/>
          <w:sz w:val="18"/>
          <w:szCs w:val="18"/>
        </w:rPr>
        <w:t>ën</w:t>
      </w:r>
      <w:r w:rsidR="000042F5">
        <w:rPr>
          <w:rFonts w:ascii="Verdana" w:hAnsi="Verdana"/>
          <w:sz w:val="18"/>
          <w:szCs w:val="18"/>
        </w:rPr>
        <w:t>.</w:t>
      </w:r>
      <w:r>
        <w:rPr>
          <w:rFonts w:ascii="Verdana" w:hAnsi="Verdana"/>
          <w:sz w:val="18"/>
          <w:szCs w:val="18"/>
        </w:rPr>
        <w:t xml:space="preserve"> </w:t>
      </w:r>
      <w:r w:rsidR="000042F5">
        <w:rPr>
          <w:rFonts w:ascii="Verdana" w:hAnsi="Verdana"/>
          <w:sz w:val="18"/>
          <w:szCs w:val="18"/>
        </w:rPr>
        <w:t xml:space="preserve">De EU stelt </w:t>
      </w:r>
      <w:r w:rsidR="00E65F5D">
        <w:rPr>
          <w:rFonts w:ascii="Verdana" w:hAnsi="Verdana"/>
          <w:sz w:val="18"/>
          <w:szCs w:val="18"/>
        </w:rPr>
        <w:t>documenten beschikbaar waarin de effecten van CETA voor de verschillende lidstaten zijn samengevat.</w:t>
      </w:r>
      <w:r w:rsidR="00514BD2">
        <w:rPr>
          <w:rStyle w:val="FootnoteReference"/>
          <w:rFonts w:ascii="Verdana" w:hAnsi="Verdana"/>
          <w:sz w:val="18"/>
          <w:szCs w:val="18"/>
        </w:rPr>
        <w:footnoteReference w:id="2"/>
      </w:r>
    </w:p>
    <w:p w:rsidRPr="006F3FF7" w:rsidR="00A57CE8" w:rsidP="00A57CE8" w:rsidRDefault="00A57CE8" w14:paraId="0DAD40B0" w14:textId="77777777">
      <w:pPr>
        <w:spacing w:after="0"/>
        <w:rPr>
          <w:rFonts w:ascii="Verdana" w:hAnsi="Verdana"/>
          <w:b/>
          <w:sz w:val="18"/>
          <w:szCs w:val="18"/>
        </w:rPr>
      </w:pPr>
      <w:r w:rsidRPr="006F3FF7">
        <w:rPr>
          <w:rFonts w:ascii="Verdana" w:hAnsi="Verdana"/>
          <w:b/>
          <w:sz w:val="18"/>
          <w:szCs w:val="18"/>
        </w:rPr>
        <w:t>Vraag 3</w:t>
      </w:r>
    </w:p>
    <w:p w:rsidRPr="006F3FF7" w:rsidR="00A57CE8" w:rsidP="00A57CE8" w:rsidRDefault="007367FC" w14:paraId="4A974B65" w14:textId="77777777">
      <w:pPr>
        <w:spacing w:after="0"/>
        <w:rPr>
          <w:rFonts w:ascii="Verdana" w:hAnsi="Verdana"/>
          <w:sz w:val="18"/>
          <w:szCs w:val="18"/>
        </w:rPr>
      </w:pPr>
      <w:r w:rsidRPr="006F3FF7">
        <w:rPr>
          <w:rFonts w:ascii="Verdana" w:hAnsi="Verdana"/>
          <w:sz w:val="18"/>
          <w:szCs w:val="18"/>
        </w:rPr>
        <w:t>Kunt u, in de vorm van een tabel, toelichten welke in Nederland in aanzienlijke hoeveelheid geproduceerde goederen als gevolg van CETA zonder importtarief naar Canada geëxporteerd kunnen worden?</w:t>
      </w:r>
    </w:p>
    <w:p w:rsidRPr="006F3FF7" w:rsidR="00A57CE8" w:rsidP="00A57CE8" w:rsidRDefault="00A57CE8" w14:paraId="29344905" w14:textId="77777777">
      <w:pPr>
        <w:spacing w:after="0"/>
        <w:rPr>
          <w:rFonts w:ascii="Verdana" w:hAnsi="Verdana"/>
          <w:i/>
          <w:sz w:val="18"/>
          <w:szCs w:val="18"/>
        </w:rPr>
      </w:pPr>
    </w:p>
    <w:p w:rsidRPr="006F3FF7" w:rsidR="00A57CE8" w:rsidP="00A57CE8" w:rsidRDefault="00A57CE8" w14:paraId="55E20ACC" w14:textId="77777777">
      <w:pPr>
        <w:spacing w:after="0"/>
        <w:rPr>
          <w:rFonts w:ascii="Verdana" w:hAnsi="Verdana"/>
          <w:b/>
          <w:sz w:val="18"/>
          <w:szCs w:val="18"/>
        </w:rPr>
      </w:pPr>
      <w:r w:rsidRPr="006F3FF7">
        <w:rPr>
          <w:rFonts w:ascii="Verdana" w:hAnsi="Verdana"/>
          <w:b/>
          <w:sz w:val="18"/>
          <w:szCs w:val="18"/>
        </w:rPr>
        <w:t>Antwoord</w:t>
      </w:r>
    </w:p>
    <w:p w:rsidRPr="006F3FF7" w:rsidR="007367FC" w:rsidP="00A57CE8" w:rsidRDefault="007367FC" w14:paraId="5BC526F9" w14:textId="77777777">
      <w:pPr>
        <w:spacing w:after="0"/>
        <w:rPr>
          <w:rFonts w:ascii="Verdana" w:hAnsi="Verdana"/>
          <w:sz w:val="18"/>
          <w:szCs w:val="18"/>
        </w:rPr>
      </w:pPr>
      <w:r w:rsidRPr="006F3FF7">
        <w:rPr>
          <w:rFonts w:ascii="Verdana" w:hAnsi="Verdana"/>
          <w:sz w:val="18"/>
          <w:szCs w:val="18"/>
        </w:rPr>
        <w:t xml:space="preserve">Vanaf het moment van voorlopige toepassing heeft Canada invoerrechten op 98% van alle producten afgeschaft. Dit betreft duizenden producten zoals verschillende chocoladeproducten (invoerrechten van gemiddeld 10% naar 0%), gesneden bloemen voor boeketten (van 6% naar 0%) en spruitjes (van 5.62 </w:t>
      </w:r>
      <w:r w:rsidR="00802D81">
        <w:rPr>
          <w:rFonts w:ascii="Verdana" w:hAnsi="Verdana"/>
          <w:sz w:val="18"/>
          <w:szCs w:val="18"/>
        </w:rPr>
        <w:t>c</w:t>
      </w:r>
      <w:r w:rsidRPr="006F3FF7">
        <w:rPr>
          <w:rFonts w:ascii="Verdana" w:hAnsi="Verdana"/>
          <w:sz w:val="18"/>
          <w:szCs w:val="18"/>
        </w:rPr>
        <w:t>ent/ kg naar 0%). In de Market Access Database van de Europese Commissie kunt u per tarieflijn zien wat de invoerrechten zijn die Canada onder de WTO heeft vastgelegd en die onder CETA.</w:t>
      </w:r>
      <w:r w:rsidRPr="006F3FF7">
        <w:rPr>
          <w:rFonts w:ascii="Verdana" w:hAnsi="Verdana"/>
          <w:sz w:val="18"/>
          <w:szCs w:val="18"/>
        </w:rPr>
        <w:br/>
      </w:r>
      <w:r w:rsidRPr="006F3FF7">
        <w:rPr>
          <w:rFonts w:ascii="Verdana" w:hAnsi="Verdana"/>
          <w:sz w:val="18"/>
          <w:szCs w:val="18"/>
        </w:rPr>
        <w:br/>
        <w:t xml:space="preserve">Invoerrechten voor slechts een klein deel van de producten worden in fases afgeschaft. Ook is voor een deel van de landbouwproducten verruimde quota’s overeengekomen. Voor fijne kaas is </w:t>
      </w:r>
      <w:r w:rsidRPr="006F3FF7">
        <w:rPr>
          <w:rFonts w:ascii="Verdana" w:hAnsi="Verdana"/>
          <w:sz w:val="18"/>
          <w:szCs w:val="18"/>
        </w:rPr>
        <w:lastRenderedPageBreak/>
        <w:t>bijvoorbeeld het onderstaande quotum vastgesteld.</w:t>
      </w:r>
      <w:r w:rsidRPr="006F3FF7">
        <w:rPr>
          <w:rFonts w:ascii="Verdana" w:hAnsi="Verdana"/>
          <w:sz w:val="18"/>
          <w:szCs w:val="18"/>
        </w:rPr>
        <w:br/>
      </w:r>
    </w:p>
    <w:tbl>
      <w:tblPr>
        <w:tblStyle w:val="TableGrid"/>
        <w:tblW w:w="0" w:type="auto"/>
        <w:tblInd w:w="607" w:type="dxa"/>
        <w:tblLook w:val="04A0" w:firstRow="1" w:lastRow="0" w:firstColumn="1" w:lastColumn="0" w:noHBand="0" w:noVBand="1"/>
      </w:tblPr>
      <w:tblGrid>
        <w:gridCol w:w="4295"/>
        <w:gridCol w:w="4335"/>
      </w:tblGrid>
      <w:tr w:rsidRPr="006F3FF7" w:rsidR="007367FC" w:rsidTr="000763A7" w14:paraId="44C5FD12" w14:textId="77777777">
        <w:tc>
          <w:tcPr>
            <w:tcW w:w="4295" w:type="dxa"/>
          </w:tcPr>
          <w:p w:rsidRPr="006F3FF7" w:rsidR="007367FC" w:rsidP="00A57CE8" w:rsidRDefault="007367FC" w14:paraId="357509C1" w14:textId="77777777">
            <w:pPr>
              <w:pStyle w:val="ListParagraph"/>
              <w:ind w:left="0"/>
              <w:rPr>
                <w:rFonts w:ascii="Verdana" w:hAnsi="Verdana"/>
                <w:sz w:val="18"/>
                <w:szCs w:val="18"/>
              </w:rPr>
            </w:pPr>
            <w:r w:rsidRPr="006F3FF7">
              <w:rPr>
                <w:rFonts w:ascii="Verdana" w:hAnsi="Verdana"/>
                <w:sz w:val="18"/>
                <w:szCs w:val="18"/>
              </w:rPr>
              <w:t>Jaar</w:t>
            </w:r>
          </w:p>
        </w:tc>
        <w:tc>
          <w:tcPr>
            <w:tcW w:w="4335" w:type="dxa"/>
          </w:tcPr>
          <w:p w:rsidRPr="006F3FF7" w:rsidR="007367FC" w:rsidP="00A57CE8" w:rsidRDefault="007367FC" w14:paraId="66040F25" w14:textId="77777777">
            <w:pPr>
              <w:pStyle w:val="ListParagraph"/>
              <w:ind w:left="0"/>
              <w:rPr>
                <w:rFonts w:ascii="Verdana" w:hAnsi="Verdana"/>
                <w:sz w:val="18"/>
                <w:szCs w:val="18"/>
              </w:rPr>
            </w:pPr>
            <w:r w:rsidRPr="006F3FF7">
              <w:rPr>
                <w:rFonts w:ascii="Verdana" w:hAnsi="Verdana"/>
                <w:sz w:val="18"/>
                <w:szCs w:val="18"/>
              </w:rPr>
              <w:t>Hoeveelheid (in ton)</w:t>
            </w:r>
          </w:p>
        </w:tc>
      </w:tr>
      <w:tr w:rsidRPr="006F3FF7" w:rsidR="007367FC" w:rsidTr="000763A7" w14:paraId="35B88891" w14:textId="77777777">
        <w:tc>
          <w:tcPr>
            <w:tcW w:w="4295" w:type="dxa"/>
          </w:tcPr>
          <w:p w:rsidRPr="006F3FF7" w:rsidR="007367FC" w:rsidP="00A57CE8" w:rsidRDefault="007367FC" w14:paraId="7A8A7453" w14:textId="77777777">
            <w:pPr>
              <w:pStyle w:val="ListParagraph"/>
              <w:ind w:left="0"/>
              <w:rPr>
                <w:rFonts w:ascii="Verdana" w:hAnsi="Verdana"/>
                <w:sz w:val="18"/>
                <w:szCs w:val="18"/>
              </w:rPr>
            </w:pPr>
            <w:r w:rsidRPr="006F3FF7">
              <w:rPr>
                <w:rFonts w:ascii="Verdana" w:hAnsi="Verdana"/>
                <w:sz w:val="18"/>
                <w:szCs w:val="18"/>
              </w:rPr>
              <w:t>1</w:t>
            </w:r>
          </w:p>
        </w:tc>
        <w:tc>
          <w:tcPr>
            <w:tcW w:w="4335" w:type="dxa"/>
          </w:tcPr>
          <w:p w:rsidRPr="006F3FF7" w:rsidR="007367FC" w:rsidP="00A57CE8" w:rsidRDefault="007367FC" w14:paraId="2C9D9DB9" w14:textId="77777777">
            <w:pPr>
              <w:pStyle w:val="ListParagraph"/>
              <w:ind w:left="0"/>
              <w:rPr>
                <w:rFonts w:ascii="Verdana" w:hAnsi="Verdana"/>
                <w:sz w:val="18"/>
                <w:szCs w:val="18"/>
              </w:rPr>
            </w:pPr>
            <w:r w:rsidRPr="006F3FF7">
              <w:rPr>
                <w:rFonts w:ascii="Verdana" w:hAnsi="Verdana"/>
                <w:sz w:val="18"/>
                <w:szCs w:val="18"/>
              </w:rPr>
              <w:t>2667</w:t>
            </w:r>
          </w:p>
        </w:tc>
      </w:tr>
      <w:tr w:rsidRPr="006F3FF7" w:rsidR="007367FC" w:rsidTr="000763A7" w14:paraId="7114331D" w14:textId="77777777">
        <w:tc>
          <w:tcPr>
            <w:tcW w:w="4295" w:type="dxa"/>
          </w:tcPr>
          <w:p w:rsidRPr="006F3FF7" w:rsidR="007367FC" w:rsidP="00A57CE8" w:rsidRDefault="007367FC" w14:paraId="035BEBA9" w14:textId="77777777">
            <w:pPr>
              <w:pStyle w:val="ListParagraph"/>
              <w:ind w:left="0"/>
              <w:rPr>
                <w:rFonts w:ascii="Verdana" w:hAnsi="Verdana"/>
                <w:sz w:val="18"/>
                <w:szCs w:val="18"/>
              </w:rPr>
            </w:pPr>
            <w:r w:rsidRPr="006F3FF7">
              <w:rPr>
                <w:rFonts w:ascii="Verdana" w:hAnsi="Verdana"/>
                <w:sz w:val="18"/>
                <w:szCs w:val="18"/>
              </w:rPr>
              <w:t>2</w:t>
            </w:r>
          </w:p>
        </w:tc>
        <w:tc>
          <w:tcPr>
            <w:tcW w:w="4335" w:type="dxa"/>
          </w:tcPr>
          <w:p w:rsidRPr="006F3FF7" w:rsidR="007367FC" w:rsidP="00A57CE8" w:rsidRDefault="007367FC" w14:paraId="786C62B8" w14:textId="77777777">
            <w:pPr>
              <w:pStyle w:val="ListParagraph"/>
              <w:ind w:left="0"/>
              <w:rPr>
                <w:rFonts w:ascii="Verdana" w:hAnsi="Verdana"/>
                <w:sz w:val="18"/>
                <w:szCs w:val="18"/>
              </w:rPr>
            </w:pPr>
            <w:r w:rsidRPr="006F3FF7">
              <w:rPr>
                <w:rFonts w:ascii="Verdana" w:hAnsi="Verdana"/>
                <w:sz w:val="18"/>
                <w:szCs w:val="18"/>
              </w:rPr>
              <w:t>5333</w:t>
            </w:r>
          </w:p>
        </w:tc>
      </w:tr>
      <w:tr w:rsidRPr="006F3FF7" w:rsidR="007367FC" w:rsidTr="000763A7" w14:paraId="0ACFBD22" w14:textId="77777777">
        <w:tc>
          <w:tcPr>
            <w:tcW w:w="4295" w:type="dxa"/>
          </w:tcPr>
          <w:p w:rsidRPr="006F3FF7" w:rsidR="007367FC" w:rsidP="00A57CE8" w:rsidRDefault="007367FC" w14:paraId="2EF9CC8F" w14:textId="77777777">
            <w:pPr>
              <w:pStyle w:val="ListParagraph"/>
              <w:ind w:left="0"/>
              <w:rPr>
                <w:rFonts w:ascii="Verdana" w:hAnsi="Verdana"/>
                <w:sz w:val="18"/>
                <w:szCs w:val="18"/>
              </w:rPr>
            </w:pPr>
            <w:r w:rsidRPr="006F3FF7">
              <w:rPr>
                <w:rFonts w:ascii="Verdana" w:hAnsi="Verdana"/>
                <w:sz w:val="18"/>
                <w:szCs w:val="18"/>
              </w:rPr>
              <w:t>3</w:t>
            </w:r>
          </w:p>
        </w:tc>
        <w:tc>
          <w:tcPr>
            <w:tcW w:w="4335" w:type="dxa"/>
          </w:tcPr>
          <w:p w:rsidRPr="006F3FF7" w:rsidR="007367FC" w:rsidP="00A57CE8" w:rsidRDefault="007367FC" w14:paraId="40294884" w14:textId="77777777">
            <w:pPr>
              <w:pStyle w:val="ListParagraph"/>
              <w:ind w:left="0"/>
              <w:rPr>
                <w:rFonts w:ascii="Verdana" w:hAnsi="Verdana"/>
                <w:sz w:val="18"/>
                <w:szCs w:val="18"/>
              </w:rPr>
            </w:pPr>
            <w:r w:rsidRPr="006F3FF7">
              <w:rPr>
                <w:rFonts w:ascii="Verdana" w:hAnsi="Verdana"/>
                <w:sz w:val="18"/>
                <w:szCs w:val="18"/>
              </w:rPr>
              <w:t>8000</w:t>
            </w:r>
          </w:p>
        </w:tc>
      </w:tr>
      <w:tr w:rsidRPr="006F3FF7" w:rsidR="007367FC" w:rsidTr="000763A7" w14:paraId="0AD2D24D" w14:textId="77777777">
        <w:tc>
          <w:tcPr>
            <w:tcW w:w="4295" w:type="dxa"/>
          </w:tcPr>
          <w:p w:rsidRPr="006F3FF7" w:rsidR="007367FC" w:rsidP="00A57CE8" w:rsidRDefault="007367FC" w14:paraId="5E977846" w14:textId="77777777">
            <w:pPr>
              <w:pStyle w:val="ListParagraph"/>
              <w:ind w:left="0"/>
              <w:rPr>
                <w:rFonts w:ascii="Verdana" w:hAnsi="Verdana"/>
                <w:sz w:val="18"/>
                <w:szCs w:val="18"/>
              </w:rPr>
            </w:pPr>
            <w:r w:rsidRPr="006F3FF7">
              <w:rPr>
                <w:rFonts w:ascii="Verdana" w:hAnsi="Verdana"/>
                <w:sz w:val="18"/>
                <w:szCs w:val="18"/>
              </w:rPr>
              <w:t>4</w:t>
            </w:r>
          </w:p>
        </w:tc>
        <w:tc>
          <w:tcPr>
            <w:tcW w:w="4335" w:type="dxa"/>
          </w:tcPr>
          <w:p w:rsidRPr="006F3FF7" w:rsidR="007367FC" w:rsidP="00A57CE8" w:rsidRDefault="007367FC" w14:paraId="73EDF4BC" w14:textId="77777777">
            <w:pPr>
              <w:pStyle w:val="ListParagraph"/>
              <w:ind w:left="0"/>
              <w:rPr>
                <w:rFonts w:ascii="Verdana" w:hAnsi="Verdana"/>
                <w:sz w:val="18"/>
                <w:szCs w:val="18"/>
              </w:rPr>
            </w:pPr>
            <w:r w:rsidRPr="006F3FF7">
              <w:rPr>
                <w:rFonts w:ascii="Verdana" w:hAnsi="Verdana"/>
                <w:sz w:val="18"/>
                <w:szCs w:val="18"/>
              </w:rPr>
              <w:t>10667</w:t>
            </w:r>
          </w:p>
        </w:tc>
      </w:tr>
      <w:tr w:rsidRPr="006F3FF7" w:rsidR="007367FC" w:rsidTr="000763A7" w14:paraId="561D3CDB" w14:textId="77777777">
        <w:tc>
          <w:tcPr>
            <w:tcW w:w="4295" w:type="dxa"/>
          </w:tcPr>
          <w:p w:rsidRPr="006F3FF7" w:rsidR="007367FC" w:rsidP="00A57CE8" w:rsidRDefault="007367FC" w14:paraId="54DA8D24" w14:textId="77777777">
            <w:pPr>
              <w:pStyle w:val="ListParagraph"/>
              <w:ind w:left="0"/>
              <w:rPr>
                <w:rFonts w:ascii="Verdana" w:hAnsi="Verdana"/>
                <w:sz w:val="18"/>
                <w:szCs w:val="18"/>
              </w:rPr>
            </w:pPr>
            <w:r w:rsidRPr="006F3FF7">
              <w:rPr>
                <w:rFonts w:ascii="Verdana" w:hAnsi="Verdana"/>
                <w:sz w:val="18"/>
                <w:szCs w:val="18"/>
              </w:rPr>
              <w:t>5</w:t>
            </w:r>
          </w:p>
        </w:tc>
        <w:tc>
          <w:tcPr>
            <w:tcW w:w="4335" w:type="dxa"/>
          </w:tcPr>
          <w:p w:rsidRPr="006F3FF7" w:rsidR="007367FC" w:rsidP="00A57CE8" w:rsidRDefault="007367FC" w14:paraId="5F658E9E" w14:textId="77777777">
            <w:pPr>
              <w:pStyle w:val="ListParagraph"/>
              <w:ind w:left="0"/>
              <w:rPr>
                <w:rFonts w:ascii="Verdana" w:hAnsi="Verdana"/>
                <w:sz w:val="18"/>
                <w:szCs w:val="18"/>
              </w:rPr>
            </w:pPr>
            <w:r w:rsidRPr="006F3FF7">
              <w:rPr>
                <w:rFonts w:ascii="Verdana" w:hAnsi="Verdana"/>
                <w:sz w:val="18"/>
                <w:szCs w:val="18"/>
              </w:rPr>
              <w:t>13333</w:t>
            </w:r>
          </w:p>
        </w:tc>
      </w:tr>
      <w:tr w:rsidRPr="006F3FF7" w:rsidR="007367FC" w:rsidTr="000763A7" w14:paraId="28A9AB5C" w14:textId="77777777">
        <w:tc>
          <w:tcPr>
            <w:tcW w:w="4295" w:type="dxa"/>
          </w:tcPr>
          <w:p w:rsidRPr="006F3FF7" w:rsidR="007367FC" w:rsidP="00A57CE8" w:rsidRDefault="007367FC" w14:paraId="3AB48842" w14:textId="77777777">
            <w:pPr>
              <w:pStyle w:val="ListParagraph"/>
              <w:ind w:left="0"/>
              <w:rPr>
                <w:rFonts w:ascii="Verdana" w:hAnsi="Verdana"/>
                <w:sz w:val="18"/>
                <w:szCs w:val="18"/>
              </w:rPr>
            </w:pPr>
            <w:r w:rsidRPr="006F3FF7">
              <w:rPr>
                <w:rFonts w:ascii="Verdana" w:hAnsi="Verdana"/>
                <w:sz w:val="18"/>
                <w:szCs w:val="18"/>
              </w:rPr>
              <w:t>6</w:t>
            </w:r>
          </w:p>
        </w:tc>
        <w:tc>
          <w:tcPr>
            <w:tcW w:w="4335" w:type="dxa"/>
          </w:tcPr>
          <w:p w:rsidRPr="006F3FF7" w:rsidR="007367FC" w:rsidP="00A57CE8" w:rsidRDefault="007367FC" w14:paraId="3ADC18A1" w14:textId="77777777">
            <w:pPr>
              <w:pStyle w:val="ListParagraph"/>
              <w:ind w:left="0"/>
              <w:rPr>
                <w:rFonts w:ascii="Verdana" w:hAnsi="Verdana"/>
                <w:sz w:val="18"/>
                <w:szCs w:val="18"/>
              </w:rPr>
            </w:pPr>
            <w:r w:rsidRPr="006F3FF7">
              <w:rPr>
                <w:rFonts w:ascii="Verdana" w:hAnsi="Verdana"/>
                <w:sz w:val="18"/>
                <w:szCs w:val="18"/>
              </w:rPr>
              <w:t>16000</w:t>
            </w:r>
          </w:p>
        </w:tc>
      </w:tr>
    </w:tbl>
    <w:p w:rsidRPr="006F3FF7" w:rsidR="007367FC" w:rsidP="000763A7" w:rsidRDefault="007367FC" w14:paraId="101FBE38" w14:textId="77777777">
      <w:pPr>
        <w:pStyle w:val="ListParagraph"/>
        <w:spacing w:after="0"/>
        <w:ind w:left="607"/>
        <w:rPr>
          <w:rFonts w:ascii="Verdana" w:hAnsi="Verdana"/>
          <w:sz w:val="18"/>
          <w:szCs w:val="18"/>
        </w:rPr>
      </w:pPr>
      <w:r w:rsidRPr="006F3FF7">
        <w:rPr>
          <w:rFonts w:ascii="Verdana" w:hAnsi="Verdana"/>
          <w:sz w:val="18"/>
          <w:szCs w:val="18"/>
        </w:rPr>
        <w:t>(Bron: Europese Commissie)</w:t>
      </w:r>
    </w:p>
    <w:p w:rsidR="1E22E280" w:rsidP="000763A7" w:rsidRDefault="1E22E280" w14:paraId="2CD11CFF" w14:textId="77777777">
      <w:pPr>
        <w:spacing w:after="0"/>
      </w:pPr>
    </w:p>
    <w:p w:rsidRPr="006F3FF7" w:rsidR="007367FC" w:rsidP="1E22E280" w:rsidRDefault="007367FC" w14:paraId="6D523462" w14:textId="69E60EAD">
      <w:pPr>
        <w:spacing w:after="0"/>
        <w:rPr>
          <w:rFonts w:ascii="Verdana" w:hAnsi="Verdana"/>
          <w:sz w:val="18"/>
          <w:szCs w:val="18"/>
        </w:rPr>
      </w:pPr>
      <w:r w:rsidRPr="006F3FF7">
        <w:rPr>
          <w:rFonts w:ascii="Verdana" w:hAnsi="Verdana"/>
          <w:sz w:val="18"/>
          <w:szCs w:val="18"/>
        </w:rPr>
        <w:t xml:space="preserve">Om in aanmerking te komen voor de </w:t>
      </w:r>
      <w:proofErr w:type="spellStart"/>
      <w:r w:rsidRPr="006F3FF7">
        <w:rPr>
          <w:rFonts w:ascii="Verdana" w:hAnsi="Verdana"/>
          <w:sz w:val="18"/>
          <w:szCs w:val="18"/>
        </w:rPr>
        <w:t>nulrechten</w:t>
      </w:r>
      <w:proofErr w:type="spellEnd"/>
      <w:r w:rsidRPr="006F3FF7">
        <w:rPr>
          <w:rFonts w:ascii="Verdana" w:hAnsi="Verdana"/>
          <w:sz w:val="18"/>
          <w:szCs w:val="18"/>
        </w:rPr>
        <w:t xml:space="preserve"> of verlaagde invoerrechten moeten ondernemers aantonen dat de oorsprong van hun product ‘Europees’ of ‘Canadees’ is. Hiervoor moeten ze voldoen aan de regels van oorsprong die zijn afgesproken onder CETA. Dit zijn regels die de economische nationaliteit van een product bepalen. Zie ook het antwoord op vraag 33.</w:t>
      </w:r>
      <w:r w:rsidRPr="006F3FF7">
        <w:rPr>
          <w:rFonts w:ascii="Verdana" w:hAnsi="Verdana"/>
          <w:sz w:val="18"/>
          <w:szCs w:val="18"/>
        </w:rPr>
        <w:br/>
      </w:r>
    </w:p>
    <w:p w:rsidRPr="006F3FF7" w:rsidR="00A57CE8" w:rsidP="00A57CE8" w:rsidRDefault="00A57CE8" w14:paraId="05B073F7" w14:textId="77777777">
      <w:pPr>
        <w:spacing w:after="0"/>
        <w:rPr>
          <w:rFonts w:ascii="Verdana" w:hAnsi="Verdana"/>
          <w:b/>
          <w:sz w:val="18"/>
          <w:szCs w:val="18"/>
        </w:rPr>
      </w:pPr>
      <w:r w:rsidRPr="006F3FF7">
        <w:rPr>
          <w:rFonts w:ascii="Verdana" w:hAnsi="Verdana"/>
          <w:b/>
          <w:sz w:val="18"/>
          <w:szCs w:val="18"/>
        </w:rPr>
        <w:t>Vraag 4</w:t>
      </w:r>
    </w:p>
    <w:p w:rsidRPr="006F3FF7" w:rsidR="00A57CE8" w:rsidP="00A57CE8" w:rsidRDefault="007367FC" w14:paraId="5D5D6E9F" w14:textId="77777777">
      <w:pPr>
        <w:spacing w:after="0"/>
        <w:rPr>
          <w:rFonts w:ascii="Verdana" w:hAnsi="Verdana"/>
          <w:sz w:val="18"/>
          <w:szCs w:val="18"/>
        </w:rPr>
      </w:pPr>
      <w:r w:rsidRPr="006F3FF7">
        <w:rPr>
          <w:rFonts w:ascii="Verdana" w:hAnsi="Verdana"/>
          <w:sz w:val="18"/>
          <w:szCs w:val="18"/>
        </w:rPr>
        <w:t>Kunt u toelichten en becijferen wat de potentiële (economische) voordelen van CETA zijn voor de tuinbouwsector?</w:t>
      </w:r>
    </w:p>
    <w:p w:rsidR="6DF94BEA" w:rsidP="6DF94BEA" w:rsidRDefault="6DF94BEA" w14:paraId="6469A3D3" w14:textId="77777777">
      <w:pPr>
        <w:spacing w:after="0"/>
      </w:pPr>
    </w:p>
    <w:p w:rsidRPr="006F3FF7" w:rsidR="00A57CE8" w:rsidP="00A57CE8" w:rsidRDefault="00A57CE8" w14:paraId="43BEBC3B" w14:textId="77777777">
      <w:pPr>
        <w:spacing w:after="0"/>
        <w:rPr>
          <w:rFonts w:ascii="Verdana" w:hAnsi="Verdana"/>
          <w:b/>
          <w:sz w:val="18"/>
          <w:szCs w:val="18"/>
        </w:rPr>
      </w:pPr>
      <w:r w:rsidRPr="006F3FF7">
        <w:rPr>
          <w:rFonts w:ascii="Verdana" w:hAnsi="Verdana"/>
          <w:b/>
          <w:sz w:val="18"/>
          <w:szCs w:val="18"/>
        </w:rPr>
        <w:t>Vraag 5</w:t>
      </w:r>
    </w:p>
    <w:p w:rsidRPr="006F3FF7" w:rsidR="00A57CE8" w:rsidP="00A57CE8" w:rsidRDefault="007367FC" w14:paraId="0747F077" w14:textId="77777777">
      <w:pPr>
        <w:spacing w:after="0"/>
        <w:rPr>
          <w:rFonts w:ascii="Verdana" w:hAnsi="Verdana"/>
          <w:b/>
          <w:sz w:val="18"/>
          <w:szCs w:val="18"/>
        </w:rPr>
      </w:pPr>
      <w:r w:rsidRPr="006F3FF7">
        <w:rPr>
          <w:rFonts w:ascii="Verdana" w:hAnsi="Verdana"/>
          <w:sz w:val="18"/>
          <w:szCs w:val="18"/>
        </w:rPr>
        <w:t>Kunt u toelichten en becijferen wat de potentiële (economische)  voordelen van CETA zijn voor de akkerbouwsector?</w:t>
      </w:r>
    </w:p>
    <w:p w:rsidR="6DF94BEA" w:rsidP="6DF94BEA" w:rsidRDefault="6DF94BEA" w14:paraId="6DE0AE37" w14:textId="77777777">
      <w:pPr>
        <w:spacing w:after="0"/>
      </w:pPr>
    </w:p>
    <w:p w:rsidRPr="006F3FF7" w:rsidR="00A57CE8" w:rsidP="00A57CE8" w:rsidRDefault="00A57CE8" w14:paraId="5F885B88" w14:textId="77777777">
      <w:pPr>
        <w:spacing w:after="0"/>
        <w:rPr>
          <w:rFonts w:ascii="Verdana" w:hAnsi="Verdana"/>
          <w:sz w:val="18"/>
          <w:szCs w:val="18"/>
        </w:rPr>
      </w:pPr>
      <w:r w:rsidRPr="006F3FF7">
        <w:rPr>
          <w:rFonts w:ascii="Verdana" w:hAnsi="Verdana"/>
          <w:b/>
          <w:sz w:val="18"/>
          <w:szCs w:val="18"/>
        </w:rPr>
        <w:t>Vraag 6</w:t>
      </w:r>
    </w:p>
    <w:p w:rsidR="226DC786" w:rsidP="226DC786" w:rsidRDefault="007367FC" w14:paraId="0D2C4B73" w14:textId="77777777">
      <w:pPr>
        <w:spacing w:after="0"/>
      </w:pPr>
      <w:r w:rsidRPr="006F3FF7">
        <w:rPr>
          <w:rFonts w:ascii="Verdana" w:hAnsi="Verdana"/>
          <w:sz w:val="18"/>
          <w:szCs w:val="18"/>
        </w:rPr>
        <w:t>Kunt u toelichten en becijferen wat de potentiële (economische) voordelen van CETA zijn voor de melkveehouderij?</w:t>
      </w:r>
    </w:p>
    <w:p w:rsidRPr="006F3FF7" w:rsidR="00A57CE8" w:rsidP="00A57CE8" w:rsidRDefault="00A57CE8" w14:paraId="7757227C" w14:textId="77777777">
      <w:pPr>
        <w:spacing w:after="0"/>
        <w:rPr>
          <w:rFonts w:ascii="Verdana" w:hAnsi="Verdana"/>
          <w:b/>
          <w:sz w:val="18"/>
          <w:szCs w:val="18"/>
        </w:rPr>
      </w:pPr>
    </w:p>
    <w:p w:rsidRPr="006F3FF7" w:rsidR="00A57CE8" w:rsidP="00A57CE8" w:rsidRDefault="00A57CE8" w14:paraId="64D2F996" w14:textId="77777777">
      <w:pPr>
        <w:spacing w:after="0"/>
        <w:rPr>
          <w:rFonts w:ascii="Verdana" w:hAnsi="Verdana"/>
          <w:sz w:val="18"/>
          <w:szCs w:val="18"/>
        </w:rPr>
      </w:pPr>
      <w:r w:rsidRPr="006F3FF7">
        <w:rPr>
          <w:rFonts w:ascii="Verdana" w:hAnsi="Verdana"/>
          <w:b/>
          <w:sz w:val="18"/>
          <w:szCs w:val="18"/>
        </w:rPr>
        <w:t>Vraag 7</w:t>
      </w:r>
    </w:p>
    <w:p w:rsidRPr="006F3FF7" w:rsidR="007367FC" w:rsidP="00A57CE8" w:rsidRDefault="007367FC" w14:paraId="0CBDEA27" w14:textId="77777777">
      <w:pPr>
        <w:spacing w:after="0"/>
        <w:rPr>
          <w:rFonts w:ascii="Verdana" w:hAnsi="Verdana"/>
          <w:sz w:val="18"/>
          <w:szCs w:val="18"/>
        </w:rPr>
      </w:pPr>
      <w:r w:rsidRPr="006F3FF7">
        <w:rPr>
          <w:rFonts w:ascii="Verdana" w:hAnsi="Verdana"/>
          <w:sz w:val="18"/>
          <w:szCs w:val="18"/>
        </w:rPr>
        <w:t>Kunt u toelichten en becijferen wat de potentiële (economische) voordelen van CETA zijn voor de pluimveehouderij?</w:t>
      </w:r>
    </w:p>
    <w:p w:rsidRPr="006F3FF7" w:rsidR="00A57CE8" w:rsidP="00A57CE8" w:rsidRDefault="00A57CE8" w14:paraId="6CCC9AE7" w14:textId="77777777">
      <w:pPr>
        <w:spacing w:after="0"/>
        <w:rPr>
          <w:rFonts w:ascii="Verdana" w:hAnsi="Verdana"/>
          <w:sz w:val="18"/>
          <w:szCs w:val="18"/>
        </w:rPr>
      </w:pPr>
    </w:p>
    <w:p w:rsidRPr="006F3FF7" w:rsidR="00A57CE8" w:rsidP="00A57CE8" w:rsidRDefault="00A57CE8" w14:paraId="005F8DBA" w14:textId="77777777">
      <w:pPr>
        <w:spacing w:after="0"/>
        <w:rPr>
          <w:rFonts w:ascii="Verdana" w:hAnsi="Verdana"/>
          <w:b/>
          <w:sz w:val="18"/>
          <w:szCs w:val="18"/>
        </w:rPr>
      </w:pPr>
      <w:r w:rsidRPr="006F3FF7">
        <w:rPr>
          <w:rFonts w:ascii="Verdana" w:hAnsi="Verdana"/>
          <w:b/>
          <w:sz w:val="18"/>
          <w:szCs w:val="18"/>
        </w:rPr>
        <w:t>Antwoord</w:t>
      </w:r>
      <w:r w:rsidR="00364B89">
        <w:rPr>
          <w:rFonts w:ascii="Verdana" w:hAnsi="Verdana"/>
          <w:b/>
          <w:sz w:val="18"/>
          <w:szCs w:val="18"/>
        </w:rPr>
        <w:t xml:space="preserve"> vragen 4 t/m 7</w:t>
      </w:r>
    </w:p>
    <w:p w:rsidR="005852A4" w:rsidP="00364B89" w:rsidRDefault="00364B89" w14:paraId="6CCCCB25" w14:textId="77777777">
      <w:pPr>
        <w:rPr>
          <w:rStyle w:val="bumpedfont15"/>
          <w:rFonts w:ascii="Verdana" w:hAnsi="Verdana" w:eastAsia="Times New Roman" w:cstheme="minorHAnsi"/>
          <w:sz w:val="18"/>
          <w:szCs w:val="18"/>
        </w:rPr>
      </w:pPr>
      <w:r>
        <w:rPr>
          <w:rFonts w:ascii="Verdana" w:hAnsi="Verdana"/>
          <w:sz w:val="18"/>
          <w:szCs w:val="18"/>
        </w:rPr>
        <w:t xml:space="preserve">Becijferen van de voordelen voor Nederland per sector is niet mogelijk omdat </w:t>
      </w:r>
      <w:r w:rsidRPr="008F6DDF">
        <w:rPr>
          <w:rStyle w:val="bumpedfont15"/>
          <w:rFonts w:ascii="Verdana" w:hAnsi="Verdana" w:eastAsia="Times New Roman" w:cstheme="minorHAnsi"/>
          <w:sz w:val="18"/>
          <w:szCs w:val="18"/>
        </w:rPr>
        <w:t>ook andere factoren invloed hebben op de handel met Canada</w:t>
      </w:r>
      <w:r>
        <w:rPr>
          <w:rStyle w:val="bumpedfont15"/>
          <w:rFonts w:ascii="Verdana" w:hAnsi="Verdana" w:eastAsia="Times New Roman" w:cstheme="minorHAnsi"/>
          <w:sz w:val="18"/>
          <w:szCs w:val="18"/>
        </w:rPr>
        <w:t xml:space="preserve">. Zie ook het antwoord op vraag 1. </w:t>
      </w:r>
      <w:r w:rsidR="005852A4">
        <w:rPr>
          <w:rStyle w:val="bumpedfont15"/>
          <w:rFonts w:ascii="Verdana" w:hAnsi="Verdana" w:eastAsia="Times New Roman" w:cstheme="minorHAnsi"/>
          <w:sz w:val="18"/>
          <w:szCs w:val="18"/>
        </w:rPr>
        <w:t xml:space="preserve">Voor alle sectoren geldt dat producten ingevoerd uit Canada moeten voldoen aan EU standaarden zoals op het gebied van voedselveiligheid. </w:t>
      </w:r>
      <w:r w:rsidR="00440C3D">
        <w:rPr>
          <w:rStyle w:val="bumpedfont15"/>
          <w:rFonts w:ascii="Verdana" w:hAnsi="Verdana" w:eastAsia="Times New Roman" w:cstheme="minorHAnsi"/>
          <w:sz w:val="18"/>
          <w:szCs w:val="18"/>
        </w:rPr>
        <w:t xml:space="preserve">Daarnaast behoudt de EU de mogelijkheid om reeds bestaande instrumenten te gebruiken voor het beschermen van Europese boeren. </w:t>
      </w:r>
      <w:r w:rsidR="003151E5">
        <w:rPr>
          <w:rStyle w:val="bumpedfont15"/>
          <w:rFonts w:ascii="Verdana" w:hAnsi="Verdana" w:eastAsia="Times New Roman" w:cstheme="minorHAnsi"/>
          <w:sz w:val="18"/>
          <w:szCs w:val="18"/>
        </w:rPr>
        <w:t xml:space="preserve">Zoals </w:t>
      </w:r>
      <w:r w:rsidR="00C85EC5">
        <w:rPr>
          <w:rStyle w:val="bumpedfont15"/>
          <w:rFonts w:ascii="Verdana" w:hAnsi="Verdana" w:eastAsia="Times New Roman" w:cstheme="minorHAnsi"/>
          <w:sz w:val="18"/>
          <w:szCs w:val="18"/>
        </w:rPr>
        <w:t>het systeem van toegangsprijzen voor seizoensgebonden groenten en fruit.</w:t>
      </w:r>
    </w:p>
    <w:p w:rsidR="005852A4" w:rsidP="00B32D5E" w:rsidRDefault="005852A4" w14:paraId="079A3B97" w14:textId="61AEB4A4">
      <w:pPr>
        <w:ind w:left="720"/>
        <w:rPr>
          <w:rStyle w:val="bumpedfont15"/>
          <w:rFonts w:ascii="Verdana" w:hAnsi="Verdana" w:eastAsia="Times New Roman" w:cstheme="minorHAnsi"/>
          <w:sz w:val="18"/>
          <w:szCs w:val="18"/>
        </w:rPr>
      </w:pPr>
      <w:r w:rsidRPr="00954FE1">
        <w:rPr>
          <w:rStyle w:val="bumpedfont15"/>
          <w:rFonts w:ascii="Verdana" w:hAnsi="Verdana" w:eastAsia="Times New Roman" w:cstheme="minorHAnsi"/>
          <w:sz w:val="18"/>
          <w:szCs w:val="18"/>
          <w:u w:val="single"/>
        </w:rPr>
        <w:t>Tuinbouw &amp; akkerbouw</w:t>
      </w:r>
      <w:r w:rsidR="00954FE1">
        <w:rPr>
          <w:rStyle w:val="bumpedfont15"/>
          <w:rFonts w:ascii="Verdana" w:hAnsi="Verdana" w:eastAsia="Times New Roman" w:cstheme="minorHAnsi"/>
          <w:b/>
          <w:sz w:val="18"/>
          <w:szCs w:val="18"/>
        </w:rPr>
        <w:t>:</w:t>
      </w:r>
      <w:r>
        <w:rPr>
          <w:rStyle w:val="bumpedfont15"/>
          <w:rFonts w:ascii="Verdana" w:hAnsi="Verdana" w:eastAsia="Times New Roman" w:cstheme="minorHAnsi"/>
          <w:b/>
          <w:sz w:val="18"/>
          <w:szCs w:val="18"/>
        </w:rPr>
        <w:t xml:space="preserve"> </w:t>
      </w:r>
      <w:r w:rsidR="00954FE1">
        <w:rPr>
          <w:rStyle w:val="bumpedfont15"/>
          <w:rFonts w:ascii="Verdana" w:hAnsi="Verdana" w:eastAsia="Times New Roman" w:cstheme="minorHAnsi"/>
          <w:sz w:val="18"/>
          <w:szCs w:val="18"/>
        </w:rPr>
        <w:t>n</w:t>
      </w:r>
      <w:r w:rsidR="00326C85">
        <w:rPr>
          <w:rStyle w:val="bumpedfont15"/>
          <w:rFonts w:ascii="Verdana" w:hAnsi="Verdana" w:eastAsia="Times New Roman" w:cstheme="minorHAnsi"/>
          <w:sz w:val="18"/>
          <w:szCs w:val="18"/>
        </w:rPr>
        <w:t xml:space="preserve">aast verlaging van Canadese tarieven zijn er een aantal non-tarifaire voordelen. Nederland is bijvoorbeeld de grootste EU exporteur van zaden en bollen. CETA </w:t>
      </w:r>
      <w:r w:rsidR="006730FF">
        <w:rPr>
          <w:rStyle w:val="bumpedfont15"/>
          <w:rFonts w:ascii="Verdana" w:hAnsi="Verdana" w:eastAsia="Times New Roman" w:cstheme="minorHAnsi"/>
          <w:sz w:val="18"/>
          <w:szCs w:val="18"/>
        </w:rPr>
        <w:t>bevat</w:t>
      </w:r>
      <w:r w:rsidR="00326C85">
        <w:rPr>
          <w:rStyle w:val="bumpedfont15"/>
          <w:rFonts w:ascii="Verdana" w:hAnsi="Verdana" w:eastAsia="Times New Roman" w:cstheme="minorHAnsi"/>
          <w:sz w:val="18"/>
          <w:szCs w:val="18"/>
        </w:rPr>
        <w:t xml:space="preserve"> onder andere afspraken </w:t>
      </w:r>
      <w:r w:rsidR="006730FF">
        <w:rPr>
          <w:rStyle w:val="bumpedfont15"/>
          <w:rFonts w:ascii="Verdana" w:hAnsi="Verdana" w:eastAsia="Times New Roman" w:cstheme="minorHAnsi"/>
          <w:sz w:val="18"/>
          <w:szCs w:val="18"/>
        </w:rPr>
        <w:t>over</w:t>
      </w:r>
      <w:r w:rsidR="00326C85">
        <w:rPr>
          <w:rStyle w:val="bumpedfont15"/>
          <w:rFonts w:ascii="Verdana" w:hAnsi="Verdana" w:eastAsia="Times New Roman" w:cstheme="minorHAnsi"/>
          <w:sz w:val="18"/>
          <w:szCs w:val="18"/>
        </w:rPr>
        <w:t xml:space="preserve"> intellectueel eigendom.</w:t>
      </w:r>
      <w:r w:rsidR="006B389D">
        <w:rPr>
          <w:rStyle w:val="bumpedfont15"/>
          <w:rFonts w:ascii="Verdana" w:hAnsi="Verdana" w:eastAsia="Times New Roman" w:cstheme="minorHAnsi"/>
          <w:sz w:val="18"/>
          <w:szCs w:val="18"/>
        </w:rPr>
        <w:t xml:space="preserve"> </w:t>
      </w:r>
      <w:r w:rsidR="006730FF">
        <w:rPr>
          <w:rStyle w:val="bumpedfont15"/>
          <w:rFonts w:ascii="Verdana" w:hAnsi="Verdana" w:eastAsia="Times New Roman" w:cstheme="minorHAnsi"/>
          <w:sz w:val="18"/>
          <w:szCs w:val="18"/>
        </w:rPr>
        <w:t>Hier</w:t>
      </w:r>
      <w:r w:rsidR="006B389D">
        <w:rPr>
          <w:rStyle w:val="bumpedfont15"/>
          <w:rFonts w:ascii="Verdana" w:hAnsi="Verdana" w:eastAsia="Times New Roman" w:cstheme="minorHAnsi"/>
          <w:sz w:val="18"/>
          <w:szCs w:val="18"/>
        </w:rPr>
        <w:t xml:space="preserve">door </w:t>
      </w:r>
      <w:r w:rsidR="006730FF">
        <w:rPr>
          <w:rStyle w:val="bumpedfont15"/>
          <w:rFonts w:ascii="Verdana" w:hAnsi="Verdana" w:eastAsia="Times New Roman" w:cstheme="minorHAnsi"/>
          <w:sz w:val="18"/>
          <w:szCs w:val="18"/>
        </w:rPr>
        <w:t xml:space="preserve">genieten </w:t>
      </w:r>
      <w:r w:rsidR="006B389D">
        <w:rPr>
          <w:rStyle w:val="bumpedfont15"/>
          <w:rFonts w:ascii="Verdana" w:hAnsi="Verdana" w:eastAsia="Times New Roman" w:cstheme="minorHAnsi"/>
          <w:sz w:val="18"/>
          <w:szCs w:val="18"/>
        </w:rPr>
        <w:t xml:space="preserve">Nederlandse innovaties op het gebied van zaadveredeling </w:t>
      </w:r>
      <w:r w:rsidR="00ED55E7">
        <w:rPr>
          <w:rStyle w:val="bumpedfont15"/>
          <w:rFonts w:ascii="Verdana" w:hAnsi="Verdana" w:eastAsia="Times New Roman" w:cstheme="minorHAnsi"/>
          <w:sz w:val="18"/>
          <w:szCs w:val="18"/>
        </w:rPr>
        <w:t xml:space="preserve">in Canada </w:t>
      </w:r>
      <w:r w:rsidR="006B389D">
        <w:rPr>
          <w:rStyle w:val="bumpedfont15"/>
          <w:rFonts w:ascii="Verdana" w:hAnsi="Verdana" w:eastAsia="Times New Roman" w:cstheme="minorHAnsi"/>
          <w:sz w:val="18"/>
          <w:szCs w:val="18"/>
        </w:rPr>
        <w:t>dezelfde bescherming als binnen de EU</w:t>
      </w:r>
      <w:r w:rsidR="00ED55E7">
        <w:rPr>
          <w:rStyle w:val="bumpedfont15"/>
          <w:rFonts w:ascii="Verdana" w:hAnsi="Verdana" w:eastAsia="Times New Roman" w:cstheme="minorHAnsi"/>
          <w:sz w:val="18"/>
          <w:szCs w:val="18"/>
        </w:rPr>
        <w:t>.</w:t>
      </w:r>
    </w:p>
    <w:p w:rsidRPr="005C6CB7" w:rsidR="002E38CB" w:rsidP="00B32D5E" w:rsidRDefault="002E38CB" w14:paraId="42ECB5FE" w14:textId="26E2CBB0">
      <w:pPr>
        <w:ind w:left="720"/>
        <w:rPr>
          <w:rFonts w:ascii="Verdana" w:hAnsi="Verdana" w:eastAsia="Times New Roman" w:cstheme="minorHAnsi"/>
          <w:sz w:val="18"/>
          <w:szCs w:val="18"/>
        </w:rPr>
      </w:pPr>
      <w:r w:rsidRPr="005C6CB7">
        <w:rPr>
          <w:rFonts w:ascii="Verdana" w:hAnsi="Verdana" w:eastAsia="Times New Roman" w:cstheme="minorHAnsi"/>
          <w:sz w:val="18"/>
          <w:szCs w:val="18"/>
        </w:rPr>
        <w:t>Het</w:t>
      </w:r>
      <w:r w:rsidRPr="005C6CB7" w:rsidR="0003100C">
        <w:rPr>
          <w:rFonts w:ascii="Verdana" w:hAnsi="Verdana" w:eastAsia="Times New Roman" w:cstheme="minorHAnsi"/>
          <w:sz w:val="18"/>
          <w:szCs w:val="18"/>
        </w:rPr>
        <w:t xml:space="preserve"> grootste export</w:t>
      </w:r>
      <w:r w:rsidRPr="005C6CB7">
        <w:rPr>
          <w:rFonts w:ascii="Verdana" w:hAnsi="Verdana" w:eastAsia="Times New Roman" w:cstheme="minorHAnsi"/>
          <w:sz w:val="18"/>
          <w:szCs w:val="18"/>
        </w:rPr>
        <w:t xml:space="preserve">product uit kassen naar Canada zijn pepers </w:t>
      </w:r>
      <w:r w:rsidRPr="005C6CB7" w:rsidR="005C6CB7">
        <w:rPr>
          <w:rFonts w:ascii="Verdana" w:hAnsi="Verdana" w:eastAsia="Times New Roman" w:cstheme="minorHAnsi"/>
          <w:sz w:val="18"/>
          <w:szCs w:val="18"/>
        </w:rPr>
        <w:t xml:space="preserve">zonder scherpe smaak </w:t>
      </w:r>
      <w:r w:rsidRPr="005C6CB7">
        <w:rPr>
          <w:rFonts w:ascii="Verdana" w:hAnsi="Verdana" w:eastAsia="Times New Roman" w:cstheme="minorHAnsi"/>
          <w:sz w:val="18"/>
          <w:szCs w:val="18"/>
        </w:rPr>
        <w:t>(waaronder paprika’s) met een</w:t>
      </w:r>
      <w:r>
        <w:rPr>
          <w:rFonts w:ascii="Verdana" w:hAnsi="Verdana" w:eastAsia="Times New Roman" w:cstheme="minorHAnsi"/>
          <w:sz w:val="18"/>
          <w:szCs w:val="18"/>
        </w:rPr>
        <w:t xml:space="preserve"> totale exportwaarde van EUR </w:t>
      </w:r>
      <w:r w:rsidR="00984B26">
        <w:rPr>
          <w:rFonts w:ascii="Verdana" w:hAnsi="Verdana" w:eastAsia="Times New Roman" w:cstheme="minorHAnsi"/>
          <w:sz w:val="18"/>
          <w:szCs w:val="18"/>
        </w:rPr>
        <w:t>6,1</w:t>
      </w:r>
      <w:r w:rsidRPr="005C6CB7">
        <w:rPr>
          <w:rFonts w:ascii="Verdana" w:hAnsi="Verdana" w:eastAsia="Times New Roman" w:cstheme="minorHAnsi"/>
          <w:sz w:val="18"/>
          <w:szCs w:val="18"/>
        </w:rPr>
        <w:t xml:space="preserve"> miljoen</w:t>
      </w:r>
      <w:r w:rsidRPr="005C6CB7" w:rsidR="00653F15">
        <w:rPr>
          <w:rFonts w:ascii="Verdana" w:hAnsi="Verdana" w:eastAsia="Times New Roman" w:cstheme="minorHAnsi"/>
          <w:sz w:val="18"/>
          <w:szCs w:val="18"/>
        </w:rPr>
        <w:t xml:space="preserve"> in 2018</w:t>
      </w:r>
      <w:r w:rsidRPr="005C6CB7">
        <w:rPr>
          <w:rFonts w:ascii="Verdana" w:hAnsi="Verdana" w:eastAsia="Times New Roman" w:cstheme="minorHAnsi"/>
          <w:sz w:val="18"/>
          <w:szCs w:val="18"/>
        </w:rPr>
        <w:t>. Daarna volgen komkommers (EUR 1,</w:t>
      </w:r>
      <w:r w:rsidRPr="005C6CB7" w:rsidR="005C6CB7">
        <w:rPr>
          <w:rFonts w:ascii="Verdana" w:hAnsi="Verdana" w:eastAsia="Times New Roman" w:cstheme="minorHAnsi"/>
          <w:sz w:val="18"/>
          <w:szCs w:val="18"/>
        </w:rPr>
        <w:t>3</w:t>
      </w:r>
      <w:r w:rsidRPr="005C6CB7">
        <w:rPr>
          <w:rFonts w:ascii="Verdana" w:hAnsi="Verdana" w:eastAsia="Times New Roman" w:cstheme="minorHAnsi"/>
          <w:sz w:val="18"/>
          <w:szCs w:val="18"/>
        </w:rPr>
        <w:t xml:space="preserve"> miljoen) en aubergines (EUR 0,</w:t>
      </w:r>
      <w:r w:rsidRPr="005C6CB7" w:rsidR="005C6CB7">
        <w:rPr>
          <w:rFonts w:ascii="Verdana" w:hAnsi="Verdana" w:eastAsia="Times New Roman" w:cstheme="minorHAnsi"/>
          <w:sz w:val="18"/>
          <w:szCs w:val="18"/>
        </w:rPr>
        <w:t>6</w:t>
      </w:r>
      <w:r w:rsidRPr="005C6CB7">
        <w:rPr>
          <w:rFonts w:ascii="Verdana" w:hAnsi="Verdana" w:eastAsia="Times New Roman" w:cstheme="minorHAnsi"/>
          <w:sz w:val="18"/>
          <w:szCs w:val="18"/>
        </w:rPr>
        <w:t xml:space="preserve"> miljoen). Daarbovenop exporteren Nederlandse bedrijven ook voor EUR 19,9 miljoen aan broeikassen naar Canada. </w:t>
      </w:r>
    </w:p>
    <w:p w:rsidRPr="005C6CB7" w:rsidR="002E38CB" w:rsidP="00B32D5E" w:rsidRDefault="0072573F" w14:paraId="0E0EBC93" w14:textId="59E2AAD3">
      <w:pPr>
        <w:ind w:left="720"/>
        <w:rPr>
          <w:rFonts w:ascii="Verdana" w:hAnsi="Verdana" w:eastAsia="Times New Roman" w:cstheme="minorHAnsi"/>
          <w:sz w:val="18"/>
          <w:szCs w:val="18"/>
        </w:rPr>
      </w:pPr>
      <w:r w:rsidRPr="005C6CB7">
        <w:rPr>
          <w:rFonts w:ascii="Verdana" w:hAnsi="Verdana" w:eastAsia="Times New Roman" w:cstheme="minorHAnsi"/>
          <w:sz w:val="18"/>
          <w:szCs w:val="18"/>
        </w:rPr>
        <w:t>De grootste exportproducten</w:t>
      </w:r>
      <w:r w:rsidRPr="005C6CB7" w:rsidR="0003100C">
        <w:rPr>
          <w:rFonts w:ascii="Verdana" w:hAnsi="Verdana" w:eastAsia="Times New Roman" w:cstheme="minorHAnsi"/>
          <w:sz w:val="18"/>
          <w:szCs w:val="18"/>
        </w:rPr>
        <w:t xml:space="preserve"> naar Canada</w:t>
      </w:r>
      <w:r w:rsidRPr="005C6CB7">
        <w:rPr>
          <w:rFonts w:ascii="Verdana" w:hAnsi="Verdana" w:eastAsia="Times New Roman" w:cstheme="minorHAnsi"/>
          <w:sz w:val="18"/>
          <w:szCs w:val="18"/>
        </w:rPr>
        <w:t xml:space="preserve"> in de categorie akkerbouw zijn groentezaad en zaaigoed met een exportwaarde van EUR 37,4 miljoen, tulpenbollen (EUR 12,3 miljoen) en andere bollen (EUR 10,6 miljoen)</w:t>
      </w:r>
      <w:r w:rsidR="001F231A">
        <w:rPr>
          <w:rFonts w:ascii="Verdana" w:hAnsi="Verdana" w:eastAsia="Times New Roman" w:cstheme="minorHAnsi"/>
          <w:sz w:val="18"/>
          <w:szCs w:val="18"/>
        </w:rPr>
        <w:t>.</w:t>
      </w:r>
    </w:p>
    <w:p w:rsidR="00653F15" w:rsidP="00B32D5E" w:rsidRDefault="005852A4" w14:paraId="66650B12" w14:textId="3E98937D">
      <w:pPr>
        <w:ind w:left="720"/>
        <w:rPr>
          <w:rStyle w:val="bumpedfont15"/>
          <w:rFonts w:ascii="Verdana" w:hAnsi="Verdana" w:eastAsia="Times New Roman" w:cstheme="minorHAnsi"/>
          <w:sz w:val="18"/>
          <w:szCs w:val="18"/>
        </w:rPr>
      </w:pPr>
      <w:r w:rsidRPr="00954FE1">
        <w:rPr>
          <w:rStyle w:val="bumpedfont15"/>
          <w:rFonts w:ascii="Verdana" w:hAnsi="Verdana" w:eastAsia="Times New Roman" w:cstheme="minorHAnsi"/>
          <w:sz w:val="18"/>
          <w:szCs w:val="18"/>
          <w:u w:val="single"/>
        </w:rPr>
        <w:lastRenderedPageBreak/>
        <w:t>Melkveehouderij</w:t>
      </w:r>
      <w:r w:rsidRPr="00954FE1" w:rsidR="00954FE1">
        <w:rPr>
          <w:rStyle w:val="bumpedfont15"/>
          <w:rFonts w:ascii="Verdana" w:hAnsi="Verdana" w:eastAsia="Times New Roman" w:cstheme="minorHAnsi"/>
          <w:sz w:val="18"/>
          <w:szCs w:val="18"/>
          <w:u w:val="single"/>
        </w:rPr>
        <w:t>:</w:t>
      </w:r>
      <w:r w:rsidR="00954FE1">
        <w:rPr>
          <w:rStyle w:val="bumpedfont15"/>
          <w:rFonts w:ascii="Verdana" w:hAnsi="Verdana" w:eastAsia="Times New Roman" w:cstheme="minorHAnsi"/>
          <w:b/>
          <w:sz w:val="18"/>
          <w:szCs w:val="18"/>
        </w:rPr>
        <w:t xml:space="preserve"> </w:t>
      </w:r>
      <w:r w:rsidRPr="00AD4525" w:rsidR="00954FE1">
        <w:rPr>
          <w:rStyle w:val="bumpedfont15"/>
          <w:rFonts w:ascii="Verdana" w:hAnsi="Verdana" w:eastAsia="Times New Roman" w:cstheme="minorHAnsi"/>
          <w:sz w:val="18"/>
          <w:szCs w:val="18"/>
        </w:rPr>
        <w:t>v</w:t>
      </w:r>
      <w:r w:rsidR="00ED26C5">
        <w:rPr>
          <w:rStyle w:val="bumpedfont15"/>
          <w:rFonts w:ascii="Verdana" w:hAnsi="Verdana" w:eastAsia="Times New Roman" w:cstheme="minorHAnsi"/>
          <w:sz w:val="18"/>
          <w:szCs w:val="18"/>
        </w:rPr>
        <w:t>oordelen komen vooral op het gebied van de uitvoer van kaas naar Canada. Canada verhoogt zijn tarief-vrije quota</w:t>
      </w:r>
      <w:r w:rsidR="00177014">
        <w:rPr>
          <w:rStyle w:val="bumpedfont15"/>
          <w:rFonts w:ascii="Verdana" w:hAnsi="Verdana" w:eastAsia="Times New Roman" w:cstheme="minorHAnsi"/>
          <w:sz w:val="18"/>
          <w:szCs w:val="18"/>
        </w:rPr>
        <w:t>. Op kaas die onder dit quotum wordt ge</w:t>
      </w:r>
      <w:r w:rsidRPr="008F6DDF" w:rsidR="00177014">
        <w:rPr>
          <w:rStyle w:val="bumpedfont15"/>
          <w:rFonts w:ascii="Verdana" w:hAnsi="Verdana" w:eastAsia="Times New Roman" w:cstheme="minorHAnsi"/>
          <w:sz w:val="18"/>
          <w:szCs w:val="18"/>
        </w:rPr>
        <w:t xml:space="preserve">ïmporteerd zit een tarief van minder dan </w:t>
      </w:r>
      <w:r w:rsidR="00177014">
        <w:rPr>
          <w:rStyle w:val="bumpedfont15"/>
          <w:rFonts w:ascii="Verdana" w:hAnsi="Verdana" w:eastAsia="Times New Roman" w:cstheme="minorHAnsi"/>
          <w:sz w:val="18"/>
          <w:szCs w:val="18"/>
        </w:rPr>
        <w:t>één procent terwijl in Canada normaal een tarief van 245 procent op kaas geldt.</w:t>
      </w:r>
      <w:r w:rsidR="00044F3F">
        <w:rPr>
          <w:rStyle w:val="bumpedfont15"/>
          <w:rFonts w:ascii="Verdana" w:hAnsi="Verdana" w:eastAsia="Times New Roman" w:cstheme="minorHAnsi"/>
          <w:sz w:val="18"/>
          <w:szCs w:val="18"/>
        </w:rPr>
        <w:t xml:space="preserve"> </w:t>
      </w:r>
    </w:p>
    <w:p w:rsidRPr="00B205D1" w:rsidR="00B205D1" w:rsidP="00B205D1" w:rsidRDefault="00025972" w14:paraId="39521387" w14:textId="763C1200">
      <w:pPr>
        <w:ind w:left="720"/>
        <w:rPr>
          <w:rFonts w:ascii="Verdana" w:hAnsi="Verdana" w:eastAsia="Times New Roman" w:cstheme="minorHAnsi"/>
          <w:sz w:val="18"/>
          <w:szCs w:val="18"/>
        </w:rPr>
      </w:pPr>
      <w:r>
        <w:rPr>
          <w:rFonts w:ascii="Verdana" w:hAnsi="Verdana" w:eastAsia="Times New Roman" w:cstheme="minorHAnsi"/>
          <w:sz w:val="18"/>
          <w:szCs w:val="18"/>
        </w:rPr>
        <w:t>De export van verse melk naar C</w:t>
      </w:r>
      <w:r w:rsidRPr="00B205D1" w:rsidR="00B205D1">
        <w:rPr>
          <w:rFonts w:ascii="Verdana" w:hAnsi="Verdana" w:eastAsia="Times New Roman" w:cstheme="minorHAnsi"/>
          <w:sz w:val="18"/>
          <w:szCs w:val="18"/>
        </w:rPr>
        <w:t>anada is beperkt, wel exporteren Nederlandse kaasmakers veel kaas naar Canada. In 2018 ging het om een totale waarde van</w:t>
      </w:r>
      <w:r>
        <w:rPr>
          <w:rFonts w:ascii="Verdana" w:hAnsi="Verdana" w:eastAsia="Times New Roman" w:cstheme="minorHAnsi"/>
          <w:sz w:val="18"/>
          <w:szCs w:val="18"/>
        </w:rPr>
        <w:t xml:space="preserve"> EUR 11,4 miljoen waarvan voor EUR 7,</w:t>
      </w:r>
      <w:r w:rsidRPr="00B205D1" w:rsidR="00B205D1">
        <w:rPr>
          <w:rFonts w:ascii="Verdana" w:hAnsi="Verdana" w:eastAsia="Times New Roman" w:cstheme="minorHAnsi"/>
          <w:sz w:val="18"/>
          <w:szCs w:val="18"/>
        </w:rPr>
        <w:t xml:space="preserve">1 miljoen Goudse kaas en EUR 0,6 miljoen Edammer kaas. </w:t>
      </w:r>
    </w:p>
    <w:p w:rsidR="00364B89" w:rsidP="00B32D5E" w:rsidRDefault="005852A4" w14:paraId="77813A68" w14:textId="77777777">
      <w:pPr>
        <w:ind w:left="720"/>
        <w:rPr>
          <w:rStyle w:val="bumpedfont15"/>
          <w:rFonts w:ascii="Verdana" w:hAnsi="Verdana" w:eastAsia="Times New Roman" w:cstheme="minorHAnsi"/>
          <w:sz w:val="18"/>
          <w:szCs w:val="18"/>
        </w:rPr>
      </w:pPr>
      <w:r w:rsidRPr="00954FE1">
        <w:rPr>
          <w:rStyle w:val="bumpedfont15"/>
          <w:rFonts w:ascii="Verdana" w:hAnsi="Verdana" w:eastAsia="Times New Roman" w:cstheme="minorHAnsi"/>
          <w:sz w:val="18"/>
          <w:szCs w:val="18"/>
          <w:u w:val="single"/>
        </w:rPr>
        <w:t>Pluimveehouderij</w:t>
      </w:r>
      <w:r w:rsidR="00954FE1">
        <w:rPr>
          <w:rStyle w:val="bumpedfont15"/>
          <w:rFonts w:ascii="Verdana" w:hAnsi="Verdana" w:eastAsia="Times New Roman" w:cstheme="minorHAnsi"/>
          <w:sz w:val="18"/>
          <w:szCs w:val="18"/>
        </w:rPr>
        <w:t>: v</w:t>
      </w:r>
      <w:r>
        <w:rPr>
          <w:rStyle w:val="bumpedfont15"/>
          <w:rFonts w:ascii="Verdana" w:hAnsi="Verdana" w:eastAsia="Times New Roman" w:cstheme="minorHAnsi"/>
          <w:sz w:val="18"/>
          <w:szCs w:val="18"/>
        </w:rPr>
        <w:t>anwege de gevoeligheid van deze producten zijn eieren en kippenvlees uitgesloten van tariefverlagingen.</w:t>
      </w:r>
    </w:p>
    <w:p w:rsidRPr="00954FE1" w:rsidR="006B3975" w:rsidP="00B32D5E" w:rsidRDefault="00DC03B7" w14:paraId="33AAB15A" w14:textId="77777777">
      <w:pPr>
        <w:ind w:left="720"/>
        <w:rPr>
          <w:rStyle w:val="bumpedfont15"/>
          <w:rFonts w:ascii="Verdana" w:hAnsi="Verdana" w:eastAsia="Times New Roman" w:cstheme="minorHAnsi"/>
          <w:sz w:val="18"/>
          <w:szCs w:val="18"/>
        </w:rPr>
      </w:pPr>
      <w:r>
        <w:rPr>
          <w:rStyle w:val="bumpedfont15"/>
          <w:rFonts w:ascii="Verdana" w:hAnsi="Verdana" w:eastAsia="Times New Roman" w:cstheme="minorHAnsi"/>
          <w:sz w:val="18"/>
          <w:szCs w:val="18"/>
        </w:rPr>
        <w:t>In 2018 was er geen handel van eieren voor consumptie</w:t>
      </w:r>
      <w:r w:rsidR="00954FE1">
        <w:rPr>
          <w:rStyle w:val="bumpedfont15"/>
          <w:rFonts w:ascii="Verdana" w:hAnsi="Verdana" w:eastAsia="Times New Roman" w:cstheme="minorHAnsi"/>
          <w:sz w:val="18"/>
          <w:szCs w:val="18"/>
        </w:rPr>
        <w:t>, of voor kippenvlees</w:t>
      </w:r>
      <w:r>
        <w:rPr>
          <w:rStyle w:val="bumpedfont15"/>
          <w:rFonts w:ascii="Verdana" w:hAnsi="Verdana" w:eastAsia="Times New Roman" w:cstheme="minorHAnsi"/>
          <w:sz w:val="18"/>
          <w:szCs w:val="18"/>
        </w:rPr>
        <w:t xml:space="preserve"> tussen Nederland en Canada. De invoer van broedeieren uit Canada bedroeg EUR 0,1 miljoen waarvan ongeveer een kwart</w:t>
      </w:r>
      <w:r w:rsidR="00954FE1">
        <w:rPr>
          <w:rStyle w:val="bumpedfont15"/>
          <w:rFonts w:ascii="Verdana" w:hAnsi="Verdana" w:eastAsia="Times New Roman" w:cstheme="minorHAnsi"/>
          <w:sz w:val="18"/>
          <w:szCs w:val="18"/>
        </w:rPr>
        <w:t xml:space="preserve"> broedeieren van kalkoenen betrof.</w:t>
      </w:r>
    </w:p>
    <w:p w:rsidRPr="006F3FF7" w:rsidR="00A57CE8" w:rsidP="00A57CE8" w:rsidRDefault="00A57CE8" w14:paraId="3662900E" w14:textId="77777777">
      <w:pPr>
        <w:spacing w:after="0"/>
        <w:rPr>
          <w:rFonts w:ascii="Verdana" w:hAnsi="Verdana"/>
          <w:sz w:val="18"/>
          <w:szCs w:val="18"/>
        </w:rPr>
      </w:pPr>
      <w:r w:rsidRPr="006F3FF7">
        <w:rPr>
          <w:rFonts w:ascii="Verdana" w:hAnsi="Verdana"/>
          <w:b/>
          <w:sz w:val="18"/>
          <w:szCs w:val="18"/>
        </w:rPr>
        <w:t>Vraag 8</w:t>
      </w:r>
    </w:p>
    <w:p w:rsidRPr="006F3FF7" w:rsidR="00A57CE8" w:rsidP="00A57CE8" w:rsidRDefault="007367FC" w14:paraId="7E3D3210" w14:textId="77777777">
      <w:pPr>
        <w:spacing w:after="0"/>
        <w:rPr>
          <w:rFonts w:ascii="Verdana" w:hAnsi="Verdana"/>
          <w:sz w:val="18"/>
          <w:szCs w:val="18"/>
        </w:rPr>
      </w:pPr>
      <w:r w:rsidRPr="006F3FF7">
        <w:rPr>
          <w:rFonts w:ascii="Verdana" w:hAnsi="Verdana"/>
          <w:sz w:val="18"/>
          <w:szCs w:val="18"/>
        </w:rPr>
        <w:t>Kunt u een overzicht geven van de provisies in CETA die er op gericht zijn om de Nederlandse agrarische sector te beschermen tegen het openen van de markt, bijvoorbeeld door quota of handhaving van tarieven?</w:t>
      </w:r>
      <w:r w:rsidRPr="006F3FF7">
        <w:rPr>
          <w:rFonts w:ascii="Verdana" w:hAnsi="Verdana"/>
          <w:sz w:val="18"/>
          <w:szCs w:val="18"/>
        </w:rPr>
        <w:br/>
      </w:r>
    </w:p>
    <w:p w:rsidRPr="006F3FF7" w:rsidR="00A57CE8" w:rsidP="00A57CE8" w:rsidRDefault="00A57CE8" w14:paraId="0CB68CDF" w14:textId="77777777">
      <w:pPr>
        <w:spacing w:after="0"/>
        <w:rPr>
          <w:rFonts w:ascii="Verdana" w:hAnsi="Verdana"/>
          <w:b/>
          <w:sz w:val="18"/>
          <w:szCs w:val="18"/>
        </w:rPr>
      </w:pPr>
      <w:r w:rsidRPr="006F3FF7">
        <w:rPr>
          <w:rFonts w:ascii="Verdana" w:hAnsi="Verdana"/>
          <w:b/>
          <w:sz w:val="18"/>
          <w:szCs w:val="18"/>
        </w:rPr>
        <w:t>Antwoord</w:t>
      </w:r>
    </w:p>
    <w:p w:rsidRPr="006F3FF7" w:rsidR="007367FC" w:rsidP="00A57CE8" w:rsidRDefault="005F4880" w14:paraId="524700A1" w14:textId="77777777">
      <w:pPr>
        <w:spacing w:after="0"/>
        <w:rPr>
          <w:rFonts w:ascii="Verdana" w:hAnsi="Verdana"/>
          <w:sz w:val="18"/>
          <w:szCs w:val="18"/>
        </w:rPr>
      </w:pPr>
      <w:r>
        <w:rPr>
          <w:rFonts w:ascii="Verdana" w:hAnsi="Verdana"/>
          <w:sz w:val="18"/>
          <w:szCs w:val="18"/>
        </w:rPr>
        <w:t xml:space="preserve">In CETA zijn de nodige maatregelen genomen ter bescherming van gevoelige delen van de agrarische sector. </w:t>
      </w:r>
      <w:r w:rsidR="00EC6D2B">
        <w:rPr>
          <w:rFonts w:ascii="Verdana" w:hAnsi="Verdana"/>
          <w:sz w:val="18"/>
          <w:szCs w:val="18"/>
        </w:rPr>
        <w:t xml:space="preserve">Een overzicht van de </w:t>
      </w:r>
      <w:r w:rsidR="00C43849">
        <w:rPr>
          <w:rFonts w:ascii="Verdana" w:hAnsi="Verdana"/>
          <w:sz w:val="18"/>
          <w:szCs w:val="18"/>
        </w:rPr>
        <w:t>t</w:t>
      </w:r>
      <w:r w:rsidR="00FC66CA">
        <w:rPr>
          <w:rFonts w:ascii="Verdana" w:hAnsi="Verdana"/>
          <w:sz w:val="18"/>
          <w:szCs w:val="18"/>
        </w:rPr>
        <w:t>a</w:t>
      </w:r>
      <w:r w:rsidR="00C43849">
        <w:rPr>
          <w:rFonts w:ascii="Verdana" w:hAnsi="Verdana"/>
          <w:sz w:val="18"/>
          <w:szCs w:val="18"/>
        </w:rPr>
        <w:t xml:space="preserve">rieven en quota is opgenomen in het </w:t>
      </w:r>
      <w:r w:rsidR="00FC66CA">
        <w:rPr>
          <w:rFonts w:ascii="Verdana" w:hAnsi="Verdana"/>
          <w:sz w:val="18"/>
          <w:szCs w:val="18"/>
        </w:rPr>
        <w:t>tarievenschema van de Europese Unie.</w:t>
      </w:r>
      <w:r w:rsidR="00FC66CA">
        <w:rPr>
          <w:rStyle w:val="FootnoteReference"/>
          <w:rFonts w:ascii="Verdana" w:hAnsi="Verdana"/>
          <w:sz w:val="18"/>
          <w:szCs w:val="18"/>
        </w:rPr>
        <w:footnoteReference w:id="3"/>
      </w:r>
      <w:r w:rsidR="00FC66CA">
        <w:rPr>
          <w:rFonts w:ascii="Verdana" w:hAnsi="Verdana"/>
          <w:sz w:val="18"/>
          <w:szCs w:val="18"/>
        </w:rPr>
        <w:t xml:space="preserve"> </w:t>
      </w:r>
      <w:r w:rsidR="009D7A86">
        <w:rPr>
          <w:rFonts w:ascii="Verdana" w:hAnsi="Verdana"/>
          <w:sz w:val="18"/>
          <w:szCs w:val="18"/>
        </w:rPr>
        <w:t>Voorts is i</w:t>
      </w:r>
      <w:r w:rsidRPr="006F3FF7" w:rsidR="007367FC">
        <w:rPr>
          <w:rFonts w:ascii="Verdana" w:hAnsi="Verdana"/>
          <w:sz w:val="18"/>
          <w:szCs w:val="18"/>
        </w:rPr>
        <w:t xml:space="preserve">n CETA een hoofdstuk opgenomen over </w:t>
      </w:r>
      <w:proofErr w:type="spellStart"/>
      <w:r w:rsidRPr="006F3FF7" w:rsidR="007367FC">
        <w:rPr>
          <w:rFonts w:ascii="Verdana" w:hAnsi="Verdana"/>
          <w:sz w:val="18"/>
          <w:szCs w:val="18"/>
        </w:rPr>
        <w:t>handelsdefensieve</w:t>
      </w:r>
      <w:proofErr w:type="spellEnd"/>
      <w:r w:rsidRPr="006F3FF7" w:rsidR="007367FC">
        <w:rPr>
          <w:rFonts w:ascii="Verdana" w:hAnsi="Verdana"/>
          <w:sz w:val="18"/>
          <w:szCs w:val="18"/>
        </w:rPr>
        <w:t xml:space="preserve"> maatregelen. In dit hoofdstuk herbevestigen Canada en de EU afspraken die in WTO-verband zijn gemaakt over </w:t>
      </w:r>
      <w:proofErr w:type="spellStart"/>
      <w:r w:rsidRPr="006F3FF7" w:rsidR="007367FC">
        <w:rPr>
          <w:rFonts w:ascii="Verdana" w:hAnsi="Verdana"/>
          <w:sz w:val="18"/>
          <w:szCs w:val="18"/>
        </w:rPr>
        <w:t>handelsdefensieve</w:t>
      </w:r>
      <w:proofErr w:type="spellEnd"/>
      <w:r w:rsidRPr="006F3FF7" w:rsidR="007367FC">
        <w:rPr>
          <w:rFonts w:ascii="Verdana" w:hAnsi="Verdana"/>
          <w:sz w:val="18"/>
          <w:szCs w:val="18"/>
        </w:rPr>
        <w:t xml:space="preserve"> maatregelen. In geval van oneerlijke dumping, een plotse toename van import die de EU-industrie schade toebrengt, of niet-marktconforme subsidieverlening kan de EU beperkende maatregelen nemen zolang hierbij de WTO-regels worden gevolgd.</w:t>
      </w:r>
      <w:r w:rsidRPr="006F3FF7" w:rsidR="007367FC">
        <w:rPr>
          <w:rFonts w:ascii="Verdana" w:hAnsi="Verdana"/>
          <w:sz w:val="18"/>
          <w:szCs w:val="18"/>
        </w:rPr>
        <w:br/>
      </w:r>
    </w:p>
    <w:p w:rsidRPr="006F3FF7" w:rsidR="00A57CE8" w:rsidP="00A57CE8" w:rsidRDefault="00A57CE8" w14:paraId="08F0147B" w14:textId="77777777">
      <w:pPr>
        <w:spacing w:after="0"/>
        <w:rPr>
          <w:rFonts w:ascii="Verdana" w:hAnsi="Verdana"/>
          <w:sz w:val="18"/>
          <w:szCs w:val="18"/>
        </w:rPr>
      </w:pPr>
      <w:r w:rsidRPr="006F3FF7">
        <w:rPr>
          <w:rFonts w:ascii="Verdana" w:hAnsi="Verdana"/>
          <w:b/>
          <w:sz w:val="18"/>
          <w:szCs w:val="18"/>
        </w:rPr>
        <w:t>Vraag 9</w:t>
      </w:r>
    </w:p>
    <w:p w:rsidRPr="006F3FF7" w:rsidR="007367FC" w:rsidP="00A57CE8" w:rsidRDefault="007367FC" w14:paraId="7D4E6D0D" w14:textId="77777777">
      <w:pPr>
        <w:spacing w:after="0"/>
        <w:rPr>
          <w:rFonts w:ascii="Verdana" w:hAnsi="Verdana"/>
          <w:sz w:val="18"/>
          <w:szCs w:val="18"/>
        </w:rPr>
      </w:pPr>
      <w:r w:rsidRPr="006F3FF7">
        <w:rPr>
          <w:rFonts w:ascii="Verdana" w:hAnsi="Verdana"/>
          <w:sz w:val="18"/>
          <w:szCs w:val="18"/>
        </w:rPr>
        <w:t xml:space="preserve">Kunt u een overzicht geven van de non-tarifaire provisies in CETA die een voordeel opleveren voor de Nederlandse agrarische sector, bijvoorbeeld door het beschermen van geografische indicaties? </w:t>
      </w:r>
    </w:p>
    <w:p w:rsidRPr="006F3FF7" w:rsidR="00A57CE8" w:rsidP="00A57CE8" w:rsidRDefault="00A57CE8" w14:paraId="44BA78AB" w14:textId="77777777">
      <w:pPr>
        <w:spacing w:after="0"/>
        <w:rPr>
          <w:rFonts w:ascii="Verdana" w:hAnsi="Verdana"/>
          <w:sz w:val="18"/>
          <w:szCs w:val="18"/>
        </w:rPr>
      </w:pPr>
    </w:p>
    <w:p w:rsidRPr="006F3FF7" w:rsidR="00A57CE8" w:rsidP="00A57CE8" w:rsidRDefault="00A57CE8" w14:paraId="40B41628" w14:textId="77777777">
      <w:pPr>
        <w:spacing w:after="0"/>
        <w:rPr>
          <w:rFonts w:ascii="Verdana" w:hAnsi="Verdana"/>
          <w:b/>
          <w:sz w:val="18"/>
          <w:szCs w:val="18"/>
        </w:rPr>
      </w:pPr>
      <w:r w:rsidRPr="006F3FF7">
        <w:rPr>
          <w:rFonts w:ascii="Verdana" w:hAnsi="Verdana"/>
          <w:b/>
          <w:sz w:val="18"/>
          <w:szCs w:val="18"/>
        </w:rPr>
        <w:t>Antwoord</w:t>
      </w:r>
    </w:p>
    <w:p w:rsidR="002330FD" w:rsidP="00A57CE8" w:rsidRDefault="00FC66CA" w14:paraId="7211FA15" w14:textId="12E2D1B3">
      <w:pPr>
        <w:spacing w:after="0"/>
        <w:rPr>
          <w:rFonts w:ascii="Verdana" w:hAnsi="Verdana"/>
          <w:b/>
          <w:sz w:val="18"/>
          <w:szCs w:val="18"/>
        </w:rPr>
      </w:pPr>
      <w:r>
        <w:rPr>
          <w:rFonts w:ascii="Verdana" w:hAnsi="Verdana"/>
          <w:sz w:val="18"/>
          <w:szCs w:val="18"/>
        </w:rPr>
        <w:t>Voor een overzicht van de beschermde geografische indicaties verwijs ik u naar het verdrag.</w:t>
      </w:r>
      <w:r>
        <w:rPr>
          <w:rStyle w:val="FootnoteReference"/>
          <w:rFonts w:ascii="Verdana" w:hAnsi="Verdana"/>
          <w:sz w:val="18"/>
          <w:szCs w:val="18"/>
        </w:rPr>
        <w:footnoteReference w:id="4"/>
      </w:r>
      <w:r>
        <w:rPr>
          <w:rFonts w:ascii="Verdana" w:hAnsi="Verdana"/>
          <w:sz w:val="18"/>
          <w:szCs w:val="18"/>
        </w:rPr>
        <w:t xml:space="preserve"> De relevante geografische indicaties voor de Nederlandse agrarische sector zijn Gouda Holland en Edam Holland. </w:t>
      </w:r>
    </w:p>
    <w:p w:rsidR="002330FD" w:rsidP="00A57CE8" w:rsidRDefault="002330FD" w14:paraId="37F98A27" w14:textId="77777777">
      <w:pPr>
        <w:spacing w:after="0"/>
        <w:rPr>
          <w:rFonts w:ascii="Verdana" w:hAnsi="Verdana"/>
          <w:b/>
          <w:sz w:val="18"/>
          <w:szCs w:val="18"/>
        </w:rPr>
      </w:pPr>
    </w:p>
    <w:p w:rsidRPr="006F3FF7" w:rsidR="00A57CE8" w:rsidP="00A57CE8" w:rsidRDefault="00A57CE8" w14:paraId="562D50C2" w14:textId="6D322670">
      <w:pPr>
        <w:spacing w:after="0"/>
        <w:rPr>
          <w:rFonts w:ascii="Verdana" w:hAnsi="Verdana"/>
          <w:sz w:val="18"/>
          <w:szCs w:val="18"/>
        </w:rPr>
      </w:pPr>
      <w:r w:rsidRPr="006F3FF7">
        <w:rPr>
          <w:rFonts w:ascii="Verdana" w:hAnsi="Verdana"/>
          <w:b/>
          <w:sz w:val="18"/>
          <w:szCs w:val="18"/>
        </w:rPr>
        <w:t xml:space="preserve">Vraag 10 </w:t>
      </w:r>
    </w:p>
    <w:p w:rsidRPr="006F3FF7" w:rsidR="007367FC" w:rsidP="00A57CE8" w:rsidRDefault="007367FC" w14:paraId="23800F33" w14:textId="77777777">
      <w:pPr>
        <w:spacing w:after="0"/>
        <w:rPr>
          <w:rFonts w:ascii="Verdana" w:hAnsi="Verdana"/>
          <w:sz w:val="18"/>
          <w:szCs w:val="18"/>
        </w:rPr>
      </w:pPr>
      <w:r w:rsidRPr="006F3FF7">
        <w:rPr>
          <w:rFonts w:ascii="Verdana" w:hAnsi="Verdana"/>
          <w:sz w:val="18"/>
          <w:szCs w:val="18"/>
        </w:rPr>
        <w:t>Kunt u een overzicht geven van welke specifieke dienstensectoren als gevolg van CETA gemakkelijker hun diensten kunnen aanbieden in Canada?</w:t>
      </w:r>
    </w:p>
    <w:p w:rsidRPr="006F3FF7" w:rsidR="00A57CE8" w:rsidP="00A57CE8" w:rsidRDefault="00A57CE8" w14:paraId="02D3E083" w14:textId="77777777">
      <w:pPr>
        <w:spacing w:after="0"/>
        <w:rPr>
          <w:rFonts w:ascii="Verdana" w:hAnsi="Verdana"/>
          <w:sz w:val="18"/>
          <w:szCs w:val="18"/>
        </w:rPr>
      </w:pPr>
    </w:p>
    <w:p w:rsidRPr="006F3FF7" w:rsidR="00A57CE8" w:rsidP="00A57CE8" w:rsidRDefault="00A57CE8" w14:paraId="1558B1EC" w14:textId="77777777">
      <w:pPr>
        <w:spacing w:after="0"/>
        <w:rPr>
          <w:rFonts w:ascii="Verdana" w:hAnsi="Verdana"/>
          <w:b/>
          <w:sz w:val="18"/>
          <w:szCs w:val="18"/>
        </w:rPr>
      </w:pPr>
      <w:r w:rsidRPr="006F3FF7">
        <w:rPr>
          <w:rFonts w:ascii="Verdana" w:hAnsi="Verdana"/>
          <w:b/>
          <w:sz w:val="18"/>
          <w:szCs w:val="18"/>
        </w:rPr>
        <w:t>Antwoord</w:t>
      </w:r>
    </w:p>
    <w:p w:rsidRPr="00EB3978" w:rsidR="00130393" w:rsidP="00130393" w:rsidRDefault="00130393" w14:paraId="06AE6449" w14:textId="798B8195">
      <w:pPr>
        <w:rPr>
          <w:rFonts w:ascii="Verdana" w:hAnsi="Verdana"/>
          <w:sz w:val="18"/>
          <w:szCs w:val="18"/>
        </w:rPr>
      </w:pPr>
      <w:r w:rsidRPr="00EB3978">
        <w:rPr>
          <w:rFonts w:ascii="Verdana" w:hAnsi="Verdana"/>
          <w:sz w:val="18"/>
          <w:szCs w:val="18"/>
        </w:rPr>
        <w:t xml:space="preserve">Voorop staat dat met het CETA-verdrag een hoog niveau van transparantie is bereikt over welke sectoren of diensten in Canada voor EU-dienstverleners geliberaliseerd zijn of aangeboden kunnen worden. Dit schept zekerheid voor EU-dienstverleners. </w:t>
      </w:r>
      <w:r w:rsidR="006730FF">
        <w:rPr>
          <w:rFonts w:ascii="Verdana" w:hAnsi="Verdana"/>
          <w:sz w:val="18"/>
          <w:szCs w:val="18"/>
        </w:rPr>
        <w:t>V</w:t>
      </w:r>
      <w:r w:rsidRPr="00EB3978">
        <w:rPr>
          <w:rFonts w:ascii="Verdana" w:hAnsi="Verdana"/>
          <w:sz w:val="18"/>
          <w:szCs w:val="18"/>
        </w:rPr>
        <w:t>oorbeelden van sectoren of diensten waar</w:t>
      </w:r>
      <w:r w:rsidR="006730FF">
        <w:rPr>
          <w:rFonts w:ascii="Verdana" w:hAnsi="Verdana"/>
          <w:sz w:val="18"/>
          <w:szCs w:val="18"/>
        </w:rPr>
        <w:t>in</w:t>
      </w:r>
      <w:r w:rsidRPr="00EB3978">
        <w:rPr>
          <w:rFonts w:ascii="Verdana" w:hAnsi="Verdana"/>
          <w:sz w:val="18"/>
          <w:szCs w:val="18"/>
        </w:rPr>
        <w:t xml:space="preserve"> de afspraken gunstig uitvallen</w:t>
      </w:r>
      <w:r w:rsidR="006730FF">
        <w:rPr>
          <w:rFonts w:ascii="Verdana" w:hAnsi="Verdana"/>
          <w:sz w:val="18"/>
          <w:szCs w:val="18"/>
        </w:rPr>
        <w:t xml:space="preserve"> zijn</w:t>
      </w:r>
      <w:r w:rsidRPr="00EB3978">
        <w:rPr>
          <w:rFonts w:ascii="Verdana" w:hAnsi="Verdana"/>
          <w:sz w:val="18"/>
          <w:szCs w:val="18"/>
        </w:rPr>
        <w:t xml:space="preserve"> de maritieme sector, de telecommunicatiesector, advocaten, accountants, architecten en ingenieurs. De volledige lijst diensten en dienstensectoren die als gevolg van CETA gemakkelijker aangeboden kunnen worden of toegankelijk zijn in Canada, kan uit de tekst van het CETA-verdrag zelf afgeleid worden, vanaf p. 728 </w:t>
      </w:r>
      <w:hyperlink w:history="1" r:id="rId12">
        <w:r w:rsidRPr="00EB3978">
          <w:rPr>
            <w:rFonts w:ascii="Verdana" w:hAnsi="Verdana"/>
            <w:sz w:val="18"/>
            <w:szCs w:val="18"/>
          </w:rPr>
          <w:t>http://trade.ec.europa.eu/doclib/docs/2014/september/tradoc_152806.pdf</w:t>
        </w:r>
      </w:hyperlink>
      <w:r w:rsidRPr="00EB3978">
        <w:rPr>
          <w:rFonts w:ascii="Verdana" w:hAnsi="Verdana"/>
          <w:sz w:val="18"/>
          <w:szCs w:val="18"/>
        </w:rPr>
        <w:t xml:space="preserve"> (Annex I, </w:t>
      </w:r>
      <w:proofErr w:type="spellStart"/>
      <w:r w:rsidRPr="00EB3978">
        <w:rPr>
          <w:rFonts w:ascii="Verdana" w:hAnsi="Verdana"/>
          <w:sz w:val="18"/>
          <w:szCs w:val="18"/>
        </w:rPr>
        <w:t>Reservations</w:t>
      </w:r>
      <w:proofErr w:type="spellEnd"/>
      <w:r w:rsidRPr="00EB3978">
        <w:rPr>
          <w:rFonts w:ascii="Verdana" w:hAnsi="Verdana"/>
          <w:sz w:val="18"/>
          <w:szCs w:val="18"/>
        </w:rPr>
        <w:t xml:space="preserve"> </w:t>
      </w:r>
      <w:proofErr w:type="spellStart"/>
      <w:r w:rsidRPr="00EB3978">
        <w:rPr>
          <w:rFonts w:ascii="Verdana" w:hAnsi="Verdana"/>
          <w:sz w:val="18"/>
          <w:szCs w:val="18"/>
        </w:rPr>
        <w:t>for</w:t>
      </w:r>
      <w:proofErr w:type="spellEnd"/>
      <w:r w:rsidRPr="00EB3978">
        <w:rPr>
          <w:rFonts w:ascii="Verdana" w:hAnsi="Verdana"/>
          <w:sz w:val="18"/>
          <w:szCs w:val="18"/>
        </w:rPr>
        <w:t xml:space="preserve"> </w:t>
      </w:r>
      <w:proofErr w:type="spellStart"/>
      <w:r w:rsidRPr="00EB3978">
        <w:rPr>
          <w:rFonts w:ascii="Verdana" w:hAnsi="Verdana"/>
          <w:sz w:val="18"/>
          <w:szCs w:val="18"/>
        </w:rPr>
        <w:t>existing</w:t>
      </w:r>
      <w:proofErr w:type="spellEnd"/>
      <w:r w:rsidRPr="00EB3978">
        <w:rPr>
          <w:rFonts w:ascii="Verdana" w:hAnsi="Verdana"/>
          <w:sz w:val="18"/>
          <w:szCs w:val="18"/>
        </w:rPr>
        <w:t xml:space="preserve"> </w:t>
      </w:r>
      <w:proofErr w:type="spellStart"/>
      <w:r w:rsidRPr="00EB3978">
        <w:rPr>
          <w:rFonts w:ascii="Verdana" w:hAnsi="Verdana"/>
          <w:sz w:val="18"/>
          <w:szCs w:val="18"/>
        </w:rPr>
        <w:t>measures</w:t>
      </w:r>
      <w:proofErr w:type="spellEnd"/>
      <w:r w:rsidRPr="00EB3978">
        <w:rPr>
          <w:rFonts w:ascii="Verdana" w:hAnsi="Verdana"/>
          <w:sz w:val="18"/>
          <w:szCs w:val="18"/>
        </w:rPr>
        <w:t xml:space="preserve"> </w:t>
      </w:r>
      <w:proofErr w:type="spellStart"/>
      <w:r w:rsidRPr="00EB3978">
        <w:rPr>
          <w:rFonts w:ascii="Verdana" w:hAnsi="Verdana"/>
          <w:sz w:val="18"/>
          <w:szCs w:val="18"/>
        </w:rPr>
        <w:t>and</w:t>
      </w:r>
      <w:proofErr w:type="spellEnd"/>
      <w:r w:rsidRPr="00EB3978">
        <w:rPr>
          <w:rFonts w:ascii="Verdana" w:hAnsi="Verdana"/>
          <w:sz w:val="18"/>
          <w:szCs w:val="18"/>
        </w:rPr>
        <w:t xml:space="preserve"> </w:t>
      </w:r>
      <w:proofErr w:type="spellStart"/>
      <w:r w:rsidRPr="00EB3978">
        <w:rPr>
          <w:rFonts w:ascii="Verdana" w:hAnsi="Verdana"/>
          <w:sz w:val="18"/>
          <w:szCs w:val="18"/>
        </w:rPr>
        <w:t>liberalisation</w:t>
      </w:r>
      <w:proofErr w:type="spellEnd"/>
      <w:r w:rsidRPr="00EB3978">
        <w:rPr>
          <w:rFonts w:ascii="Verdana" w:hAnsi="Verdana"/>
          <w:sz w:val="18"/>
          <w:szCs w:val="18"/>
        </w:rPr>
        <w:t xml:space="preserve"> </w:t>
      </w:r>
      <w:proofErr w:type="spellStart"/>
      <w:r w:rsidRPr="00EB3978">
        <w:rPr>
          <w:rFonts w:ascii="Verdana" w:hAnsi="Verdana"/>
          <w:sz w:val="18"/>
          <w:szCs w:val="18"/>
        </w:rPr>
        <w:t>commitments</w:t>
      </w:r>
      <w:proofErr w:type="spellEnd"/>
      <w:r w:rsidRPr="00EB3978">
        <w:rPr>
          <w:rFonts w:ascii="Verdana" w:hAnsi="Verdana"/>
          <w:sz w:val="18"/>
          <w:szCs w:val="18"/>
        </w:rPr>
        <w:t xml:space="preserve">). </w:t>
      </w:r>
    </w:p>
    <w:p w:rsidRPr="006F3FF7" w:rsidR="00A57CE8" w:rsidP="00A57CE8" w:rsidRDefault="00A57CE8" w14:paraId="104E5CB7" w14:textId="77777777">
      <w:pPr>
        <w:spacing w:after="0"/>
        <w:rPr>
          <w:rFonts w:ascii="Verdana" w:hAnsi="Verdana"/>
          <w:sz w:val="18"/>
          <w:szCs w:val="18"/>
        </w:rPr>
      </w:pPr>
      <w:r w:rsidRPr="006F3FF7">
        <w:rPr>
          <w:rFonts w:ascii="Verdana" w:hAnsi="Verdana"/>
          <w:b/>
          <w:sz w:val="18"/>
          <w:szCs w:val="18"/>
        </w:rPr>
        <w:t>Vraag 11</w:t>
      </w:r>
    </w:p>
    <w:p w:rsidRPr="006F3FF7" w:rsidR="00A57CE8" w:rsidP="00A57CE8" w:rsidRDefault="007367FC" w14:paraId="29479F97" w14:textId="77777777">
      <w:pPr>
        <w:spacing w:after="0"/>
        <w:rPr>
          <w:rFonts w:ascii="Verdana" w:hAnsi="Verdana"/>
          <w:sz w:val="18"/>
          <w:szCs w:val="18"/>
        </w:rPr>
      </w:pPr>
      <w:r w:rsidRPr="006F3FF7">
        <w:rPr>
          <w:rFonts w:ascii="Verdana" w:hAnsi="Verdana"/>
          <w:sz w:val="18"/>
          <w:szCs w:val="18"/>
        </w:rPr>
        <w:t>Op welke manier biedt CETA voordelen aan de export- en groeikansen van het Neder</w:t>
      </w:r>
      <w:r w:rsidRPr="006F3FF7" w:rsidR="00A57CE8">
        <w:rPr>
          <w:rFonts w:ascii="Verdana" w:hAnsi="Verdana"/>
          <w:sz w:val="18"/>
          <w:szCs w:val="18"/>
        </w:rPr>
        <w:t>landse midden- en kleinbedrijf?</w:t>
      </w:r>
    </w:p>
    <w:p w:rsidRPr="006F3FF7" w:rsidR="00A57CE8" w:rsidP="00A57CE8" w:rsidRDefault="00A57CE8" w14:paraId="3BC225CB" w14:textId="77777777">
      <w:pPr>
        <w:spacing w:after="0"/>
        <w:rPr>
          <w:rFonts w:ascii="Verdana" w:hAnsi="Verdana"/>
          <w:sz w:val="18"/>
          <w:szCs w:val="18"/>
        </w:rPr>
      </w:pPr>
    </w:p>
    <w:p w:rsidRPr="006F3FF7" w:rsidR="00B32D5E" w:rsidP="00A57CE8" w:rsidRDefault="00A57CE8" w14:paraId="40F37483" w14:textId="5FEC7F5B">
      <w:pPr>
        <w:spacing w:after="0"/>
        <w:rPr>
          <w:rFonts w:ascii="Verdana" w:hAnsi="Verdana"/>
          <w:b/>
          <w:sz w:val="18"/>
          <w:szCs w:val="18"/>
        </w:rPr>
      </w:pPr>
      <w:r w:rsidRPr="006F3FF7">
        <w:rPr>
          <w:rFonts w:ascii="Verdana" w:hAnsi="Verdana"/>
          <w:b/>
          <w:sz w:val="18"/>
          <w:szCs w:val="18"/>
        </w:rPr>
        <w:t>Antwoord</w:t>
      </w:r>
    </w:p>
    <w:p w:rsidRPr="006F3FF7" w:rsidR="007367FC" w:rsidP="00B32D5E" w:rsidRDefault="007367FC" w14:paraId="56C98F65" w14:textId="1DC64C00">
      <w:pPr>
        <w:spacing w:after="0"/>
        <w:rPr>
          <w:rFonts w:ascii="Verdana" w:hAnsi="Verdana"/>
          <w:sz w:val="18"/>
          <w:szCs w:val="18"/>
        </w:rPr>
      </w:pPr>
      <w:r w:rsidRPr="006F3FF7">
        <w:rPr>
          <w:rFonts w:ascii="Verdana" w:hAnsi="Verdana"/>
          <w:sz w:val="18"/>
          <w:szCs w:val="18"/>
        </w:rPr>
        <w:t xml:space="preserve">Het </w:t>
      </w:r>
      <w:r w:rsidR="00954FE1">
        <w:rPr>
          <w:rFonts w:ascii="Verdana" w:hAnsi="Verdana"/>
          <w:sz w:val="18"/>
          <w:szCs w:val="18"/>
        </w:rPr>
        <w:t>MKB</w:t>
      </w:r>
      <w:r w:rsidRPr="006F3FF7">
        <w:rPr>
          <w:rFonts w:ascii="Verdana" w:hAnsi="Verdana"/>
          <w:sz w:val="18"/>
          <w:szCs w:val="18"/>
        </w:rPr>
        <w:t xml:space="preserve"> kan net als </w:t>
      </w:r>
      <w:r w:rsidR="006730FF">
        <w:rPr>
          <w:rFonts w:ascii="Verdana" w:hAnsi="Verdana"/>
          <w:sz w:val="18"/>
          <w:szCs w:val="18"/>
        </w:rPr>
        <w:t>grote bedrijven</w:t>
      </w:r>
      <w:r w:rsidRPr="006F3FF7">
        <w:rPr>
          <w:rFonts w:ascii="Verdana" w:hAnsi="Verdana"/>
          <w:sz w:val="18"/>
          <w:szCs w:val="18"/>
        </w:rPr>
        <w:t xml:space="preserve"> profiteren van afspraken in CETA, bijvoorbeeld van </w:t>
      </w:r>
      <w:r w:rsidR="006730FF">
        <w:rPr>
          <w:rFonts w:ascii="Verdana" w:hAnsi="Verdana"/>
          <w:sz w:val="18"/>
          <w:szCs w:val="18"/>
        </w:rPr>
        <w:t xml:space="preserve">de </w:t>
      </w:r>
      <w:r w:rsidRPr="006F3FF7">
        <w:rPr>
          <w:rFonts w:ascii="Verdana" w:hAnsi="Verdana"/>
          <w:sz w:val="18"/>
          <w:szCs w:val="18"/>
        </w:rPr>
        <w:t xml:space="preserve">afschaffing van invoerrechten en </w:t>
      </w:r>
      <w:r w:rsidR="006730FF">
        <w:rPr>
          <w:rFonts w:ascii="Verdana" w:hAnsi="Verdana"/>
          <w:sz w:val="18"/>
          <w:szCs w:val="18"/>
        </w:rPr>
        <w:t xml:space="preserve">van </w:t>
      </w:r>
      <w:r w:rsidRPr="006F3FF7">
        <w:rPr>
          <w:rFonts w:ascii="Verdana" w:hAnsi="Verdana"/>
          <w:sz w:val="18"/>
          <w:szCs w:val="18"/>
        </w:rPr>
        <w:t xml:space="preserve">nieuwe markttoegang voor Europese dienstverleners. Dit geldt ook voor afspraken over wederzijdse erkenning van conformiteitsbeoordelingen, waardoor Europese ondernemers al in de EU kunnen laten testen of bepaalde producten voldoen aan Canadese standaarden. Juist voor het </w:t>
      </w:r>
      <w:r w:rsidR="00954FE1">
        <w:rPr>
          <w:rFonts w:ascii="Verdana" w:hAnsi="Verdana"/>
          <w:sz w:val="18"/>
          <w:szCs w:val="18"/>
        </w:rPr>
        <w:t>MKB</w:t>
      </w:r>
      <w:r w:rsidRPr="006F3FF7">
        <w:rPr>
          <w:rFonts w:ascii="Verdana" w:hAnsi="Verdana"/>
          <w:sz w:val="18"/>
          <w:szCs w:val="18"/>
        </w:rPr>
        <w:t xml:space="preserve"> kan dit leiden tot kostenbesparingen en vermindering van administratieve lasten.</w:t>
      </w:r>
      <w:r w:rsidRPr="006F3FF7">
        <w:rPr>
          <w:rFonts w:ascii="Verdana" w:hAnsi="Verdana"/>
          <w:sz w:val="18"/>
          <w:szCs w:val="18"/>
        </w:rPr>
        <w:br/>
      </w:r>
      <w:r w:rsidRPr="006F3FF7">
        <w:rPr>
          <w:rFonts w:ascii="Verdana" w:hAnsi="Verdana"/>
          <w:sz w:val="18"/>
          <w:szCs w:val="18"/>
        </w:rPr>
        <w:br/>
        <w:t xml:space="preserve">Verder is onder het Gezamenlijk Comité van CETA een aanbeveling over het </w:t>
      </w:r>
      <w:r w:rsidR="00954FE1">
        <w:rPr>
          <w:rFonts w:ascii="Verdana" w:hAnsi="Verdana"/>
          <w:sz w:val="18"/>
          <w:szCs w:val="18"/>
        </w:rPr>
        <w:t>MKB</w:t>
      </w:r>
      <w:r w:rsidRPr="006F3FF7">
        <w:rPr>
          <w:rFonts w:ascii="Verdana" w:hAnsi="Verdana"/>
          <w:sz w:val="18"/>
          <w:szCs w:val="18"/>
        </w:rPr>
        <w:t xml:space="preserve"> aangenomen.</w:t>
      </w:r>
      <w:r w:rsidRPr="006F3FF7">
        <w:rPr>
          <w:rStyle w:val="FootnoteReference"/>
          <w:rFonts w:ascii="Verdana" w:hAnsi="Verdana"/>
          <w:sz w:val="18"/>
          <w:szCs w:val="18"/>
        </w:rPr>
        <w:footnoteReference w:id="5"/>
      </w:r>
      <w:r w:rsidRPr="006F3FF7">
        <w:rPr>
          <w:rFonts w:ascii="Verdana" w:hAnsi="Verdana"/>
          <w:sz w:val="18"/>
          <w:szCs w:val="18"/>
        </w:rPr>
        <w:t xml:space="preserve"> Hierin spreken de EU en Canada onder andere af om bij de uitvoering van CETA in het bijzonder aandacht te besteden aan de wensen van het </w:t>
      </w:r>
      <w:r w:rsidR="00954FE1">
        <w:rPr>
          <w:rFonts w:ascii="Verdana" w:hAnsi="Verdana"/>
          <w:sz w:val="18"/>
          <w:szCs w:val="18"/>
        </w:rPr>
        <w:t>MKB</w:t>
      </w:r>
      <w:r w:rsidRPr="006F3FF7">
        <w:rPr>
          <w:rFonts w:ascii="Verdana" w:hAnsi="Verdana"/>
          <w:sz w:val="18"/>
          <w:szCs w:val="18"/>
        </w:rPr>
        <w:t xml:space="preserve"> en </w:t>
      </w:r>
      <w:r w:rsidR="006730FF">
        <w:rPr>
          <w:rFonts w:ascii="Verdana" w:hAnsi="Verdana"/>
          <w:sz w:val="18"/>
          <w:szCs w:val="18"/>
        </w:rPr>
        <w:t xml:space="preserve">om </w:t>
      </w:r>
      <w:r w:rsidRPr="006F3FF7">
        <w:rPr>
          <w:rFonts w:ascii="Verdana" w:hAnsi="Verdana"/>
          <w:sz w:val="18"/>
          <w:szCs w:val="18"/>
        </w:rPr>
        <w:t xml:space="preserve">een </w:t>
      </w:r>
      <w:r w:rsidR="00954FE1">
        <w:rPr>
          <w:rFonts w:ascii="Verdana" w:hAnsi="Verdana"/>
          <w:sz w:val="18"/>
          <w:szCs w:val="18"/>
        </w:rPr>
        <w:t>MKB</w:t>
      </w:r>
      <w:r w:rsidRPr="006F3FF7">
        <w:rPr>
          <w:rFonts w:ascii="Verdana" w:hAnsi="Verdana"/>
          <w:sz w:val="18"/>
          <w:szCs w:val="18"/>
        </w:rPr>
        <w:t>-contactpunt in te stellen. Voor de EU kunnen ondernemers informatie over CETA onder andere vinden in de Market Access Database van de Commissie.</w:t>
      </w:r>
      <w:r w:rsidRPr="006F3FF7">
        <w:rPr>
          <w:rStyle w:val="FootnoteReference"/>
          <w:rFonts w:ascii="Verdana" w:hAnsi="Verdana"/>
          <w:sz w:val="18"/>
          <w:szCs w:val="18"/>
        </w:rPr>
        <w:footnoteReference w:id="6"/>
      </w:r>
      <w:r w:rsidRPr="006F3FF7">
        <w:rPr>
          <w:rFonts w:ascii="Verdana" w:hAnsi="Verdana"/>
          <w:sz w:val="18"/>
          <w:szCs w:val="18"/>
        </w:rPr>
        <w:br/>
      </w:r>
    </w:p>
    <w:p w:rsidRPr="006F3FF7" w:rsidR="00A57CE8" w:rsidP="00A57CE8" w:rsidRDefault="00A57CE8" w14:paraId="0D8EEC50" w14:textId="77777777">
      <w:pPr>
        <w:spacing w:after="0"/>
        <w:rPr>
          <w:rFonts w:ascii="Verdana" w:hAnsi="Verdana"/>
          <w:b/>
          <w:sz w:val="18"/>
          <w:szCs w:val="18"/>
        </w:rPr>
      </w:pPr>
      <w:r w:rsidRPr="006F3FF7">
        <w:rPr>
          <w:rFonts w:ascii="Verdana" w:hAnsi="Verdana"/>
          <w:b/>
          <w:sz w:val="18"/>
          <w:szCs w:val="18"/>
        </w:rPr>
        <w:t>Vraag 12</w:t>
      </w:r>
    </w:p>
    <w:p w:rsidRPr="006F3FF7" w:rsidR="007367FC" w:rsidP="00A57CE8" w:rsidRDefault="007367FC" w14:paraId="3F0C6BA4" w14:textId="77777777">
      <w:pPr>
        <w:spacing w:after="0"/>
        <w:rPr>
          <w:rFonts w:ascii="Verdana" w:hAnsi="Verdana"/>
          <w:sz w:val="18"/>
          <w:szCs w:val="18"/>
        </w:rPr>
      </w:pPr>
      <w:r w:rsidRPr="006F3FF7">
        <w:rPr>
          <w:rFonts w:ascii="Verdana" w:hAnsi="Verdana"/>
          <w:sz w:val="18"/>
          <w:szCs w:val="18"/>
        </w:rPr>
        <w:t xml:space="preserve">Kunt u schetsen wat de democratische waarborgen zijn geweest bij de totstandkoming van het onderhandelingsmandaat voor CETA, de daadwerkelijke onderhandeling en het ratificatieproces? </w:t>
      </w:r>
    </w:p>
    <w:p w:rsidRPr="006F3FF7" w:rsidR="00A57CE8" w:rsidP="00A57CE8" w:rsidRDefault="00A57CE8" w14:paraId="5A8A3D5B" w14:textId="77777777">
      <w:pPr>
        <w:spacing w:after="0"/>
        <w:rPr>
          <w:rFonts w:ascii="Verdana" w:hAnsi="Verdana"/>
          <w:sz w:val="18"/>
          <w:szCs w:val="18"/>
        </w:rPr>
      </w:pPr>
    </w:p>
    <w:p w:rsidR="00C84417" w:rsidP="006F3FF7" w:rsidRDefault="00A57CE8" w14:paraId="0C6167DE" w14:textId="6B5F4BC8">
      <w:pPr>
        <w:spacing w:after="0"/>
        <w:rPr>
          <w:rFonts w:ascii="Verdana" w:hAnsi="Verdana" w:eastAsia="Verdana" w:cs="Verdana"/>
          <w:sz w:val="18"/>
          <w:szCs w:val="18"/>
        </w:rPr>
      </w:pPr>
      <w:r w:rsidRPr="006F3FF7">
        <w:rPr>
          <w:rFonts w:ascii="Verdana" w:hAnsi="Verdana"/>
          <w:b/>
          <w:sz w:val="18"/>
          <w:szCs w:val="18"/>
        </w:rPr>
        <w:t>Antwoord</w:t>
      </w:r>
    </w:p>
    <w:p w:rsidR="00A6125E" w:rsidP="006F3FF7" w:rsidRDefault="00C84417" w14:paraId="0FDA58F0" w14:textId="4571E725">
      <w:pPr>
        <w:spacing w:after="0"/>
        <w:rPr>
          <w:rFonts w:ascii="Verdana" w:hAnsi="Verdana" w:eastAsia="Verdana" w:cs="Verdana"/>
          <w:sz w:val="18"/>
          <w:szCs w:val="18"/>
        </w:rPr>
      </w:pPr>
      <w:r>
        <w:rPr>
          <w:rFonts w:ascii="Verdana" w:hAnsi="Verdana" w:eastAsia="Verdana" w:cs="Verdana"/>
          <w:sz w:val="18"/>
          <w:szCs w:val="18"/>
        </w:rPr>
        <w:t>Op 27 april 2009 heeft de Raad het besluit om de onderhandelingen over een handelsakkoord met Canada te openen vastgesteld. De Raad heeft daarbij ook onderhandelingsrichtsnoeren vastgesteld voor de Commissie, die namens de EU de onderhandelingen heeft gevoerd. De Raad heeft ook een bijzonder comité aangewezen in overleg waarmee de Commissie de onderhandelingen moest voeren en de Raad is op vaste momenten in verschillende samenstellingen op de hoogte gehouden van het verloop van de onderhandelingen, waarbij de lidstaten de gelegenheid kregen om hun belangen</w:t>
      </w:r>
      <w:r w:rsidR="00025972">
        <w:rPr>
          <w:rFonts w:ascii="Verdana" w:hAnsi="Verdana" w:eastAsia="Verdana" w:cs="Verdana"/>
          <w:sz w:val="18"/>
          <w:szCs w:val="18"/>
        </w:rPr>
        <w:t xml:space="preserve"> kenbaar te maken. Het Kabinet</w:t>
      </w:r>
      <w:r w:rsidR="00954FE1">
        <w:rPr>
          <w:rFonts w:ascii="Verdana" w:hAnsi="Verdana" w:eastAsia="Verdana" w:cs="Verdana"/>
          <w:sz w:val="18"/>
          <w:szCs w:val="18"/>
        </w:rPr>
        <w:t xml:space="preserve"> heeft de voortgang van de onderhandelingen verschillende keren met de Kamer besproken in de algemene overleggen voorafgaand aan de Raden Buitenlandse Zaken/Handel. </w:t>
      </w:r>
      <w:r w:rsidR="000C66DB">
        <w:rPr>
          <w:rFonts w:ascii="Verdana" w:hAnsi="Verdana" w:eastAsia="Verdana" w:cs="Verdana"/>
          <w:sz w:val="18"/>
          <w:szCs w:val="18"/>
        </w:rPr>
        <w:t xml:space="preserve">Het </w:t>
      </w:r>
      <w:r>
        <w:rPr>
          <w:rFonts w:ascii="Verdana" w:hAnsi="Verdana" w:eastAsia="Verdana" w:cs="Verdana"/>
          <w:sz w:val="18"/>
          <w:szCs w:val="18"/>
        </w:rPr>
        <w:t>Europees Parlement is gedurende de onderhandelingen</w:t>
      </w:r>
      <w:r w:rsidR="00A6125E">
        <w:rPr>
          <w:rFonts w:ascii="Verdana" w:hAnsi="Verdana" w:eastAsia="Verdana" w:cs="Verdana"/>
          <w:sz w:val="18"/>
          <w:szCs w:val="18"/>
        </w:rPr>
        <w:t xml:space="preserve"> geconsulteerd en </w:t>
      </w:r>
      <w:r w:rsidR="008148F1">
        <w:rPr>
          <w:rFonts w:ascii="Verdana" w:hAnsi="Verdana" w:eastAsia="Verdana" w:cs="Verdana"/>
          <w:sz w:val="18"/>
          <w:szCs w:val="18"/>
        </w:rPr>
        <w:t>geïnformeerd</w:t>
      </w:r>
      <w:r w:rsidR="00A6125E">
        <w:rPr>
          <w:rFonts w:ascii="Verdana" w:hAnsi="Verdana" w:eastAsia="Verdana" w:cs="Verdana"/>
          <w:sz w:val="18"/>
          <w:szCs w:val="18"/>
        </w:rPr>
        <w:t xml:space="preserve"> tijdens bijeenkomsten van de Commissie voor Internationale Handel (INTA). Gedurende de onderhandelingen is het maatschappelijk middenveld door de Europese Commissie geraadpleegd, onder andere via belanghebbendenbijeenkomsten in Brussel. Hierbij was een verscheidenheid aan organisaties aanwezig, waaronder overheidsinstanties, academische instellingen, bedrijven en non-gouvernementele organisaties. Het kabinet heeft ook vele consultaties met het maatschappelijk middenveld gevoerd, waaronder met non-go</w:t>
      </w:r>
      <w:r w:rsidR="008148F1">
        <w:rPr>
          <w:rFonts w:ascii="Verdana" w:hAnsi="Verdana" w:eastAsia="Verdana" w:cs="Verdana"/>
          <w:sz w:val="18"/>
          <w:szCs w:val="18"/>
        </w:rPr>
        <w:t>u</w:t>
      </w:r>
      <w:r w:rsidR="00A6125E">
        <w:rPr>
          <w:rFonts w:ascii="Verdana" w:hAnsi="Verdana" w:eastAsia="Verdana" w:cs="Verdana"/>
          <w:sz w:val="18"/>
          <w:szCs w:val="18"/>
        </w:rPr>
        <w:t>vernementele organisaties, bedrijven, vakbonden en werkgeversorganisaties.</w:t>
      </w:r>
    </w:p>
    <w:p w:rsidR="00A6125E" w:rsidP="006F3FF7" w:rsidRDefault="00A6125E" w14:paraId="4692A5E3" w14:textId="77777777">
      <w:pPr>
        <w:spacing w:after="0"/>
        <w:rPr>
          <w:rFonts w:ascii="Verdana" w:hAnsi="Verdana" w:eastAsia="Verdana" w:cs="Verdana"/>
          <w:sz w:val="18"/>
          <w:szCs w:val="18"/>
        </w:rPr>
      </w:pPr>
    </w:p>
    <w:p w:rsidR="00A6125E" w:rsidP="006F3FF7" w:rsidRDefault="00A6125E" w14:paraId="02F2BFDF" w14:textId="063038E1">
      <w:pPr>
        <w:spacing w:after="0"/>
        <w:rPr>
          <w:rFonts w:ascii="Verdana" w:hAnsi="Verdana" w:eastAsia="Verdana" w:cs="Verdana"/>
          <w:sz w:val="18"/>
          <w:szCs w:val="18"/>
        </w:rPr>
      </w:pPr>
      <w:r>
        <w:rPr>
          <w:rFonts w:ascii="Verdana" w:hAnsi="Verdana" w:eastAsia="Verdana" w:cs="Verdana"/>
          <w:sz w:val="18"/>
          <w:szCs w:val="18"/>
        </w:rPr>
        <w:t>Op 6 juli 2016 heeft de Europese Commissie voorstellen gedaan voor de ondertekening, voorlopige toepassing en sluiting door de Unie van CETA.</w:t>
      </w:r>
      <w:r w:rsidR="00753A58">
        <w:rPr>
          <w:rFonts w:ascii="Verdana" w:hAnsi="Verdana" w:eastAsia="Verdana" w:cs="Verdana"/>
          <w:sz w:val="18"/>
          <w:szCs w:val="18"/>
        </w:rPr>
        <w:t xml:space="preserve"> Aangezien er sprake is van een gemengd akkoord is het verdrag naast de EU en Canada ook ondertekend door alle EU-lidstaten.</w:t>
      </w:r>
      <w:r>
        <w:rPr>
          <w:rFonts w:ascii="Verdana" w:hAnsi="Verdana" w:eastAsia="Verdana" w:cs="Verdana"/>
          <w:sz w:val="18"/>
          <w:szCs w:val="18"/>
        </w:rPr>
        <w:t xml:space="preserve"> De besluiten tot ondertekening en voorlopige toepassing zijn op 28 oktober 2016 vastgesteld. </w:t>
      </w:r>
      <w:r w:rsidR="008148F1">
        <w:rPr>
          <w:rFonts w:ascii="Verdana" w:hAnsi="Verdana" w:eastAsia="Verdana" w:cs="Verdana"/>
          <w:sz w:val="18"/>
          <w:szCs w:val="18"/>
        </w:rPr>
        <w:t>Nederland had als lid van de Raad ook een stem in de besluitvorming hierover.</w:t>
      </w:r>
      <w:r w:rsidR="00753A58">
        <w:rPr>
          <w:rFonts w:ascii="Verdana" w:hAnsi="Verdana" w:eastAsia="Verdana" w:cs="Verdana"/>
          <w:sz w:val="18"/>
          <w:szCs w:val="18"/>
        </w:rPr>
        <w:t xml:space="preserve"> De inzet van Nederland in de EU hiertoe is voorafgaande de betreffende Raad met de Kamer besproken</w:t>
      </w:r>
      <w:r w:rsidR="0071225B">
        <w:rPr>
          <w:rFonts w:ascii="Verdana" w:hAnsi="Verdana" w:eastAsia="Verdana" w:cs="Verdana"/>
          <w:sz w:val="18"/>
          <w:szCs w:val="18"/>
        </w:rPr>
        <w:t>, onder meer in het Alge</w:t>
      </w:r>
      <w:r w:rsidR="00753A58">
        <w:rPr>
          <w:rFonts w:ascii="Verdana" w:hAnsi="Verdana" w:eastAsia="Verdana" w:cs="Verdana"/>
          <w:sz w:val="18"/>
          <w:szCs w:val="18"/>
        </w:rPr>
        <w:t>meen Overleg van 12 okto</w:t>
      </w:r>
      <w:r w:rsidR="0071225B">
        <w:rPr>
          <w:rFonts w:ascii="Verdana" w:hAnsi="Verdana" w:eastAsia="Verdana" w:cs="Verdana"/>
          <w:sz w:val="18"/>
          <w:szCs w:val="18"/>
        </w:rPr>
        <w:t>ber 2016</w:t>
      </w:r>
      <w:r w:rsidR="008148F1">
        <w:rPr>
          <w:rFonts w:ascii="Verdana" w:hAnsi="Verdana" w:eastAsia="Verdana" w:cs="Verdana"/>
          <w:sz w:val="18"/>
          <w:szCs w:val="18"/>
        </w:rPr>
        <w:t>.</w:t>
      </w:r>
      <w:r w:rsidR="00753A58">
        <w:rPr>
          <w:rFonts w:ascii="Verdana" w:hAnsi="Verdana" w:eastAsia="Verdana" w:cs="Verdana"/>
          <w:sz w:val="18"/>
          <w:szCs w:val="18"/>
        </w:rPr>
        <w:t xml:space="preserve"> </w:t>
      </w:r>
    </w:p>
    <w:p w:rsidR="008148F1" w:rsidP="006F3FF7" w:rsidRDefault="008148F1" w14:paraId="74C1C55B" w14:textId="0302D234">
      <w:pPr>
        <w:spacing w:after="0"/>
        <w:rPr>
          <w:rFonts w:ascii="Verdana" w:hAnsi="Verdana" w:eastAsia="Verdana" w:cs="Verdana"/>
          <w:sz w:val="18"/>
          <w:szCs w:val="18"/>
        </w:rPr>
      </w:pPr>
    </w:p>
    <w:p w:rsidR="00A6125E" w:rsidP="006F3FF7" w:rsidRDefault="008148F1" w14:paraId="48BD19A9" w14:textId="785E35BB">
      <w:pPr>
        <w:spacing w:after="0"/>
        <w:rPr>
          <w:rFonts w:ascii="Verdana" w:hAnsi="Verdana" w:eastAsia="Verdana" w:cs="Verdana"/>
          <w:sz w:val="18"/>
          <w:szCs w:val="18"/>
        </w:rPr>
      </w:pPr>
      <w:r>
        <w:rPr>
          <w:rFonts w:ascii="Verdana" w:hAnsi="Verdana" w:eastAsia="Verdana" w:cs="Verdana"/>
          <w:sz w:val="18"/>
          <w:szCs w:val="18"/>
        </w:rPr>
        <w:lastRenderedPageBreak/>
        <w:t xml:space="preserve">Het Europees Parlement is </w:t>
      </w:r>
      <w:r w:rsidR="00FE359C">
        <w:rPr>
          <w:rFonts w:ascii="Verdana" w:hAnsi="Verdana" w:eastAsia="Verdana" w:cs="Verdana"/>
          <w:sz w:val="18"/>
          <w:szCs w:val="18"/>
        </w:rPr>
        <w:t>krachtens het Verdrag</w:t>
      </w:r>
      <w:r>
        <w:rPr>
          <w:rFonts w:ascii="Verdana" w:hAnsi="Verdana" w:eastAsia="Verdana" w:cs="Verdana"/>
          <w:sz w:val="18"/>
          <w:szCs w:val="18"/>
        </w:rPr>
        <w:t xml:space="preserve"> geïnformeerd over de ondertekening en voorlopige toepassing door de EU. </w:t>
      </w:r>
      <w:r w:rsidR="00A6125E">
        <w:rPr>
          <w:rFonts w:ascii="Verdana" w:hAnsi="Verdana" w:eastAsia="Verdana" w:cs="Verdana"/>
          <w:sz w:val="18"/>
          <w:szCs w:val="18"/>
        </w:rPr>
        <w:t xml:space="preserve">De voorlopige toepassing tussen de EU en Canada van delen van CETA is op 21 september 2017 ingegaan, nadat het Europees Parlement op 15 februari 2017 goedkeuring had gegeven aan het </w:t>
      </w:r>
      <w:r w:rsidR="006730FF">
        <w:rPr>
          <w:rFonts w:ascii="Verdana" w:hAnsi="Verdana" w:eastAsia="Verdana" w:cs="Verdana"/>
          <w:sz w:val="18"/>
          <w:szCs w:val="18"/>
        </w:rPr>
        <w:t>ontwerpbesluit</w:t>
      </w:r>
      <w:r w:rsidR="00A6125E">
        <w:rPr>
          <w:rFonts w:ascii="Verdana" w:hAnsi="Verdana" w:eastAsia="Verdana" w:cs="Verdana"/>
          <w:sz w:val="18"/>
          <w:szCs w:val="18"/>
        </w:rPr>
        <w:t xml:space="preserve"> tot sluiting.</w:t>
      </w:r>
    </w:p>
    <w:p w:rsidR="008148F1" w:rsidP="006F3FF7" w:rsidRDefault="008148F1" w14:paraId="198E4DED" w14:textId="77777777">
      <w:pPr>
        <w:spacing w:after="0"/>
        <w:rPr>
          <w:rFonts w:ascii="Verdana" w:hAnsi="Verdana" w:eastAsia="Verdana" w:cs="Verdana"/>
          <w:sz w:val="18"/>
          <w:szCs w:val="18"/>
        </w:rPr>
      </w:pPr>
    </w:p>
    <w:p w:rsidRPr="00B84325" w:rsidR="00B84325" w:rsidP="006F3FF7" w:rsidRDefault="008148F1" w14:paraId="0350354C" w14:textId="176C3121">
      <w:pPr>
        <w:spacing w:after="0"/>
        <w:rPr>
          <w:rFonts w:ascii="Verdana" w:hAnsi="Verdana" w:eastAsia="Verdana" w:cs="Verdana"/>
          <w:sz w:val="18"/>
          <w:szCs w:val="18"/>
          <w:highlight w:val="yellow"/>
        </w:rPr>
      </w:pPr>
      <w:r>
        <w:rPr>
          <w:rFonts w:ascii="Verdana" w:hAnsi="Verdana" w:eastAsia="Verdana" w:cs="Verdana"/>
          <w:sz w:val="18"/>
          <w:szCs w:val="18"/>
        </w:rPr>
        <w:t>N</w:t>
      </w:r>
      <w:r w:rsidR="00B84325">
        <w:rPr>
          <w:rFonts w:ascii="Verdana" w:hAnsi="Verdana" w:eastAsia="Verdana" w:cs="Verdana"/>
          <w:sz w:val="18"/>
          <w:szCs w:val="18"/>
        </w:rPr>
        <w:t xml:space="preserve">a ondertekening </w:t>
      </w:r>
      <w:r w:rsidR="00B81250">
        <w:rPr>
          <w:rFonts w:ascii="Verdana" w:hAnsi="Verdana" w:eastAsia="Verdana" w:cs="Verdana"/>
          <w:sz w:val="18"/>
          <w:szCs w:val="18"/>
        </w:rPr>
        <w:t>is</w:t>
      </w:r>
      <w:r w:rsidR="00B84325">
        <w:rPr>
          <w:rFonts w:ascii="Verdana" w:hAnsi="Verdana" w:eastAsia="Verdana" w:cs="Verdana"/>
          <w:sz w:val="18"/>
          <w:szCs w:val="18"/>
        </w:rPr>
        <w:t xml:space="preserve"> </w:t>
      </w:r>
      <w:r w:rsidR="00B81250">
        <w:rPr>
          <w:rFonts w:ascii="Verdana" w:hAnsi="Verdana" w:eastAsia="Verdana" w:cs="Verdana"/>
          <w:sz w:val="18"/>
          <w:szCs w:val="18"/>
        </w:rPr>
        <w:t>CETA</w:t>
      </w:r>
      <w:r w:rsidR="00B84325">
        <w:rPr>
          <w:rFonts w:ascii="Verdana" w:hAnsi="Verdana" w:eastAsia="Verdana" w:cs="Verdana"/>
          <w:sz w:val="18"/>
          <w:szCs w:val="18"/>
        </w:rPr>
        <w:t xml:space="preserve"> onderworpen aan de nationale goedkeuringsprocedure: het verdrag </w:t>
      </w:r>
      <w:r w:rsidR="00B81250">
        <w:rPr>
          <w:rFonts w:ascii="Verdana" w:hAnsi="Verdana" w:eastAsia="Verdana" w:cs="Verdana"/>
          <w:sz w:val="18"/>
          <w:szCs w:val="18"/>
        </w:rPr>
        <w:t>is</w:t>
      </w:r>
      <w:r w:rsidR="00B84325">
        <w:rPr>
          <w:rFonts w:ascii="Verdana" w:hAnsi="Verdana" w:eastAsia="Verdana" w:cs="Verdana"/>
          <w:sz w:val="18"/>
          <w:szCs w:val="18"/>
        </w:rPr>
        <w:t xml:space="preserve"> eerst ter advisering voorgelegd aan de Raad van State en </w:t>
      </w:r>
      <w:r w:rsidR="00B81250">
        <w:rPr>
          <w:rFonts w:ascii="Verdana" w:hAnsi="Verdana" w:eastAsia="Verdana" w:cs="Verdana"/>
          <w:sz w:val="18"/>
          <w:szCs w:val="18"/>
        </w:rPr>
        <w:t xml:space="preserve">is nu ter instemming </w:t>
      </w:r>
      <w:r w:rsidR="00B84325">
        <w:rPr>
          <w:rFonts w:ascii="Verdana" w:hAnsi="Verdana" w:eastAsia="Verdana" w:cs="Verdana"/>
          <w:sz w:val="18"/>
          <w:szCs w:val="18"/>
        </w:rPr>
        <w:t xml:space="preserve">aan de Tweede </w:t>
      </w:r>
      <w:r w:rsidR="00B81250">
        <w:rPr>
          <w:rFonts w:ascii="Verdana" w:hAnsi="Verdana" w:eastAsia="Verdana" w:cs="Verdana"/>
          <w:sz w:val="18"/>
          <w:szCs w:val="18"/>
        </w:rPr>
        <w:t>Kamer</w:t>
      </w:r>
      <w:r w:rsidR="00415EA0">
        <w:rPr>
          <w:rFonts w:ascii="Verdana" w:hAnsi="Verdana" w:eastAsia="Verdana" w:cs="Verdana"/>
          <w:sz w:val="18"/>
          <w:szCs w:val="18"/>
        </w:rPr>
        <w:t xml:space="preserve"> voorgelegd.</w:t>
      </w:r>
      <w:r w:rsidR="001B7B91">
        <w:rPr>
          <w:rFonts w:ascii="Verdana" w:hAnsi="Verdana" w:eastAsia="Verdana" w:cs="Verdana"/>
          <w:sz w:val="18"/>
          <w:szCs w:val="18"/>
        </w:rPr>
        <w:t xml:space="preserve"> Bij instemming </w:t>
      </w:r>
      <w:bookmarkStart w:name="_GoBack" w:id="0"/>
      <w:bookmarkEnd w:id="0"/>
      <w:r w:rsidR="00415EA0">
        <w:rPr>
          <w:rFonts w:ascii="Verdana" w:hAnsi="Verdana" w:eastAsia="Verdana" w:cs="Verdana"/>
          <w:sz w:val="18"/>
          <w:szCs w:val="18"/>
        </w:rPr>
        <w:t>zal</w:t>
      </w:r>
      <w:r w:rsidR="00B81250">
        <w:rPr>
          <w:rFonts w:ascii="Verdana" w:hAnsi="Verdana" w:eastAsia="Verdana" w:cs="Verdana"/>
          <w:sz w:val="18"/>
          <w:szCs w:val="18"/>
        </w:rPr>
        <w:t xml:space="preserve"> </w:t>
      </w:r>
      <w:r w:rsidR="00415EA0">
        <w:rPr>
          <w:rFonts w:ascii="Verdana" w:hAnsi="Verdana" w:eastAsia="Verdana" w:cs="Verdana"/>
          <w:sz w:val="18"/>
          <w:szCs w:val="18"/>
        </w:rPr>
        <w:t>de Eerste Kamer het verdrag behandelen</w:t>
      </w:r>
      <w:r w:rsidR="00B81250">
        <w:rPr>
          <w:rFonts w:ascii="Verdana" w:hAnsi="Verdana" w:eastAsia="Verdana" w:cs="Verdana"/>
          <w:sz w:val="18"/>
          <w:szCs w:val="18"/>
        </w:rPr>
        <w:t xml:space="preserve">. </w:t>
      </w:r>
      <w:r w:rsidR="00415EA0">
        <w:rPr>
          <w:rFonts w:ascii="Verdana" w:hAnsi="Verdana" w:eastAsia="Verdana" w:cs="Verdana"/>
          <w:sz w:val="18"/>
          <w:szCs w:val="18"/>
        </w:rPr>
        <w:t>I</w:t>
      </w:r>
      <w:r w:rsidR="00B84325">
        <w:rPr>
          <w:rFonts w:ascii="Verdana" w:hAnsi="Verdana" w:eastAsia="Verdana" w:cs="Verdana"/>
          <w:sz w:val="18"/>
          <w:szCs w:val="18"/>
        </w:rPr>
        <w:t>nstemming</w:t>
      </w:r>
      <w:r w:rsidR="00415EA0">
        <w:rPr>
          <w:rFonts w:ascii="Verdana" w:hAnsi="Verdana" w:eastAsia="Verdana" w:cs="Verdana"/>
          <w:sz w:val="18"/>
          <w:szCs w:val="18"/>
        </w:rPr>
        <w:t xml:space="preserve"> van beide Kamers</w:t>
      </w:r>
      <w:r w:rsidR="00B84325">
        <w:rPr>
          <w:rFonts w:ascii="Verdana" w:hAnsi="Verdana" w:eastAsia="Verdana" w:cs="Verdana"/>
          <w:sz w:val="18"/>
          <w:szCs w:val="18"/>
        </w:rPr>
        <w:t xml:space="preserve"> is noodzakelijk </w:t>
      </w:r>
      <w:r w:rsidR="00B81250">
        <w:rPr>
          <w:rFonts w:ascii="Verdana" w:hAnsi="Verdana" w:eastAsia="Verdana" w:cs="Verdana"/>
          <w:sz w:val="18"/>
          <w:szCs w:val="18"/>
        </w:rPr>
        <w:t>om</w:t>
      </w:r>
      <w:r w:rsidR="00B84325">
        <w:rPr>
          <w:rFonts w:ascii="Verdana" w:hAnsi="Verdana" w:eastAsia="Verdana" w:cs="Verdana"/>
          <w:sz w:val="18"/>
          <w:szCs w:val="18"/>
        </w:rPr>
        <w:t xml:space="preserve"> het verdrag </w:t>
      </w:r>
      <w:r w:rsidR="00B81250">
        <w:rPr>
          <w:rFonts w:ascii="Verdana" w:hAnsi="Verdana" w:eastAsia="Verdana" w:cs="Verdana"/>
          <w:sz w:val="18"/>
          <w:szCs w:val="18"/>
        </w:rPr>
        <w:t>te ratificeren</w:t>
      </w:r>
      <w:r w:rsidR="00B84325">
        <w:rPr>
          <w:rFonts w:ascii="Verdana" w:hAnsi="Verdana" w:eastAsia="Verdana" w:cs="Verdana"/>
          <w:sz w:val="18"/>
          <w:szCs w:val="18"/>
        </w:rPr>
        <w:t>.</w:t>
      </w:r>
    </w:p>
    <w:p w:rsidRPr="006F3FF7" w:rsidR="00B84325" w:rsidP="00A57CE8" w:rsidRDefault="00B84325" w14:paraId="371960ED" w14:textId="77777777">
      <w:pPr>
        <w:spacing w:after="0"/>
        <w:rPr>
          <w:rFonts w:ascii="Verdana" w:hAnsi="Verdana"/>
          <w:b/>
          <w:sz w:val="18"/>
          <w:szCs w:val="18"/>
        </w:rPr>
      </w:pPr>
    </w:p>
    <w:p w:rsidRPr="006F3FF7" w:rsidR="00A57CE8" w:rsidP="00A57CE8" w:rsidRDefault="00A57CE8" w14:paraId="63A84667" w14:textId="77777777">
      <w:pPr>
        <w:spacing w:after="0"/>
        <w:rPr>
          <w:rFonts w:ascii="Verdana" w:hAnsi="Verdana"/>
          <w:sz w:val="18"/>
          <w:szCs w:val="18"/>
        </w:rPr>
      </w:pPr>
      <w:r w:rsidRPr="006F3FF7">
        <w:rPr>
          <w:rFonts w:ascii="Verdana" w:hAnsi="Verdana"/>
          <w:b/>
          <w:sz w:val="18"/>
          <w:szCs w:val="18"/>
        </w:rPr>
        <w:t>Vraag 13</w:t>
      </w:r>
    </w:p>
    <w:p w:rsidRPr="006F3FF7" w:rsidR="007367FC" w:rsidP="00A57CE8" w:rsidRDefault="007367FC" w14:paraId="49A1DA40" w14:textId="77777777">
      <w:pPr>
        <w:spacing w:after="0"/>
        <w:rPr>
          <w:rFonts w:ascii="Verdana" w:hAnsi="Verdana"/>
          <w:sz w:val="18"/>
          <w:szCs w:val="18"/>
        </w:rPr>
      </w:pPr>
      <w:r w:rsidRPr="006F3FF7">
        <w:rPr>
          <w:rFonts w:ascii="Verdana" w:hAnsi="Verdana"/>
          <w:sz w:val="18"/>
          <w:szCs w:val="18"/>
        </w:rPr>
        <w:t>Welke invloed heeft CETA op de productiestandaarden die gesteld worden aan uit Canada ingevoerde producten? Zal CETA leiden tot een verlaging van de productiestandaarden die worden gehanteerd voor in Europe ingevoerde producten?</w:t>
      </w:r>
    </w:p>
    <w:p w:rsidRPr="006F3FF7" w:rsidR="00A57CE8" w:rsidP="00A57CE8" w:rsidRDefault="00A57CE8" w14:paraId="613E9440" w14:textId="77777777">
      <w:pPr>
        <w:spacing w:after="0"/>
        <w:rPr>
          <w:rFonts w:ascii="Verdana" w:hAnsi="Verdana"/>
          <w:sz w:val="18"/>
          <w:szCs w:val="18"/>
        </w:rPr>
      </w:pPr>
    </w:p>
    <w:p w:rsidRPr="006F3FF7" w:rsidR="00A57CE8" w:rsidP="00A57CE8" w:rsidRDefault="00A57CE8" w14:paraId="38CA54A2" w14:textId="77777777">
      <w:pPr>
        <w:spacing w:after="0"/>
        <w:rPr>
          <w:rFonts w:ascii="Verdana" w:hAnsi="Verdana"/>
          <w:b/>
          <w:sz w:val="18"/>
          <w:szCs w:val="18"/>
        </w:rPr>
      </w:pPr>
      <w:r w:rsidRPr="006F3FF7">
        <w:rPr>
          <w:rFonts w:ascii="Verdana" w:hAnsi="Verdana"/>
          <w:b/>
          <w:sz w:val="18"/>
          <w:szCs w:val="18"/>
        </w:rPr>
        <w:t>Antwoord</w:t>
      </w:r>
    </w:p>
    <w:p w:rsidRPr="00273B3D" w:rsidR="00273B3D" w:rsidP="00273B3D" w:rsidRDefault="00273B3D" w14:paraId="7ACFC854" w14:textId="52D42EB9">
      <w:pPr>
        <w:spacing w:after="0"/>
        <w:rPr>
          <w:rFonts w:ascii="Verdana" w:hAnsi="Verdana"/>
          <w:b/>
          <w:bCs/>
          <w:sz w:val="18"/>
          <w:szCs w:val="18"/>
        </w:rPr>
      </w:pPr>
      <w:r w:rsidRPr="00273B3D">
        <w:rPr>
          <w:rFonts w:ascii="Verdana" w:hAnsi="Verdana"/>
          <w:sz w:val="18"/>
          <w:szCs w:val="18"/>
        </w:rPr>
        <w:t>Alle naar de EU geëxporteerde producten moeten voor toelating op de EU-markt voldoen aan Europese standaarden op het gebied van plant- en diergezondheid, voedselveiligheid en etikettering. Het stellen van importeisen aan producten die gerelateerd zijn aan de wijze waarop of omstandigheden waaronder deze producten geproduceerd zijn op het grondgebied van derde landen is zeer beperkt mogelijk binnen het stelsel van WTO-verdragen, zeker bij het ontbreken van internationale erkende standaarden met betrekking tot productiemethoden.</w:t>
      </w:r>
      <w:r>
        <w:rPr>
          <w:rFonts w:ascii="Verdana" w:hAnsi="Verdana"/>
          <w:sz w:val="18"/>
          <w:szCs w:val="18"/>
        </w:rPr>
        <w:t xml:space="preserve"> </w:t>
      </w:r>
      <w:r w:rsidRPr="00BC4473" w:rsidR="00BC4473">
        <w:rPr>
          <w:rFonts w:ascii="Verdana" w:hAnsi="Verdana"/>
          <w:sz w:val="18"/>
          <w:szCs w:val="18"/>
        </w:rPr>
        <w:t>Ieder land produceert op eigen wijze, in grote mate bepaald door lokale context. CETA verandert niets aan deze beginselen</w:t>
      </w:r>
      <w:r>
        <w:rPr>
          <w:rFonts w:ascii="Verdana" w:hAnsi="Verdana"/>
          <w:sz w:val="18"/>
          <w:szCs w:val="18"/>
        </w:rPr>
        <w:t xml:space="preserve">. </w:t>
      </w:r>
      <w:r w:rsidRPr="00273B3D">
        <w:rPr>
          <w:rFonts w:ascii="Verdana" w:hAnsi="Verdana"/>
          <w:sz w:val="18"/>
          <w:szCs w:val="18"/>
        </w:rPr>
        <w:t>De Europese standaarden voor dierenwelzijn en gewasbeschermingsmiddelengebruik hebben tot doel mens, plant, dier en milieu binnen de Europese Unie hetzelfde niveau van bescherming te bieden en daarmee binnen de Europese Unie tot een gelijk speelveld te komen. In de voortgangsbrief dierenwelzijn</w:t>
      </w:r>
      <w:r w:rsidRPr="00273B3D">
        <w:rPr>
          <w:rFonts w:ascii="Verdana" w:hAnsi="Verdana"/>
          <w:sz w:val="18"/>
          <w:szCs w:val="18"/>
          <w:vertAlign w:val="superscript"/>
        </w:rPr>
        <w:footnoteReference w:id="7"/>
      </w:r>
      <w:r w:rsidRPr="00273B3D">
        <w:rPr>
          <w:rFonts w:ascii="Verdana" w:hAnsi="Verdana"/>
          <w:sz w:val="18"/>
          <w:szCs w:val="18"/>
        </w:rPr>
        <w:t xml:space="preserve"> van 4 september 2019 is uiteengezet hoe het kabinet ook internationaal wil komen tot een meer gelijk speelveld in relatie tot dierenwelzijnsstandaarden.</w:t>
      </w:r>
    </w:p>
    <w:p w:rsidR="00A57CE8" w:rsidP="00BC4473" w:rsidRDefault="00A57CE8" w14:paraId="451DAE95" w14:textId="6034951C">
      <w:pPr>
        <w:spacing w:after="0"/>
        <w:rPr>
          <w:rFonts w:ascii="Verdana" w:hAnsi="Verdana"/>
          <w:sz w:val="18"/>
          <w:szCs w:val="18"/>
        </w:rPr>
      </w:pPr>
    </w:p>
    <w:p w:rsidRPr="006F3FF7" w:rsidR="00A57CE8" w:rsidP="00A57CE8" w:rsidRDefault="00A57CE8" w14:paraId="15A815D3" w14:textId="77777777">
      <w:pPr>
        <w:spacing w:after="0"/>
        <w:rPr>
          <w:rFonts w:ascii="Verdana" w:hAnsi="Verdana"/>
          <w:b/>
          <w:sz w:val="18"/>
          <w:szCs w:val="18"/>
        </w:rPr>
      </w:pPr>
      <w:r w:rsidRPr="006F3FF7">
        <w:rPr>
          <w:rFonts w:ascii="Verdana" w:hAnsi="Verdana"/>
          <w:b/>
          <w:sz w:val="18"/>
          <w:szCs w:val="18"/>
        </w:rPr>
        <w:t>Vraag 14</w:t>
      </w:r>
    </w:p>
    <w:p w:rsidRPr="006F3FF7" w:rsidR="00A57CE8" w:rsidP="00A57CE8" w:rsidRDefault="007367FC" w14:paraId="54C7E884" w14:textId="53614245">
      <w:pPr>
        <w:spacing w:after="0"/>
        <w:rPr>
          <w:rFonts w:ascii="Verdana" w:hAnsi="Verdana"/>
          <w:sz w:val="18"/>
          <w:szCs w:val="18"/>
        </w:rPr>
      </w:pPr>
      <w:r w:rsidRPr="006F3FF7">
        <w:rPr>
          <w:rFonts w:ascii="Verdana" w:hAnsi="Verdana"/>
          <w:sz w:val="18"/>
          <w:szCs w:val="18"/>
        </w:rPr>
        <w:t>Welke afspraken zijn er gemaakt ten aanzien van de inzet op waarborgen van duurzaamheid, bijvoorbeeld op het gebied van het tegengaan van illegale houtkap of visserij? Zal CETA leiden tot een toename van dergelijke activiteiten die schadelijk kunnen zijn voor de leefomgeving in Canada of de EU?</w:t>
      </w:r>
    </w:p>
    <w:p w:rsidR="002330FD" w:rsidP="006F3FF7" w:rsidRDefault="002330FD" w14:paraId="566EB054" w14:textId="77777777">
      <w:pPr>
        <w:spacing w:after="0"/>
        <w:rPr>
          <w:rFonts w:ascii="Verdana" w:hAnsi="Verdana"/>
          <w:b/>
          <w:sz w:val="18"/>
          <w:szCs w:val="18"/>
        </w:rPr>
      </w:pPr>
    </w:p>
    <w:p w:rsidR="006F3FF7" w:rsidP="006F3FF7" w:rsidRDefault="00A57CE8" w14:paraId="14300212" w14:textId="7464B488">
      <w:pPr>
        <w:spacing w:after="0"/>
        <w:rPr>
          <w:rFonts w:ascii="Verdana" w:hAnsi="Verdana"/>
          <w:b/>
          <w:sz w:val="18"/>
          <w:szCs w:val="18"/>
        </w:rPr>
      </w:pPr>
      <w:r w:rsidRPr="006F3FF7">
        <w:rPr>
          <w:rFonts w:ascii="Verdana" w:hAnsi="Verdana"/>
          <w:b/>
          <w:sz w:val="18"/>
          <w:szCs w:val="18"/>
        </w:rPr>
        <w:t>Antwoord</w:t>
      </w:r>
    </w:p>
    <w:p w:rsidR="00BF3AE9" w:rsidP="006E4830" w:rsidRDefault="006E4830" w14:paraId="10CC3885" w14:textId="56E6D500">
      <w:pPr>
        <w:rPr>
          <w:rFonts w:ascii="Arial" w:hAnsi="Arial" w:cs="Arial"/>
          <w:color w:val="333333"/>
        </w:rPr>
      </w:pPr>
      <w:r>
        <w:rPr>
          <w:rFonts w:ascii="Verdana" w:hAnsi="Verdana"/>
          <w:sz w:val="18"/>
          <w:szCs w:val="18"/>
        </w:rPr>
        <w:t xml:space="preserve">In </w:t>
      </w:r>
      <w:r w:rsidR="00DA3FA7">
        <w:rPr>
          <w:rFonts w:ascii="Verdana" w:hAnsi="Verdana"/>
          <w:sz w:val="18"/>
          <w:szCs w:val="18"/>
        </w:rPr>
        <w:t>de</w:t>
      </w:r>
      <w:r w:rsidR="00B325C0">
        <w:rPr>
          <w:rFonts w:ascii="Verdana" w:hAnsi="Verdana"/>
          <w:sz w:val="18"/>
          <w:szCs w:val="18"/>
        </w:rPr>
        <w:t xml:space="preserve"> hoofdstukken</w:t>
      </w:r>
      <w:r w:rsidR="00DA3FA7">
        <w:rPr>
          <w:rFonts w:ascii="Verdana" w:hAnsi="Verdana"/>
          <w:sz w:val="18"/>
          <w:szCs w:val="18"/>
        </w:rPr>
        <w:t xml:space="preserve"> </w:t>
      </w:r>
      <w:r>
        <w:rPr>
          <w:rFonts w:ascii="Verdana" w:hAnsi="Verdana"/>
          <w:sz w:val="18"/>
          <w:szCs w:val="18"/>
        </w:rPr>
        <w:t>over h</w:t>
      </w:r>
      <w:r w:rsidR="00B325C0">
        <w:rPr>
          <w:rFonts w:ascii="Verdana" w:hAnsi="Verdana"/>
          <w:sz w:val="18"/>
          <w:szCs w:val="18"/>
        </w:rPr>
        <w:t xml:space="preserve">andel en duurzame ontwikkeling </w:t>
      </w:r>
      <w:r w:rsidR="00DA3FA7">
        <w:rPr>
          <w:rFonts w:ascii="Verdana" w:hAnsi="Verdana"/>
          <w:sz w:val="18"/>
          <w:szCs w:val="18"/>
        </w:rPr>
        <w:t>bevestigen</w:t>
      </w:r>
      <w:r w:rsidR="00B325C0">
        <w:rPr>
          <w:rFonts w:ascii="Verdana" w:hAnsi="Verdana"/>
          <w:sz w:val="18"/>
          <w:szCs w:val="18"/>
        </w:rPr>
        <w:t xml:space="preserve"> </w:t>
      </w:r>
      <w:r>
        <w:rPr>
          <w:rFonts w:ascii="Verdana" w:hAnsi="Verdana"/>
          <w:sz w:val="18"/>
          <w:szCs w:val="18"/>
        </w:rPr>
        <w:t xml:space="preserve">Canada en de EU </w:t>
      </w:r>
      <w:r w:rsidR="00B325C0">
        <w:rPr>
          <w:rFonts w:ascii="Verdana" w:hAnsi="Verdana"/>
          <w:sz w:val="18"/>
          <w:szCs w:val="18"/>
        </w:rPr>
        <w:t xml:space="preserve">hun </w:t>
      </w:r>
      <w:r w:rsidR="00DA3FA7">
        <w:rPr>
          <w:rFonts w:ascii="Verdana" w:hAnsi="Verdana"/>
          <w:sz w:val="18"/>
          <w:szCs w:val="18"/>
        </w:rPr>
        <w:t>verbintenis aan</w:t>
      </w:r>
      <w:r w:rsidR="00B325C0">
        <w:rPr>
          <w:rFonts w:ascii="Verdana" w:hAnsi="Verdana"/>
          <w:sz w:val="18"/>
          <w:szCs w:val="18"/>
        </w:rPr>
        <w:t xml:space="preserve"> multilaterale </w:t>
      </w:r>
      <w:r w:rsidR="00DA3FA7">
        <w:rPr>
          <w:rFonts w:ascii="Verdana" w:hAnsi="Verdana"/>
          <w:sz w:val="18"/>
          <w:szCs w:val="18"/>
        </w:rPr>
        <w:t>milieuverdragen en ILO-conventies</w:t>
      </w:r>
      <w:r w:rsidR="00B325C0">
        <w:rPr>
          <w:rFonts w:ascii="Verdana" w:hAnsi="Verdana"/>
          <w:sz w:val="18"/>
          <w:szCs w:val="18"/>
        </w:rPr>
        <w:t>.</w:t>
      </w:r>
      <w:r w:rsidR="00DA3FA7">
        <w:rPr>
          <w:rFonts w:ascii="Verdana" w:hAnsi="Verdana"/>
          <w:sz w:val="18"/>
          <w:szCs w:val="18"/>
        </w:rPr>
        <w:t xml:space="preserve"> </w:t>
      </w:r>
      <w:r w:rsidR="006122D0">
        <w:rPr>
          <w:rFonts w:ascii="Verdana" w:hAnsi="Verdana"/>
          <w:sz w:val="18"/>
          <w:szCs w:val="18"/>
        </w:rPr>
        <w:t>De Verdragsp</w:t>
      </w:r>
      <w:r w:rsidRPr="00DA3FA7" w:rsidR="00DA3FA7">
        <w:rPr>
          <w:rFonts w:ascii="Verdana" w:hAnsi="Verdana"/>
          <w:sz w:val="18"/>
          <w:szCs w:val="18"/>
        </w:rPr>
        <w:t xml:space="preserve">artijen </w:t>
      </w:r>
      <w:r w:rsidR="00514A19">
        <w:rPr>
          <w:rFonts w:ascii="Verdana" w:hAnsi="Verdana"/>
          <w:sz w:val="18"/>
          <w:szCs w:val="18"/>
        </w:rPr>
        <w:t>zeggen tevens toe</w:t>
      </w:r>
      <w:r w:rsidRPr="00DA3FA7" w:rsidR="00DA3FA7">
        <w:rPr>
          <w:rFonts w:ascii="Verdana" w:hAnsi="Verdana"/>
          <w:sz w:val="18"/>
          <w:szCs w:val="18"/>
        </w:rPr>
        <w:t xml:space="preserve"> bestaande milieuwetgeving </w:t>
      </w:r>
      <w:r w:rsidR="00514A19">
        <w:rPr>
          <w:rFonts w:ascii="Verdana" w:hAnsi="Verdana"/>
          <w:sz w:val="18"/>
          <w:szCs w:val="18"/>
        </w:rPr>
        <w:t xml:space="preserve">te </w:t>
      </w:r>
      <w:r w:rsidRPr="00DA3FA7" w:rsidR="00DA3FA7">
        <w:rPr>
          <w:rFonts w:ascii="Verdana" w:hAnsi="Verdana"/>
          <w:sz w:val="18"/>
          <w:szCs w:val="18"/>
        </w:rPr>
        <w:t>handhaven en erkennen dat het ongepast is om bestaande beschermingsniveaus te verlagen</w:t>
      </w:r>
      <w:r w:rsidR="00DA3FA7">
        <w:rPr>
          <w:rFonts w:ascii="Verdana" w:hAnsi="Verdana"/>
          <w:sz w:val="18"/>
          <w:szCs w:val="18"/>
        </w:rPr>
        <w:t>. Ook</w:t>
      </w:r>
      <w:r w:rsidRPr="00DA3FA7" w:rsidR="00DA3FA7">
        <w:rPr>
          <w:rFonts w:ascii="Verdana" w:hAnsi="Verdana"/>
          <w:sz w:val="18"/>
          <w:szCs w:val="18"/>
        </w:rPr>
        <w:t xml:space="preserve"> verbinden </w:t>
      </w:r>
      <w:r w:rsidR="006122D0">
        <w:rPr>
          <w:rFonts w:ascii="Verdana" w:hAnsi="Verdana"/>
          <w:sz w:val="18"/>
          <w:szCs w:val="18"/>
        </w:rPr>
        <w:t xml:space="preserve">de verdragspartijen </w:t>
      </w:r>
      <w:r w:rsidRPr="00DA3FA7" w:rsidR="00DA3FA7">
        <w:rPr>
          <w:rFonts w:ascii="Verdana" w:hAnsi="Verdana"/>
          <w:sz w:val="18"/>
          <w:szCs w:val="18"/>
        </w:rPr>
        <w:t xml:space="preserve">zich </w:t>
      </w:r>
      <w:r w:rsidR="00514A19">
        <w:rPr>
          <w:rFonts w:ascii="Verdana" w:hAnsi="Verdana"/>
          <w:sz w:val="18"/>
          <w:szCs w:val="18"/>
        </w:rPr>
        <w:t>aan samenwerking</w:t>
      </w:r>
      <w:r w:rsidRPr="00DA3FA7" w:rsidR="00DA3FA7">
        <w:rPr>
          <w:rFonts w:ascii="Verdana" w:hAnsi="Verdana"/>
          <w:sz w:val="18"/>
          <w:szCs w:val="18"/>
        </w:rPr>
        <w:t xml:space="preserve"> ter bevord</w:t>
      </w:r>
      <w:r w:rsidR="00DA3FA7">
        <w:rPr>
          <w:rFonts w:ascii="Verdana" w:hAnsi="Verdana"/>
          <w:sz w:val="18"/>
          <w:szCs w:val="18"/>
        </w:rPr>
        <w:t>ering van de duurzaamheidsdoelstellingen, onder meer</w:t>
      </w:r>
      <w:r w:rsidRPr="00DA3FA7" w:rsidR="00DA3FA7">
        <w:rPr>
          <w:rFonts w:ascii="Verdana" w:hAnsi="Verdana"/>
          <w:sz w:val="18"/>
          <w:szCs w:val="18"/>
        </w:rPr>
        <w:t xml:space="preserve"> in internationale fora</w:t>
      </w:r>
      <w:r w:rsidR="00DA3FA7">
        <w:rPr>
          <w:rFonts w:ascii="Verdana" w:hAnsi="Verdana"/>
          <w:sz w:val="18"/>
          <w:szCs w:val="18"/>
        </w:rPr>
        <w:t>.</w:t>
      </w:r>
      <w:r w:rsidR="00B325C0">
        <w:rPr>
          <w:rFonts w:ascii="Verdana" w:hAnsi="Verdana"/>
          <w:sz w:val="18"/>
          <w:szCs w:val="18"/>
        </w:rPr>
        <w:t xml:space="preserve"> </w:t>
      </w:r>
      <w:r w:rsidR="00514A19">
        <w:rPr>
          <w:rFonts w:ascii="Verdana" w:hAnsi="Verdana"/>
          <w:sz w:val="18"/>
          <w:szCs w:val="18"/>
        </w:rPr>
        <w:t>Specifiek</w:t>
      </w:r>
      <w:r w:rsidR="00B325C0">
        <w:rPr>
          <w:rFonts w:ascii="Verdana" w:hAnsi="Verdana"/>
          <w:sz w:val="18"/>
          <w:szCs w:val="18"/>
        </w:rPr>
        <w:t xml:space="preserve"> benadrukken zij </w:t>
      </w:r>
      <w:r>
        <w:rPr>
          <w:rFonts w:ascii="Verdana" w:hAnsi="Verdana"/>
          <w:sz w:val="18"/>
          <w:szCs w:val="18"/>
        </w:rPr>
        <w:t>het belang van beschermin</w:t>
      </w:r>
      <w:r w:rsidR="00B325C0">
        <w:rPr>
          <w:rFonts w:ascii="Verdana" w:hAnsi="Verdana"/>
          <w:sz w:val="18"/>
          <w:szCs w:val="18"/>
        </w:rPr>
        <w:t xml:space="preserve">g en duurzaam beheer van bossen en van duurzaam visserijbeheer </w:t>
      </w:r>
      <w:r w:rsidR="00514A19">
        <w:rPr>
          <w:rFonts w:ascii="Verdana" w:hAnsi="Verdana"/>
          <w:sz w:val="18"/>
          <w:szCs w:val="18"/>
        </w:rPr>
        <w:t>en spreken onder andere af om handel in duurzame bosproducten te promoten</w:t>
      </w:r>
      <w:r w:rsidR="006730FF">
        <w:rPr>
          <w:rFonts w:ascii="Verdana" w:hAnsi="Verdana"/>
          <w:sz w:val="18"/>
          <w:szCs w:val="18"/>
        </w:rPr>
        <w:t>.</w:t>
      </w:r>
      <w:r>
        <w:rPr>
          <w:rFonts w:ascii="Verdana" w:hAnsi="Verdana"/>
          <w:sz w:val="18"/>
          <w:szCs w:val="18"/>
        </w:rPr>
        <w:t xml:space="preserve"> </w:t>
      </w:r>
      <w:r w:rsidR="00DA3FA7">
        <w:rPr>
          <w:rFonts w:ascii="Verdana" w:hAnsi="Verdana"/>
          <w:sz w:val="18"/>
          <w:szCs w:val="18"/>
        </w:rPr>
        <w:t xml:space="preserve">In hoofdstuk 22, 23 en 24 </w:t>
      </w:r>
      <w:r w:rsidR="006730FF">
        <w:rPr>
          <w:rFonts w:ascii="Verdana" w:hAnsi="Verdana"/>
          <w:sz w:val="18"/>
          <w:szCs w:val="18"/>
        </w:rPr>
        <w:t>staan de</w:t>
      </w:r>
      <w:r w:rsidR="00DA3FA7">
        <w:rPr>
          <w:rFonts w:ascii="Verdana" w:hAnsi="Verdana"/>
          <w:sz w:val="18"/>
          <w:szCs w:val="18"/>
        </w:rPr>
        <w:t xml:space="preserve"> afspraken over handel en duurzame ontwikkeling. Hoofdstuk 22 is een inleidend hoofdstuk op de hoofdstukken 23 en 24 die respectievelijk ingaan op arbeidsrechten en milieubescherming.</w:t>
      </w:r>
    </w:p>
    <w:p w:rsidRPr="00BF3AE9" w:rsidR="00BF3AE9" w:rsidP="00BF3AE9" w:rsidRDefault="00BF3AE9" w14:paraId="05A100D7" w14:textId="77777777">
      <w:pPr>
        <w:pStyle w:val="PlainText"/>
        <w:rPr>
          <w:rFonts w:ascii="Verdana" w:hAnsi="Verdana" w:eastAsiaTheme="minorHAnsi"/>
          <w:sz w:val="18"/>
          <w:szCs w:val="18"/>
          <w:lang w:eastAsia="en-US"/>
        </w:rPr>
      </w:pPr>
      <w:r>
        <w:rPr>
          <w:rFonts w:ascii="Verdana" w:hAnsi="Verdana" w:eastAsiaTheme="minorHAnsi"/>
          <w:sz w:val="18"/>
          <w:szCs w:val="18"/>
          <w:lang w:eastAsia="en-US"/>
        </w:rPr>
        <w:t>CETA heeft volgens de</w:t>
      </w:r>
      <w:r w:rsidRPr="00BF3AE9">
        <w:rPr>
          <w:rFonts w:ascii="Verdana" w:hAnsi="Verdana" w:eastAsiaTheme="minorHAnsi"/>
          <w:sz w:val="18"/>
          <w:szCs w:val="18"/>
          <w:lang w:eastAsia="en-US"/>
        </w:rPr>
        <w:t xml:space="preserve"> </w:t>
      </w:r>
      <w:proofErr w:type="spellStart"/>
      <w:r w:rsidRPr="00BF3AE9">
        <w:rPr>
          <w:rFonts w:ascii="Verdana" w:hAnsi="Verdana" w:eastAsiaTheme="minorHAnsi"/>
          <w:i/>
          <w:iCs/>
          <w:sz w:val="18"/>
          <w:szCs w:val="18"/>
          <w:lang w:eastAsia="en-US"/>
        </w:rPr>
        <w:t>Sustainability</w:t>
      </w:r>
      <w:proofErr w:type="spellEnd"/>
      <w:r w:rsidRPr="00BF3AE9">
        <w:rPr>
          <w:rFonts w:ascii="Verdana" w:hAnsi="Verdana" w:eastAsiaTheme="minorHAnsi"/>
          <w:i/>
          <w:iCs/>
          <w:sz w:val="18"/>
          <w:szCs w:val="18"/>
          <w:lang w:eastAsia="en-US"/>
        </w:rPr>
        <w:t xml:space="preserve"> Impact Assessment</w:t>
      </w:r>
      <w:r w:rsidRPr="00BF3AE9">
        <w:rPr>
          <w:rFonts w:ascii="Verdana" w:hAnsi="Verdana" w:eastAsiaTheme="minorHAnsi"/>
          <w:sz w:val="18"/>
          <w:szCs w:val="18"/>
          <w:lang w:eastAsia="en-US"/>
        </w:rPr>
        <w:t xml:space="preserve"> (SIA) </w:t>
      </w:r>
      <w:r>
        <w:rPr>
          <w:rFonts w:ascii="Verdana" w:hAnsi="Verdana" w:eastAsiaTheme="minorHAnsi"/>
          <w:sz w:val="18"/>
          <w:szCs w:val="18"/>
          <w:lang w:eastAsia="en-US"/>
        </w:rPr>
        <w:t xml:space="preserve">een beperkt effect op </w:t>
      </w:r>
      <w:r w:rsidR="00DA3FA7">
        <w:rPr>
          <w:rFonts w:ascii="Verdana" w:hAnsi="Verdana" w:eastAsiaTheme="minorHAnsi"/>
          <w:sz w:val="18"/>
          <w:szCs w:val="18"/>
          <w:lang w:eastAsia="en-US"/>
        </w:rPr>
        <w:t>verschillende</w:t>
      </w:r>
      <w:r>
        <w:rPr>
          <w:rFonts w:ascii="Verdana" w:hAnsi="Verdana" w:eastAsiaTheme="minorHAnsi"/>
          <w:sz w:val="18"/>
          <w:szCs w:val="18"/>
          <w:lang w:eastAsia="en-US"/>
        </w:rPr>
        <w:t xml:space="preserve"> milieu</w:t>
      </w:r>
      <w:r w:rsidR="00DA3FA7">
        <w:rPr>
          <w:rFonts w:ascii="Verdana" w:hAnsi="Verdana" w:eastAsiaTheme="minorHAnsi"/>
          <w:sz w:val="18"/>
          <w:szCs w:val="18"/>
          <w:lang w:eastAsia="en-US"/>
        </w:rPr>
        <w:t>-indicatoren</w:t>
      </w:r>
      <w:r>
        <w:rPr>
          <w:rFonts w:ascii="Verdana" w:hAnsi="Verdana" w:eastAsiaTheme="minorHAnsi"/>
          <w:sz w:val="18"/>
          <w:szCs w:val="18"/>
          <w:lang w:eastAsia="en-US"/>
        </w:rPr>
        <w:t>, bijvoorbeeld de uitstoot van broeikasgassen</w:t>
      </w:r>
      <w:r w:rsidRPr="00BF3AE9">
        <w:rPr>
          <w:rFonts w:ascii="Verdana" w:hAnsi="Verdana" w:eastAsiaTheme="minorHAnsi"/>
          <w:sz w:val="18"/>
          <w:szCs w:val="18"/>
          <w:lang w:eastAsia="en-US"/>
        </w:rPr>
        <w:t xml:space="preserve">. De daadwerkelijke effecten van CETA op het milieu zijn van een groot aantal factoren afhankelijk, bijvoorbeeld in hoeverre bedrijven gebruik maken van het handelsakkoord. </w:t>
      </w:r>
    </w:p>
    <w:p w:rsidRPr="006F3FF7" w:rsidR="00A57CE8" w:rsidP="00A57CE8" w:rsidRDefault="00A57CE8" w14:paraId="0CA9E644" w14:textId="77777777">
      <w:pPr>
        <w:spacing w:after="0"/>
        <w:rPr>
          <w:rFonts w:ascii="Verdana" w:hAnsi="Verdana"/>
          <w:b/>
          <w:sz w:val="18"/>
          <w:szCs w:val="18"/>
        </w:rPr>
      </w:pPr>
    </w:p>
    <w:p w:rsidRPr="006F3FF7" w:rsidR="00A57CE8" w:rsidP="00A57CE8" w:rsidRDefault="00A57CE8" w14:paraId="6CF36DFB" w14:textId="77777777">
      <w:pPr>
        <w:spacing w:after="0"/>
        <w:rPr>
          <w:rFonts w:ascii="Verdana" w:hAnsi="Verdana"/>
          <w:sz w:val="18"/>
          <w:szCs w:val="18"/>
        </w:rPr>
      </w:pPr>
      <w:r w:rsidRPr="006F3FF7">
        <w:rPr>
          <w:rFonts w:ascii="Verdana" w:hAnsi="Verdana"/>
          <w:b/>
          <w:sz w:val="18"/>
          <w:szCs w:val="18"/>
        </w:rPr>
        <w:t>Vraag 15</w:t>
      </w:r>
    </w:p>
    <w:p w:rsidRPr="006F3FF7" w:rsidR="007367FC" w:rsidP="00A57CE8" w:rsidRDefault="007367FC" w14:paraId="51CF27A0" w14:textId="77777777">
      <w:pPr>
        <w:spacing w:after="0"/>
        <w:rPr>
          <w:rFonts w:ascii="Verdana" w:hAnsi="Verdana"/>
          <w:sz w:val="18"/>
          <w:szCs w:val="18"/>
        </w:rPr>
      </w:pPr>
      <w:r w:rsidRPr="006F3FF7">
        <w:rPr>
          <w:rFonts w:ascii="Verdana" w:hAnsi="Verdana"/>
          <w:sz w:val="18"/>
          <w:szCs w:val="18"/>
        </w:rPr>
        <w:lastRenderedPageBreak/>
        <w:t>Hoe verschilt het geschilbeslechtingssysteem ‘ICS’ van CETA ten opzichte van de voorganger ‘ISDS’ als het aankomt op benoeming van rechters, misbruik van het geschilbeslechtingssysteem, onafhankelijkheid van de geschilbeslechting en transparantie?</w:t>
      </w:r>
    </w:p>
    <w:p w:rsidRPr="006F3FF7" w:rsidR="00A57CE8" w:rsidP="00A57CE8" w:rsidRDefault="00A57CE8" w14:paraId="132FFF44" w14:textId="77777777">
      <w:pPr>
        <w:spacing w:after="0"/>
        <w:rPr>
          <w:rFonts w:ascii="Verdana" w:hAnsi="Verdana"/>
          <w:sz w:val="18"/>
          <w:szCs w:val="18"/>
        </w:rPr>
      </w:pPr>
    </w:p>
    <w:p w:rsidRPr="00FD1ECD" w:rsidR="00A57CE8" w:rsidP="00A57CE8" w:rsidRDefault="00A57CE8" w14:paraId="33609AE3" w14:textId="77777777">
      <w:pPr>
        <w:spacing w:after="0"/>
        <w:rPr>
          <w:rFonts w:ascii="Verdana" w:hAnsi="Verdana"/>
          <w:b/>
          <w:sz w:val="18"/>
          <w:szCs w:val="18"/>
        </w:rPr>
      </w:pPr>
      <w:r w:rsidRPr="00FD1ECD">
        <w:rPr>
          <w:rFonts w:ascii="Verdana" w:hAnsi="Verdana"/>
          <w:b/>
          <w:sz w:val="18"/>
          <w:szCs w:val="18"/>
        </w:rPr>
        <w:t>Antwoord</w:t>
      </w:r>
    </w:p>
    <w:p w:rsidR="009F5444" w:rsidP="00A57CE8" w:rsidRDefault="001A1D3E" w14:paraId="72C50BE5" w14:textId="77777777">
      <w:pPr>
        <w:spacing w:after="0"/>
        <w:rPr>
          <w:rFonts w:ascii="Verdana" w:hAnsi="Verdana"/>
          <w:sz w:val="18"/>
          <w:szCs w:val="18"/>
        </w:rPr>
      </w:pPr>
      <w:r>
        <w:rPr>
          <w:rFonts w:ascii="Verdana" w:hAnsi="Verdana"/>
          <w:sz w:val="18"/>
          <w:szCs w:val="18"/>
        </w:rPr>
        <w:t>Het Investment Court System (ICS) komt tegemoet aan de zorgen ten aanzien van het oude ISDS-mechanisme. Het ICS zorgt voor transparante</w:t>
      </w:r>
      <w:r w:rsidR="00A71F86">
        <w:rPr>
          <w:rFonts w:ascii="Verdana" w:hAnsi="Verdana"/>
          <w:sz w:val="18"/>
          <w:szCs w:val="18"/>
        </w:rPr>
        <w:t>re</w:t>
      </w:r>
      <w:r>
        <w:rPr>
          <w:rFonts w:ascii="Verdana" w:hAnsi="Verdana"/>
          <w:sz w:val="18"/>
          <w:szCs w:val="18"/>
        </w:rPr>
        <w:t xml:space="preserve"> procedures</w:t>
      </w:r>
      <w:r w:rsidR="00C53E53">
        <w:rPr>
          <w:rFonts w:ascii="Verdana" w:hAnsi="Verdana"/>
          <w:sz w:val="18"/>
          <w:szCs w:val="18"/>
        </w:rPr>
        <w:t xml:space="preserve"> waarin </w:t>
      </w:r>
      <w:r w:rsidR="007734B6">
        <w:rPr>
          <w:rFonts w:ascii="Verdana" w:hAnsi="Verdana"/>
          <w:sz w:val="18"/>
          <w:szCs w:val="18"/>
        </w:rPr>
        <w:t xml:space="preserve">in principe </w:t>
      </w:r>
      <w:r w:rsidR="006730FF">
        <w:rPr>
          <w:rFonts w:ascii="Verdana" w:hAnsi="Verdana"/>
          <w:sz w:val="18"/>
          <w:szCs w:val="18"/>
        </w:rPr>
        <w:t xml:space="preserve">de </w:t>
      </w:r>
      <w:r w:rsidR="00C53E53">
        <w:rPr>
          <w:rFonts w:ascii="Verdana" w:hAnsi="Verdana"/>
          <w:sz w:val="18"/>
          <w:szCs w:val="18"/>
        </w:rPr>
        <w:t xml:space="preserve">processtukken en </w:t>
      </w:r>
      <w:r w:rsidR="006730FF">
        <w:rPr>
          <w:rFonts w:ascii="Verdana" w:hAnsi="Verdana"/>
          <w:sz w:val="18"/>
          <w:szCs w:val="18"/>
        </w:rPr>
        <w:t xml:space="preserve">de </w:t>
      </w:r>
      <w:r w:rsidR="00C53E53">
        <w:rPr>
          <w:rFonts w:ascii="Verdana" w:hAnsi="Verdana"/>
          <w:sz w:val="18"/>
          <w:szCs w:val="18"/>
        </w:rPr>
        <w:t>uitspraak op</w:t>
      </w:r>
      <w:r w:rsidR="00501198">
        <w:rPr>
          <w:rFonts w:ascii="Verdana" w:hAnsi="Verdana"/>
          <w:sz w:val="18"/>
          <w:szCs w:val="18"/>
        </w:rPr>
        <w:t>enbaar zij</w:t>
      </w:r>
      <w:r w:rsidR="006730FF">
        <w:rPr>
          <w:rFonts w:ascii="Verdana" w:hAnsi="Verdana"/>
          <w:sz w:val="18"/>
          <w:szCs w:val="18"/>
        </w:rPr>
        <w:t>n;</w:t>
      </w:r>
      <w:r>
        <w:rPr>
          <w:rFonts w:ascii="Verdana" w:hAnsi="Verdana"/>
          <w:sz w:val="18"/>
          <w:szCs w:val="18"/>
        </w:rPr>
        <w:t xml:space="preserve"> </w:t>
      </w:r>
      <w:r w:rsidR="006730FF">
        <w:rPr>
          <w:rFonts w:ascii="Verdana" w:hAnsi="Verdana"/>
          <w:sz w:val="18"/>
          <w:szCs w:val="18"/>
        </w:rPr>
        <w:t>het</w:t>
      </w:r>
      <w:r>
        <w:rPr>
          <w:rFonts w:ascii="Verdana" w:hAnsi="Verdana"/>
          <w:sz w:val="18"/>
          <w:szCs w:val="18"/>
        </w:rPr>
        <w:t xml:space="preserve"> sluit brievenbusmaatschappijen uit van bescherming</w:t>
      </w:r>
      <w:r w:rsidR="006730FF">
        <w:rPr>
          <w:rFonts w:ascii="Verdana" w:hAnsi="Verdana"/>
          <w:sz w:val="18"/>
          <w:szCs w:val="18"/>
        </w:rPr>
        <w:t>;</w:t>
      </w:r>
      <w:r>
        <w:rPr>
          <w:rFonts w:ascii="Verdana" w:hAnsi="Verdana"/>
          <w:sz w:val="18"/>
          <w:szCs w:val="18"/>
        </w:rPr>
        <w:t xml:space="preserve"> en </w:t>
      </w:r>
      <w:r w:rsidR="006730FF">
        <w:rPr>
          <w:rFonts w:ascii="Verdana" w:hAnsi="Verdana"/>
          <w:sz w:val="18"/>
          <w:szCs w:val="18"/>
        </w:rPr>
        <w:t>het</w:t>
      </w:r>
      <w:r>
        <w:rPr>
          <w:rFonts w:ascii="Verdana" w:hAnsi="Verdana"/>
          <w:sz w:val="18"/>
          <w:szCs w:val="18"/>
        </w:rPr>
        <w:t xml:space="preserve"> garandeert onpartijdige en onafhankelijke rechtspraak.</w:t>
      </w:r>
      <w:r w:rsidR="007734B6">
        <w:rPr>
          <w:rFonts w:ascii="Verdana" w:hAnsi="Verdana"/>
          <w:sz w:val="18"/>
          <w:szCs w:val="18"/>
        </w:rPr>
        <w:t xml:space="preserve"> </w:t>
      </w:r>
    </w:p>
    <w:p w:rsidR="00A57CE8" w:rsidP="00A57CE8" w:rsidRDefault="00492521" w14:paraId="1C22BF5F" w14:textId="6136722F">
      <w:pPr>
        <w:spacing w:after="0"/>
        <w:rPr>
          <w:rFonts w:ascii="Verdana" w:hAnsi="Verdana"/>
          <w:sz w:val="18"/>
          <w:szCs w:val="18"/>
        </w:rPr>
      </w:pPr>
      <w:r>
        <w:rPr>
          <w:rFonts w:ascii="Verdana" w:hAnsi="Verdana"/>
          <w:sz w:val="18"/>
          <w:szCs w:val="18"/>
        </w:rPr>
        <w:t>Het g</w:t>
      </w:r>
      <w:r w:rsidRPr="00A26EB3" w:rsidR="007734B6">
        <w:rPr>
          <w:rFonts w:ascii="Verdana" w:hAnsi="Verdana"/>
          <w:sz w:val="18"/>
          <w:szCs w:val="18"/>
        </w:rPr>
        <w:t xml:space="preserve">rootste verschil is dat in het traditionele ISDS de arbiters ad-hoc door de partijen bij het geschil worden benoemd, terwijl onder het </w:t>
      </w:r>
      <w:r w:rsidRPr="00A26EB3" w:rsidR="007734B6">
        <w:rPr>
          <w:rFonts w:ascii="Verdana" w:hAnsi="Verdana"/>
          <w:iCs/>
          <w:sz w:val="18"/>
          <w:szCs w:val="18"/>
        </w:rPr>
        <w:t>ICS</w:t>
      </w:r>
      <w:r w:rsidRPr="00A26EB3" w:rsidR="007734B6">
        <w:rPr>
          <w:rFonts w:ascii="Verdana" w:hAnsi="Verdana"/>
          <w:sz w:val="18"/>
          <w:szCs w:val="18"/>
        </w:rPr>
        <w:t xml:space="preserve"> de verdragspartijen de rechters voor een vaste periode benoemen</w:t>
      </w:r>
      <w:r w:rsidR="00C53014">
        <w:rPr>
          <w:rFonts w:ascii="Verdana" w:hAnsi="Verdana"/>
          <w:sz w:val="18"/>
          <w:szCs w:val="18"/>
        </w:rPr>
        <w:t xml:space="preserve"> die per zaak roteren</w:t>
      </w:r>
      <w:r w:rsidRPr="00A26EB3" w:rsidR="007734B6">
        <w:rPr>
          <w:rFonts w:ascii="Verdana" w:hAnsi="Verdana"/>
          <w:sz w:val="18"/>
          <w:szCs w:val="18"/>
        </w:rPr>
        <w:t>.</w:t>
      </w:r>
      <w:r w:rsidR="009F5444">
        <w:rPr>
          <w:rFonts w:ascii="Verdana" w:hAnsi="Verdana"/>
          <w:sz w:val="18"/>
          <w:szCs w:val="18"/>
        </w:rPr>
        <w:t xml:space="preserve"> </w:t>
      </w:r>
      <w:r w:rsidR="00A71F86">
        <w:rPr>
          <w:rFonts w:ascii="Verdana" w:hAnsi="Verdana"/>
          <w:sz w:val="18"/>
          <w:szCs w:val="18"/>
        </w:rPr>
        <w:t xml:space="preserve">Ook stelt het ICS – anders dan onder het oude ISDS - een duidelijke gedragscode voor de leden van het </w:t>
      </w:r>
      <w:r w:rsidR="00C53E53">
        <w:rPr>
          <w:rFonts w:ascii="Verdana" w:hAnsi="Verdana"/>
          <w:sz w:val="18"/>
          <w:szCs w:val="18"/>
        </w:rPr>
        <w:t>gerecht</w:t>
      </w:r>
      <w:r w:rsidR="00A71F86">
        <w:rPr>
          <w:rFonts w:ascii="Verdana" w:hAnsi="Verdana"/>
          <w:sz w:val="18"/>
          <w:szCs w:val="18"/>
        </w:rPr>
        <w:t xml:space="preserve">, waarmee belangenverstrengeling wordt </w:t>
      </w:r>
      <w:r w:rsidR="009F5444">
        <w:rPr>
          <w:rFonts w:ascii="Verdana" w:hAnsi="Verdana"/>
          <w:sz w:val="18"/>
          <w:szCs w:val="18"/>
        </w:rPr>
        <w:t>tegengegaan</w:t>
      </w:r>
      <w:r w:rsidR="00A71F86">
        <w:rPr>
          <w:rFonts w:ascii="Verdana" w:hAnsi="Verdana"/>
          <w:sz w:val="18"/>
          <w:szCs w:val="18"/>
        </w:rPr>
        <w:t xml:space="preserve">. Daarnaast biedt het ICS de mogelijkheid van beroep wat er onder het oude ISDS niet was. Verder kan het </w:t>
      </w:r>
      <w:r w:rsidR="00C53E53">
        <w:rPr>
          <w:rFonts w:ascii="Verdana" w:hAnsi="Verdana"/>
          <w:sz w:val="18"/>
          <w:szCs w:val="18"/>
        </w:rPr>
        <w:t>g</w:t>
      </w:r>
      <w:r w:rsidR="00A71F86">
        <w:rPr>
          <w:rFonts w:ascii="Verdana" w:hAnsi="Verdana"/>
          <w:sz w:val="18"/>
          <w:szCs w:val="18"/>
        </w:rPr>
        <w:t>erecht op voorhand een zaak afwijzen, indien een claim overduidelijk ongegrond blijkt.</w:t>
      </w:r>
      <w:r w:rsidR="00C53E53">
        <w:rPr>
          <w:rFonts w:ascii="Verdana" w:hAnsi="Verdana"/>
          <w:sz w:val="18"/>
          <w:szCs w:val="18"/>
        </w:rPr>
        <w:t xml:space="preserve"> Forumshopping is niet meer mogelijk onder het ICS</w:t>
      </w:r>
      <w:r w:rsidR="009F5444">
        <w:rPr>
          <w:rFonts w:ascii="Verdana" w:hAnsi="Verdana"/>
          <w:sz w:val="18"/>
          <w:szCs w:val="18"/>
        </w:rPr>
        <w:t>;</w:t>
      </w:r>
      <w:r w:rsidR="00C53E53">
        <w:rPr>
          <w:rFonts w:ascii="Verdana" w:hAnsi="Verdana"/>
          <w:sz w:val="18"/>
          <w:szCs w:val="18"/>
        </w:rPr>
        <w:t xml:space="preserve"> een lopende claim bij een nationale rechter dient te worden ingetrokken indien een investeerder een beroep op het ICS onder CETA wil doen.</w:t>
      </w:r>
      <w:r w:rsidR="00CB2920">
        <w:rPr>
          <w:rFonts w:ascii="Verdana" w:hAnsi="Verdana"/>
          <w:sz w:val="18"/>
          <w:szCs w:val="18"/>
        </w:rPr>
        <w:t xml:space="preserve"> Dit voorkomt </w:t>
      </w:r>
      <w:r w:rsidRPr="006916EC" w:rsidR="00CB2920">
        <w:rPr>
          <w:rFonts w:ascii="Verdana" w:hAnsi="Verdana"/>
          <w:sz w:val="18"/>
          <w:szCs w:val="18"/>
        </w:rPr>
        <w:t>parallelle procedures.</w:t>
      </w:r>
    </w:p>
    <w:p w:rsidR="009F5444" w:rsidP="00A57CE8" w:rsidRDefault="00C53E53" w14:paraId="385315C1" w14:textId="73A30D83">
      <w:pPr>
        <w:spacing w:after="0"/>
        <w:rPr>
          <w:rFonts w:ascii="Verdana" w:hAnsi="Verdana"/>
          <w:sz w:val="18"/>
          <w:szCs w:val="18"/>
        </w:rPr>
      </w:pPr>
      <w:r>
        <w:rPr>
          <w:rFonts w:ascii="Verdana" w:hAnsi="Verdana"/>
          <w:sz w:val="18"/>
          <w:szCs w:val="18"/>
        </w:rPr>
        <w:t>Verder dient in het geval een investeerder financieel gesteund wordt door een derde partij dit kenbaar te worden</w:t>
      </w:r>
      <w:r w:rsidRPr="009F5444" w:rsidR="009F5444">
        <w:rPr>
          <w:rFonts w:ascii="Verdana" w:hAnsi="Verdana"/>
          <w:sz w:val="18"/>
          <w:szCs w:val="18"/>
        </w:rPr>
        <w:t xml:space="preserve"> </w:t>
      </w:r>
      <w:r w:rsidR="009F5444">
        <w:rPr>
          <w:rFonts w:ascii="Verdana" w:hAnsi="Verdana"/>
          <w:sz w:val="18"/>
          <w:szCs w:val="18"/>
        </w:rPr>
        <w:t>gemaakt</w:t>
      </w:r>
      <w:r>
        <w:rPr>
          <w:rFonts w:ascii="Verdana" w:hAnsi="Verdana"/>
          <w:sz w:val="18"/>
          <w:szCs w:val="18"/>
        </w:rPr>
        <w:t>.</w:t>
      </w:r>
    </w:p>
    <w:p w:rsidRPr="0091748E" w:rsidR="00C53E53" w:rsidP="00A57CE8" w:rsidRDefault="00C53E53" w14:paraId="36FC34D4" w14:textId="04C23488">
      <w:pPr>
        <w:spacing w:after="0"/>
        <w:rPr>
          <w:rFonts w:ascii="Verdana" w:hAnsi="Verdana"/>
          <w:b/>
          <w:sz w:val="18"/>
          <w:szCs w:val="18"/>
        </w:rPr>
      </w:pPr>
      <w:r>
        <w:rPr>
          <w:rFonts w:ascii="Verdana" w:hAnsi="Verdana"/>
          <w:sz w:val="18"/>
          <w:szCs w:val="18"/>
        </w:rPr>
        <w:t>Ook kunnen Verdragspartijen via bindende interpretaties meer duidelijkheid geven aan de bepalingen</w:t>
      </w:r>
      <w:r w:rsidR="00C53014">
        <w:rPr>
          <w:rFonts w:ascii="Verdana" w:hAnsi="Verdana"/>
          <w:sz w:val="18"/>
          <w:szCs w:val="18"/>
        </w:rPr>
        <w:t xml:space="preserve"> van CETA</w:t>
      </w:r>
      <w:r>
        <w:rPr>
          <w:rFonts w:ascii="Verdana" w:hAnsi="Verdana"/>
          <w:sz w:val="18"/>
          <w:szCs w:val="18"/>
        </w:rPr>
        <w:t xml:space="preserve"> zoals door verdragspartijen bedoeld is. Deze interpretatie is bindend voor het gerecht. Daarnaast is </w:t>
      </w:r>
      <w:r w:rsidR="00C53014">
        <w:rPr>
          <w:rFonts w:ascii="Verdana" w:hAnsi="Verdana"/>
          <w:sz w:val="18"/>
          <w:szCs w:val="18"/>
        </w:rPr>
        <w:t xml:space="preserve">in het verdrag </w:t>
      </w:r>
      <w:r>
        <w:rPr>
          <w:rFonts w:ascii="Verdana" w:hAnsi="Verdana"/>
          <w:sz w:val="18"/>
          <w:szCs w:val="18"/>
        </w:rPr>
        <w:t xml:space="preserve">vastgelegd dat de verliezende partij de kosten van de procedure betaalt. Het CETA Gemengd Comité zal nadere regels opstellen om de financiële last </w:t>
      </w:r>
      <w:r w:rsidR="007A0E7E">
        <w:rPr>
          <w:rFonts w:ascii="Verdana" w:hAnsi="Verdana"/>
          <w:sz w:val="18"/>
          <w:szCs w:val="18"/>
        </w:rPr>
        <w:t xml:space="preserve">van een claim voor investeerders uit het </w:t>
      </w:r>
      <w:r w:rsidR="009F5444">
        <w:rPr>
          <w:rFonts w:ascii="Verdana" w:hAnsi="Verdana"/>
          <w:sz w:val="18"/>
          <w:szCs w:val="18"/>
        </w:rPr>
        <w:t>MKB</w:t>
      </w:r>
      <w:r w:rsidR="007A0E7E">
        <w:rPr>
          <w:rFonts w:ascii="Verdana" w:hAnsi="Verdana"/>
          <w:sz w:val="18"/>
          <w:szCs w:val="18"/>
        </w:rPr>
        <w:t xml:space="preserve"> te verlichten. Dergelijke regels bestonden niet onder het ‘oude ISDS’. </w:t>
      </w:r>
    </w:p>
    <w:p w:rsidRPr="006F3FF7" w:rsidR="001A1D3E" w:rsidP="00A57CE8" w:rsidRDefault="001A1D3E" w14:paraId="04836F61" w14:textId="77777777">
      <w:pPr>
        <w:spacing w:after="0"/>
        <w:rPr>
          <w:rFonts w:ascii="Verdana" w:hAnsi="Verdana"/>
          <w:b/>
          <w:sz w:val="18"/>
          <w:szCs w:val="18"/>
        </w:rPr>
      </w:pPr>
    </w:p>
    <w:p w:rsidRPr="006F3FF7" w:rsidR="00A57CE8" w:rsidP="00A57CE8" w:rsidRDefault="00A57CE8" w14:paraId="41547EDB" w14:textId="77777777">
      <w:pPr>
        <w:spacing w:after="0"/>
        <w:rPr>
          <w:rFonts w:ascii="Verdana" w:hAnsi="Verdana"/>
          <w:b/>
          <w:sz w:val="18"/>
          <w:szCs w:val="18"/>
        </w:rPr>
      </w:pPr>
      <w:r w:rsidRPr="006F3FF7">
        <w:rPr>
          <w:rFonts w:ascii="Verdana" w:hAnsi="Verdana"/>
          <w:b/>
          <w:sz w:val="18"/>
          <w:szCs w:val="18"/>
        </w:rPr>
        <w:t>Vraag 16</w:t>
      </w:r>
    </w:p>
    <w:p w:rsidRPr="006F3FF7" w:rsidR="00A57CE8" w:rsidP="00A57CE8" w:rsidRDefault="007367FC" w14:paraId="61936E40" w14:textId="77777777">
      <w:pPr>
        <w:spacing w:after="0"/>
        <w:rPr>
          <w:rFonts w:ascii="Verdana" w:hAnsi="Verdana"/>
          <w:sz w:val="18"/>
          <w:szCs w:val="18"/>
        </w:rPr>
      </w:pPr>
      <w:r w:rsidRPr="006F3FF7">
        <w:rPr>
          <w:rFonts w:ascii="Verdana" w:hAnsi="Verdana"/>
          <w:sz w:val="18"/>
          <w:szCs w:val="18"/>
        </w:rPr>
        <w:t>Kunt u aangeven in hoeverre ICS compatibel is met de Europese rechtsorde?</w:t>
      </w:r>
    </w:p>
    <w:p w:rsidRPr="006F3FF7" w:rsidR="00A57CE8" w:rsidP="00A57CE8" w:rsidRDefault="00A57CE8" w14:paraId="6FF96D28" w14:textId="77777777">
      <w:pPr>
        <w:spacing w:after="0"/>
        <w:rPr>
          <w:rFonts w:ascii="Verdana" w:hAnsi="Verdana"/>
          <w:sz w:val="18"/>
          <w:szCs w:val="18"/>
        </w:rPr>
      </w:pPr>
    </w:p>
    <w:p w:rsidRPr="006F3FF7" w:rsidR="00A57CE8" w:rsidP="00A57CE8" w:rsidRDefault="00A57CE8" w14:paraId="4EDD848D" w14:textId="77777777">
      <w:pPr>
        <w:spacing w:after="0"/>
        <w:rPr>
          <w:rFonts w:ascii="Verdana" w:hAnsi="Verdana"/>
          <w:b/>
          <w:sz w:val="18"/>
          <w:szCs w:val="18"/>
        </w:rPr>
      </w:pPr>
      <w:r w:rsidRPr="006F3FF7">
        <w:rPr>
          <w:rFonts w:ascii="Verdana" w:hAnsi="Verdana"/>
          <w:b/>
          <w:sz w:val="18"/>
          <w:szCs w:val="18"/>
        </w:rPr>
        <w:t>Antwoord</w:t>
      </w:r>
    </w:p>
    <w:p w:rsidRPr="00EB3978" w:rsidR="00C84417" w:rsidP="00C84417" w:rsidRDefault="00C84417" w14:paraId="2332FA27" w14:textId="77777777">
      <w:pPr>
        <w:spacing w:line="252" w:lineRule="auto"/>
        <w:contextualSpacing/>
        <w:rPr>
          <w:rFonts w:ascii="Verdana" w:hAnsi="Verdana" w:eastAsia="Times New Roman" w:cs="Times New Roman"/>
          <w:sz w:val="18"/>
          <w:szCs w:val="18"/>
        </w:rPr>
      </w:pPr>
      <w:r w:rsidRPr="00EB3978">
        <w:rPr>
          <w:rFonts w:ascii="Verdana" w:hAnsi="Verdana" w:cs="Times New Roman"/>
          <w:sz w:val="18"/>
          <w:szCs w:val="18"/>
        </w:rPr>
        <w:t xml:space="preserve">Het EU-Hof heeft op 30 april 2019 in Advies 1/17 geoordeeld dat het </w:t>
      </w:r>
      <w:r w:rsidRPr="00665B0D">
        <w:rPr>
          <w:rStyle w:val="Emphasis"/>
          <w:rFonts w:ascii="Verdana" w:hAnsi="Verdana" w:cs="Times New Roman"/>
          <w:i w:val="0"/>
          <w:sz w:val="18"/>
          <w:szCs w:val="18"/>
        </w:rPr>
        <w:t>Investment Court System</w:t>
      </w:r>
      <w:r w:rsidRPr="00EB3978">
        <w:rPr>
          <w:rFonts w:ascii="Verdana" w:hAnsi="Verdana" w:cs="Times New Roman"/>
          <w:sz w:val="18"/>
          <w:szCs w:val="18"/>
        </w:rPr>
        <w:t xml:space="preserve"> in CETA verenigbaar is met het EU-recht. </w:t>
      </w:r>
      <w:r w:rsidRPr="00EB3978">
        <w:rPr>
          <w:rFonts w:ascii="Verdana" w:hAnsi="Verdana" w:eastAsia="Times New Roman" w:cs="Times New Roman"/>
          <w:sz w:val="18"/>
          <w:szCs w:val="18"/>
        </w:rPr>
        <w:t xml:space="preserve">In zijn advies heeft het Hof geoordeeld </w:t>
      </w:r>
      <w:r w:rsidR="007A0E7E">
        <w:rPr>
          <w:rFonts w:ascii="Verdana" w:hAnsi="Verdana" w:eastAsia="Times New Roman" w:cs="Times New Roman"/>
          <w:sz w:val="18"/>
          <w:szCs w:val="18"/>
        </w:rPr>
        <w:t xml:space="preserve">dat </w:t>
      </w:r>
      <w:r w:rsidRPr="00EB3978">
        <w:rPr>
          <w:rFonts w:ascii="Verdana" w:hAnsi="Verdana" w:eastAsia="Times New Roman" w:cs="Times New Roman"/>
          <w:sz w:val="18"/>
          <w:szCs w:val="18"/>
        </w:rPr>
        <w:t xml:space="preserve">CETA geen inbreuk maakt op de autonomie van de rechtsorde van de Unie en de exclusieve bevoegdheid van het EU-Hof om het EU-recht te interpreteren en toe te passen. Hierbij is volgens het Hof van belang dat de bevoegdheid van de onder CETA op te richten gerechten beperkt blijft tot uitleggen en toepassen van bepalingen in CETA. </w:t>
      </w:r>
      <w:r w:rsidRPr="00EB3978">
        <w:rPr>
          <w:rFonts w:ascii="Verdana" w:hAnsi="Verdana" w:cs="Times New Roman"/>
          <w:sz w:val="18"/>
          <w:szCs w:val="18"/>
        </w:rPr>
        <w:t xml:space="preserve">Evenmin maken de afspraken over investeringsbescherming volgens het Hof inbreuk op het gelijkheidsbeginsel. Het geschillenbeslechtingsmechanisme bevat verder voldoende waarborgen om de onafhankelijkheid en onpartijdigheid van leden van het </w:t>
      </w:r>
      <w:r w:rsidRPr="00665B0D">
        <w:rPr>
          <w:rFonts w:ascii="Verdana" w:hAnsi="Verdana" w:cs="Times New Roman"/>
          <w:iCs/>
          <w:sz w:val="18"/>
          <w:szCs w:val="18"/>
        </w:rPr>
        <w:t>Investment Court</w:t>
      </w:r>
      <w:r w:rsidRPr="00EB3978">
        <w:rPr>
          <w:rFonts w:ascii="Verdana" w:hAnsi="Verdana" w:cs="Times New Roman"/>
          <w:sz w:val="18"/>
          <w:szCs w:val="18"/>
        </w:rPr>
        <w:t xml:space="preserve"> te garanderen. </w:t>
      </w:r>
    </w:p>
    <w:p w:rsidRPr="00871C1B" w:rsidR="00A57CE8" w:rsidP="00A57CE8" w:rsidRDefault="00A57CE8" w14:paraId="75B37757" w14:textId="77777777">
      <w:pPr>
        <w:spacing w:after="0"/>
        <w:rPr>
          <w:rFonts w:ascii="Verdana" w:hAnsi="Verdana"/>
          <w:b/>
          <w:sz w:val="18"/>
          <w:szCs w:val="18"/>
        </w:rPr>
      </w:pPr>
    </w:p>
    <w:p w:rsidRPr="006F3FF7" w:rsidR="00A57CE8" w:rsidP="00A57CE8" w:rsidRDefault="00A57CE8" w14:paraId="00F64842" w14:textId="77777777">
      <w:pPr>
        <w:spacing w:after="0"/>
        <w:rPr>
          <w:rFonts w:ascii="Verdana" w:hAnsi="Verdana"/>
          <w:b/>
          <w:sz w:val="18"/>
          <w:szCs w:val="18"/>
        </w:rPr>
      </w:pPr>
      <w:r w:rsidRPr="006F3FF7">
        <w:rPr>
          <w:rFonts w:ascii="Verdana" w:hAnsi="Verdana"/>
          <w:b/>
          <w:sz w:val="18"/>
          <w:szCs w:val="18"/>
        </w:rPr>
        <w:t>Vraag 17</w:t>
      </w:r>
    </w:p>
    <w:p w:rsidRPr="006F3FF7" w:rsidR="00A57CE8" w:rsidP="00A57CE8" w:rsidRDefault="007367FC" w14:paraId="033EC500" w14:textId="77777777">
      <w:pPr>
        <w:spacing w:after="0"/>
        <w:rPr>
          <w:rFonts w:ascii="Verdana" w:hAnsi="Verdana"/>
          <w:sz w:val="18"/>
          <w:szCs w:val="18"/>
        </w:rPr>
      </w:pPr>
      <w:r w:rsidRPr="006F3FF7">
        <w:rPr>
          <w:rFonts w:ascii="Verdana" w:hAnsi="Verdana"/>
          <w:sz w:val="18"/>
          <w:szCs w:val="18"/>
        </w:rPr>
        <w:t xml:space="preserve">Kunt u aangeven of het bestaan van ICS van invloed zal zijn op de regelgevende autonomie en de beleidsvrijheid van Nederland en of hierin een verschil bestaat ten opzichte van de reeds in het Nederlandse bestuursrecht gehanteerde algemene beginselen van behoorlijk bestuur? </w:t>
      </w:r>
    </w:p>
    <w:p w:rsidRPr="006F3FF7" w:rsidR="00A57CE8" w:rsidP="00A57CE8" w:rsidRDefault="00A57CE8" w14:paraId="1A184D3F" w14:textId="77777777">
      <w:pPr>
        <w:spacing w:after="0"/>
        <w:rPr>
          <w:rFonts w:ascii="Verdana" w:hAnsi="Verdana"/>
          <w:sz w:val="18"/>
          <w:szCs w:val="18"/>
        </w:rPr>
      </w:pPr>
    </w:p>
    <w:p w:rsidRPr="00C217B2" w:rsidR="00C84417" w:rsidP="002330FD" w:rsidRDefault="00A57CE8" w14:paraId="1E5DED05" w14:textId="38CAE826">
      <w:pPr>
        <w:spacing w:after="0"/>
        <w:rPr>
          <w:rFonts w:ascii="Verdana" w:hAnsi="Verdana" w:eastAsia="Times New Roman"/>
          <w:sz w:val="18"/>
          <w:szCs w:val="18"/>
        </w:rPr>
      </w:pPr>
      <w:r w:rsidRPr="006F3FF7">
        <w:rPr>
          <w:rFonts w:ascii="Verdana" w:hAnsi="Verdana"/>
          <w:b/>
          <w:sz w:val="18"/>
          <w:szCs w:val="18"/>
        </w:rPr>
        <w:t>Antwoord</w:t>
      </w:r>
    </w:p>
    <w:p w:rsidRPr="00EB3978" w:rsidR="00C84417" w:rsidP="00C84417" w:rsidRDefault="00C84417" w14:paraId="145A8FA1" w14:textId="70864C85">
      <w:pPr>
        <w:spacing w:line="252" w:lineRule="auto"/>
        <w:contextualSpacing/>
        <w:rPr>
          <w:rFonts w:ascii="Verdana" w:hAnsi="Verdana" w:eastAsia="Times New Roman" w:cs="Times New Roman"/>
          <w:sz w:val="18"/>
          <w:szCs w:val="18"/>
        </w:rPr>
      </w:pPr>
      <w:r w:rsidRPr="00EB3978">
        <w:rPr>
          <w:rFonts w:ascii="Verdana" w:hAnsi="Verdana" w:eastAsia="Times New Roman" w:cs="Times New Roman"/>
          <w:sz w:val="18"/>
          <w:szCs w:val="18"/>
        </w:rPr>
        <w:t xml:space="preserve">ICS doet geen afbreuk aan de regelgevende autonomie en de beleidsvrijheid van Nederland. Dit heeft het EU-Hof in </w:t>
      </w:r>
      <w:r w:rsidR="007B0AE1">
        <w:rPr>
          <w:rFonts w:ascii="Verdana" w:hAnsi="Verdana" w:eastAsia="Times New Roman" w:cs="Times New Roman"/>
          <w:sz w:val="18"/>
          <w:szCs w:val="18"/>
        </w:rPr>
        <w:t>A</w:t>
      </w:r>
      <w:r w:rsidRPr="00EB3978">
        <w:rPr>
          <w:rFonts w:ascii="Verdana" w:hAnsi="Verdana" w:eastAsia="Times New Roman" w:cs="Times New Roman"/>
          <w:sz w:val="18"/>
          <w:szCs w:val="18"/>
        </w:rPr>
        <w:t>dvies 1/17 ook bevestigd. Het EU-Hof heeft er hierbij op gewezen dat artikel 8.9, lid 1 van CETA uitdrukkelijk het recht van partijen bevestigd om op hun respectieve grondgebied regelgeving vast te stellen ter verwezenlijking van legitieme beleidsdoelstellingen, zoals bescherming van de volksgezondheid, de veiligheid, het milieu of de openbare zeden, sociale of consumentenbescherming of bevordering en bescherming van de culturele verscheidenheid.</w:t>
      </w:r>
    </w:p>
    <w:p w:rsidRPr="00EB3978" w:rsidR="00C84417" w:rsidP="00C84417" w:rsidRDefault="00C84417" w14:paraId="7144D529" w14:textId="77777777">
      <w:pPr>
        <w:spacing w:line="252" w:lineRule="auto"/>
        <w:contextualSpacing/>
        <w:rPr>
          <w:rFonts w:ascii="Verdana" w:hAnsi="Verdana" w:eastAsia="Times New Roman" w:cs="Times New Roman"/>
          <w:sz w:val="18"/>
          <w:szCs w:val="18"/>
        </w:rPr>
      </w:pPr>
    </w:p>
    <w:p w:rsidRPr="00EB3978" w:rsidR="00C84417" w:rsidP="00C84417" w:rsidRDefault="00C84417" w14:paraId="78B27AE4" w14:textId="77777777">
      <w:pPr>
        <w:spacing w:line="252" w:lineRule="auto"/>
        <w:contextualSpacing/>
        <w:rPr>
          <w:rFonts w:ascii="Verdana" w:hAnsi="Verdana" w:eastAsia="Times New Roman" w:cs="Times New Roman"/>
          <w:sz w:val="18"/>
          <w:szCs w:val="18"/>
        </w:rPr>
      </w:pPr>
      <w:r w:rsidRPr="00EB3978">
        <w:rPr>
          <w:rFonts w:ascii="Verdana" w:hAnsi="Verdana" w:eastAsia="Times New Roman" w:cs="Times New Roman"/>
          <w:sz w:val="18"/>
          <w:szCs w:val="18"/>
        </w:rPr>
        <w:t xml:space="preserve">Daarnaast heeft het EU-Hof ook gewezen op het gezamenlijk uitleggingsinstrument, dat verduidelijkt dat CETA “evenmin afbreuk zal doen aan de respectieve normen en regelgeving van elke partij in </w:t>
      </w:r>
      <w:r w:rsidRPr="00EB3978">
        <w:rPr>
          <w:rFonts w:ascii="Verdana" w:hAnsi="Verdana" w:eastAsia="Times New Roman" w:cs="Times New Roman"/>
          <w:sz w:val="18"/>
          <w:szCs w:val="18"/>
        </w:rPr>
        <w:lastRenderedPageBreak/>
        <w:t>verband met voedselveiligheid, productveiligheid, consumentenbescherming, gezondheid, milieu- of arbeidsbescherming” en dat “geïmporteerde goederen moeten blijven voldoen aan binnenlandse voorschriften, waaronder de wet- en regelgeving, net zoals dienstverleners en investeerders zich hieraan moeten blijven conformeren”, alsook dat CETA “geen afbreuk doet aan het vermoge</w:t>
      </w:r>
      <w:r w:rsidRPr="00EB3978">
        <w:rPr>
          <w:rFonts w:ascii="Verdana" w:hAnsi="Verdana" w:eastAsia="Times New Roman"/>
          <w:sz w:val="18"/>
          <w:szCs w:val="18"/>
        </w:rPr>
        <w:t>n</w:t>
      </w:r>
      <w:r w:rsidRPr="00EB3978">
        <w:rPr>
          <w:rFonts w:ascii="Verdana" w:hAnsi="Verdana" w:eastAsia="Times New Roman" w:cs="Times New Roman"/>
          <w:sz w:val="18"/>
          <w:szCs w:val="18"/>
        </w:rPr>
        <w:t xml:space="preserve"> van de Unie en haar lidstaten en Canada om hun eigen wet- en regelgeving ter regulering van de economische activiteit in het algemeen belang vast te stellen en ten uitvoer te leggen</w:t>
      </w:r>
      <w:r w:rsidRPr="00EB3978">
        <w:rPr>
          <w:rFonts w:ascii="Verdana" w:hAnsi="Verdana" w:eastAsia="Times New Roman"/>
          <w:sz w:val="18"/>
          <w:szCs w:val="18"/>
        </w:rPr>
        <w:t>”</w:t>
      </w:r>
      <w:r w:rsidRPr="00EB3978">
        <w:rPr>
          <w:rFonts w:ascii="Verdana" w:hAnsi="Verdana" w:eastAsia="Times New Roman" w:cs="Times New Roman"/>
          <w:sz w:val="18"/>
          <w:szCs w:val="18"/>
        </w:rPr>
        <w:t>.</w:t>
      </w:r>
    </w:p>
    <w:p w:rsidRPr="00EB3978" w:rsidR="006F3FF7" w:rsidP="006F3FF7" w:rsidRDefault="006F3FF7" w14:paraId="7221821F" w14:textId="77777777">
      <w:pPr>
        <w:spacing w:after="0"/>
        <w:rPr>
          <w:rFonts w:ascii="Verdana" w:hAnsi="Verdana" w:eastAsia="Verdana" w:cs="Verdana"/>
          <w:b/>
          <w:color w:val="FF0000"/>
          <w:sz w:val="18"/>
          <w:szCs w:val="18"/>
        </w:rPr>
      </w:pPr>
    </w:p>
    <w:p w:rsidRPr="00B32D5E" w:rsidR="00330987" w:rsidP="006F3FF7" w:rsidRDefault="00330987" w14:paraId="0A89E4DD" w14:textId="2BB57374">
      <w:pPr>
        <w:spacing w:after="0"/>
        <w:rPr>
          <w:rFonts w:ascii="Verdana" w:hAnsi="Verdana" w:eastAsia="Verdana" w:cs="Verdana"/>
          <w:sz w:val="18"/>
          <w:szCs w:val="18"/>
        </w:rPr>
      </w:pPr>
      <w:r w:rsidRPr="00B32D5E">
        <w:rPr>
          <w:rFonts w:ascii="Verdana" w:hAnsi="Verdana" w:eastAsia="Verdana" w:cs="Verdana"/>
          <w:sz w:val="18"/>
          <w:szCs w:val="18"/>
        </w:rPr>
        <w:t xml:space="preserve">Wat betreft de algemene beginselen van behoorlijk bestuur verschilt </w:t>
      </w:r>
      <w:r w:rsidR="00B32D5E">
        <w:rPr>
          <w:rFonts w:ascii="Verdana" w:hAnsi="Verdana" w:eastAsia="Verdana" w:cs="Verdana"/>
          <w:sz w:val="18"/>
          <w:szCs w:val="18"/>
        </w:rPr>
        <w:t xml:space="preserve">het ICS onder </w:t>
      </w:r>
      <w:r w:rsidRPr="00B32D5E">
        <w:rPr>
          <w:rFonts w:ascii="Verdana" w:hAnsi="Verdana" w:eastAsia="Verdana" w:cs="Verdana"/>
          <w:sz w:val="18"/>
          <w:szCs w:val="18"/>
        </w:rPr>
        <w:t>CETA niet van hetgeen gehanteerd wordt onder het Nederlands bestuursrecht. Ook onder CETA heeft een investeerder het recht op een eerlijke en billijke behandeling</w:t>
      </w:r>
      <w:r w:rsidRPr="00B32D5E" w:rsidR="003D06BC">
        <w:rPr>
          <w:rFonts w:ascii="Verdana" w:hAnsi="Verdana" w:eastAsia="Verdana" w:cs="Verdana"/>
          <w:sz w:val="18"/>
          <w:szCs w:val="18"/>
        </w:rPr>
        <w:t xml:space="preserve"> door de overheid, alsmede volledige bescherming en veiligheid van de onder de overeenkomst vallende investeringen, in het bijzonder bescherming tegen rechtsweigering, schending van het recht op een eerlijke procesgang, willekeur, discriminatie en druk, dwang en intimidatie. Daarnaast biedt CETA waarborgen tegen onteigening en wordt een onafhankelijk en onpartijdig mechanisme voor de beslechting van geschillen geboden</w:t>
      </w:r>
      <w:r w:rsidRPr="00B32D5E" w:rsidR="00EF6BC0">
        <w:rPr>
          <w:rFonts w:ascii="Verdana" w:hAnsi="Verdana" w:eastAsia="Verdana" w:cs="Verdana"/>
          <w:sz w:val="18"/>
          <w:szCs w:val="18"/>
        </w:rPr>
        <w:t>, inclusief de mogelijkheid van hoger beroep</w:t>
      </w:r>
      <w:r w:rsidRPr="00B32D5E" w:rsidR="003D06BC">
        <w:rPr>
          <w:rFonts w:ascii="Verdana" w:hAnsi="Verdana" w:eastAsia="Verdana" w:cs="Verdana"/>
          <w:sz w:val="18"/>
          <w:szCs w:val="18"/>
        </w:rPr>
        <w:t>. Beginselen die ook onder het Nederlands bestuursrecht gelden.</w:t>
      </w:r>
    </w:p>
    <w:p w:rsidRPr="00B32D5E" w:rsidR="003D06BC" w:rsidP="006F3FF7" w:rsidRDefault="003D06BC" w14:paraId="6B1AE1DC" w14:textId="77777777">
      <w:pPr>
        <w:spacing w:after="0"/>
        <w:rPr>
          <w:rFonts w:ascii="Verdana" w:hAnsi="Verdana" w:eastAsia="Verdana" w:cs="Verdana"/>
          <w:sz w:val="18"/>
          <w:szCs w:val="18"/>
        </w:rPr>
      </w:pPr>
    </w:p>
    <w:p w:rsidRPr="006F3FF7" w:rsidR="00A57CE8" w:rsidP="00A57CE8" w:rsidRDefault="00A57CE8" w14:paraId="76A9844E" w14:textId="77777777">
      <w:pPr>
        <w:spacing w:after="0"/>
        <w:rPr>
          <w:rFonts w:ascii="Verdana" w:hAnsi="Verdana"/>
          <w:b/>
          <w:sz w:val="18"/>
          <w:szCs w:val="18"/>
        </w:rPr>
      </w:pPr>
      <w:r w:rsidRPr="006F3FF7">
        <w:rPr>
          <w:rFonts w:ascii="Verdana" w:hAnsi="Verdana"/>
          <w:b/>
          <w:sz w:val="18"/>
          <w:szCs w:val="18"/>
        </w:rPr>
        <w:t>Vraag 18</w:t>
      </w:r>
    </w:p>
    <w:p w:rsidRPr="006F3FF7" w:rsidR="007367FC" w:rsidP="00A57CE8" w:rsidRDefault="007367FC" w14:paraId="6045896A" w14:textId="77777777">
      <w:pPr>
        <w:spacing w:after="0"/>
        <w:rPr>
          <w:rFonts w:ascii="Verdana" w:hAnsi="Verdana"/>
          <w:sz w:val="18"/>
          <w:szCs w:val="18"/>
        </w:rPr>
      </w:pPr>
      <w:r w:rsidRPr="006F3FF7">
        <w:rPr>
          <w:rFonts w:ascii="Verdana" w:hAnsi="Verdana"/>
          <w:sz w:val="18"/>
          <w:szCs w:val="18"/>
        </w:rPr>
        <w:t>Kunt u aangeven hoe vaak Nederland tot dusver voor een investeringstribunaal gedaagd is op basis van de meer dan 90 bilaterale investeringsverdragen met een geschilbeslechtingssysteem vergelijkbaar aan dat van CETA?</w:t>
      </w:r>
    </w:p>
    <w:p w:rsidRPr="006F3FF7" w:rsidR="00A57CE8" w:rsidP="00A57CE8" w:rsidRDefault="00A57CE8" w14:paraId="66B582B2" w14:textId="77777777">
      <w:pPr>
        <w:spacing w:after="0"/>
        <w:rPr>
          <w:rFonts w:ascii="Verdana" w:hAnsi="Verdana"/>
          <w:sz w:val="18"/>
          <w:szCs w:val="18"/>
        </w:rPr>
      </w:pPr>
    </w:p>
    <w:p w:rsidRPr="006F3FF7" w:rsidR="00A57CE8" w:rsidP="00A57CE8" w:rsidRDefault="00A57CE8" w14:paraId="5C63C2AD" w14:textId="77777777">
      <w:pPr>
        <w:spacing w:after="0"/>
        <w:rPr>
          <w:rFonts w:ascii="Verdana" w:hAnsi="Verdana"/>
          <w:b/>
          <w:sz w:val="18"/>
          <w:szCs w:val="18"/>
        </w:rPr>
      </w:pPr>
      <w:r w:rsidRPr="006F3FF7">
        <w:rPr>
          <w:rFonts w:ascii="Verdana" w:hAnsi="Verdana"/>
          <w:b/>
          <w:sz w:val="18"/>
          <w:szCs w:val="18"/>
        </w:rPr>
        <w:t>Antwoord</w:t>
      </w:r>
    </w:p>
    <w:p w:rsidR="00045C0F" w:rsidP="006F3FF7" w:rsidRDefault="00045C0F" w14:paraId="7A3042C8" w14:textId="14611BEB">
      <w:pPr>
        <w:spacing w:after="0"/>
        <w:rPr>
          <w:rFonts w:ascii="Verdana" w:hAnsi="Verdana" w:eastAsia="Verdana" w:cs="Verdana"/>
          <w:sz w:val="18"/>
          <w:szCs w:val="18"/>
          <w:highlight w:val="yellow"/>
        </w:rPr>
      </w:pPr>
      <w:r w:rsidRPr="00062DEF">
        <w:rPr>
          <w:rFonts w:ascii="Verdana" w:hAnsi="Verdana"/>
          <w:sz w:val="18"/>
          <w:szCs w:val="18"/>
        </w:rPr>
        <w:t>Er is onder de huidige</w:t>
      </w:r>
      <w:r w:rsidR="00335B6B">
        <w:rPr>
          <w:rFonts w:ascii="Verdana" w:hAnsi="Verdana"/>
          <w:sz w:val="18"/>
          <w:szCs w:val="18"/>
        </w:rPr>
        <w:t xml:space="preserve"> bilaterale</w:t>
      </w:r>
      <w:r w:rsidRPr="00062DEF">
        <w:rPr>
          <w:rFonts w:ascii="Verdana" w:hAnsi="Verdana"/>
          <w:sz w:val="18"/>
          <w:szCs w:val="18"/>
        </w:rPr>
        <w:t xml:space="preserve"> investeringsverdragen nog nooit een </w:t>
      </w:r>
      <w:r w:rsidR="003D06BC">
        <w:rPr>
          <w:rFonts w:ascii="Verdana" w:hAnsi="Verdana"/>
          <w:sz w:val="18"/>
          <w:szCs w:val="18"/>
        </w:rPr>
        <w:t xml:space="preserve">formele </w:t>
      </w:r>
      <w:r w:rsidRPr="00062DEF">
        <w:rPr>
          <w:rFonts w:ascii="Verdana" w:hAnsi="Verdana"/>
          <w:sz w:val="18"/>
          <w:szCs w:val="18"/>
        </w:rPr>
        <w:t>claim</w:t>
      </w:r>
      <w:r w:rsidR="0080086D">
        <w:rPr>
          <w:rFonts w:ascii="Verdana" w:hAnsi="Verdana"/>
          <w:sz w:val="18"/>
          <w:szCs w:val="18"/>
        </w:rPr>
        <w:t xml:space="preserve"> tegen Nederland</w:t>
      </w:r>
      <w:r w:rsidRPr="00062DEF">
        <w:rPr>
          <w:rFonts w:ascii="Verdana" w:hAnsi="Verdana"/>
          <w:sz w:val="18"/>
          <w:szCs w:val="18"/>
        </w:rPr>
        <w:t xml:space="preserve"> ingediend.</w:t>
      </w:r>
      <w:r w:rsidR="00335B6B">
        <w:rPr>
          <w:rFonts w:ascii="Verdana" w:hAnsi="Verdana"/>
          <w:sz w:val="18"/>
          <w:szCs w:val="18"/>
        </w:rPr>
        <w:t xml:space="preserve"> De Nederlandse regering is door </w:t>
      </w:r>
      <w:proofErr w:type="spellStart"/>
      <w:r w:rsidR="00335B6B">
        <w:rPr>
          <w:rFonts w:ascii="Verdana" w:hAnsi="Verdana"/>
          <w:sz w:val="18"/>
          <w:szCs w:val="18"/>
        </w:rPr>
        <w:t>Uniper</w:t>
      </w:r>
      <w:proofErr w:type="spellEnd"/>
      <w:r w:rsidR="00335B6B">
        <w:rPr>
          <w:rFonts w:ascii="Verdana" w:hAnsi="Verdana"/>
          <w:sz w:val="18"/>
          <w:szCs w:val="18"/>
        </w:rPr>
        <w:t xml:space="preserve"> in kennis gesteld van een mogelijke claim op basis van het Energiehandvest. </w:t>
      </w:r>
      <w:r w:rsidRPr="00062DEF">
        <w:rPr>
          <w:rFonts w:ascii="Verdana" w:hAnsi="Verdana"/>
          <w:sz w:val="18"/>
          <w:szCs w:val="18"/>
        </w:rPr>
        <w:t xml:space="preserve"> </w:t>
      </w:r>
    </w:p>
    <w:p w:rsidRPr="00FD1ECD" w:rsidR="006F3FF7" w:rsidP="006F3FF7" w:rsidRDefault="006F3FF7" w14:paraId="287EEDFD" w14:textId="77777777">
      <w:pPr>
        <w:spacing w:after="0"/>
        <w:rPr>
          <w:rFonts w:ascii="Verdana" w:hAnsi="Verdana"/>
          <w:sz w:val="18"/>
          <w:szCs w:val="18"/>
        </w:rPr>
      </w:pPr>
    </w:p>
    <w:p w:rsidRPr="006F3FF7" w:rsidR="00A57CE8" w:rsidP="00A57CE8" w:rsidRDefault="00A57CE8" w14:paraId="59168475" w14:textId="77777777">
      <w:pPr>
        <w:spacing w:after="0"/>
        <w:rPr>
          <w:rFonts w:ascii="Verdana" w:hAnsi="Verdana"/>
          <w:sz w:val="18"/>
          <w:szCs w:val="18"/>
        </w:rPr>
      </w:pPr>
      <w:r w:rsidRPr="006F3FF7">
        <w:rPr>
          <w:rFonts w:ascii="Verdana" w:hAnsi="Verdana"/>
          <w:b/>
          <w:sz w:val="18"/>
          <w:szCs w:val="18"/>
        </w:rPr>
        <w:t>Vraag 19</w:t>
      </w:r>
    </w:p>
    <w:p w:rsidRPr="006F3FF7" w:rsidR="007367FC" w:rsidP="00A57CE8" w:rsidRDefault="007367FC" w14:paraId="4FE4507F" w14:textId="77777777">
      <w:pPr>
        <w:spacing w:after="0"/>
        <w:rPr>
          <w:rFonts w:ascii="Verdana" w:hAnsi="Verdana"/>
          <w:sz w:val="18"/>
          <w:szCs w:val="18"/>
        </w:rPr>
      </w:pPr>
      <w:r w:rsidRPr="006F3FF7">
        <w:rPr>
          <w:rFonts w:ascii="Verdana" w:hAnsi="Verdana"/>
          <w:sz w:val="18"/>
          <w:szCs w:val="18"/>
        </w:rPr>
        <w:t xml:space="preserve">Kunt u aangeven in hoeverre de verdragsbeginselen van CETA en de reikwijdte van de investeringsbeschermingsclausule ICS een mogelijkheid vormen voor bedrijven die niet in Canada gevestigd zijn om door middel van een beroep op CETA gebruik te kunnen maken van de investeringsbeschermingsclausule? </w:t>
      </w:r>
    </w:p>
    <w:p w:rsidRPr="006F3FF7" w:rsidR="00A57CE8" w:rsidP="00A57CE8" w:rsidRDefault="00A57CE8" w14:paraId="04F109BB" w14:textId="77777777">
      <w:pPr>
        <w:spacing w:after="0"/>
        <w:rPr>
          <w:rFonts w:ascii="Verdana" w:hAnsi="Verdana"/>
          <w:sz w:val="18"/>
          <w:szCs w:val="18"/>
        </w:rPr>
      </w:pPr>
    </w:p>
    <w:p w:rsidRPr="006F3FF7" w:rsidR="00A57CE8" w:rsidP="00A57CE8" w:rsidRDefault="00A57CE8" w14:paraId="2E0F0C7F" w14:textId="77777777">
      <w:pPr>
        <w:spacing w:after="0"/>
        <w:rPr>
          <w:rFonts w:ascii="Verdana" w:hAnsi="Verdana"/>
          <w:b/>
          <w:sz w:val="18"/>
          <w:szCs w:val="18"/>
        </w:rPr>
      </w:pPr>
      <w:r w:rsidRPr="006F3FF7">
        <w:rPr>
          <w:rFonts w:ascii="Verdana" w:hAnsi="Verdana"/>
          <w:b/>
          <w:sz w:val="18"/>
          <w:szCs w:val="18"/>
        </w:rPr>
        <w:t>Antwoord</w:t>
      </w:r>
    </w:p>
    <w:p w:rsidRPr="00EB3978" w:rsidR="0080086D" w:rsidP="006F3FF7" w:rsidRDefault="008659AC" w14:paraId="125F3B82" w14:textId="77777777">
      <w:pPr>
        <w:spacing w:after="0"/>
        <w:rPr>
          <w:rFonts w:ascii="Verdana" w:hAnsi="Verdana"/>
          <w:sz w:val="18"/>
          <w:szCs w:val="18"/>
        </w:rPr>
      </w:pPr>
      <w:r>
        <w:rPr>
          <w:rFonts w:ascii="Verdana" w:hAnsi="Verdana"/>
          <w:sz w:val="18"/>
          <w:szCs w:val="18"/>
        </w:rPr>
        <w:t>Bedrijven worden onder CETA</w:t>
      </w:r>
      <w:r w:rsidRPr="00EB3978">
        <w:rPr>
          <w:rFonts w:ascii="Verdana" w:hAnsi="Verdana"/>
          <w:sz w:val="18"/>
          <w:szCs w:val="18"/>
        </w:rPr>
        <w:t xml:space="preserve"> alleen als investeerder </w:t>
      </w:r>
      <w:r>
        <w:rPr>
          <w:rFonts w:ascii="Verdana" w:hAnsi="Verdana"/>
          <w:sz w:val="18"/>
          <w:szCs w:val="18"/>
        </w:rPr>
        <w:t xml:space="preserve">aangemerkt </w:t>
      </w:r>
      <w:r w:rsidRPr="00EB3978">
        <w:rPr>
          <w:rFonts w:ascii="Verdana" w:hAnsi="Verdana"/>
          <w:sz w:val="18"/>
          <w:szCs w:val="18"/>
        </w:rPr>
        <w:t>als deze op het grondgebied van die verdragspartij substantiële bedrijfsactiviteiten verrichten of direct dan wel indirect eigendom zijn van of onder zeggenschap staan van een natuurlijke persoon of een onderneming uit die verdragspartij die in die verdragspartij substantiële bedrijfsactiviteiten verricht. Daarmee worden bedrijven die in Canada of de Europese Unie gevestigd zijn, maar daar geen zakelijke activiteiten van betekenis hebben, zoals brievenbusmaatschappijen, uitgesloten van de rechten onder het investeringshoofdstuk van CETA.</w:t>
      </w:r>
    </w:p>
    <w:p w:rsidRPr="00802D81" w:rsidR="00A57CE8" w:rsidP="00A57CE8" w:rsidRDefault="00A57CE8" w14:paraId="6A7A95C2" w14:textId="77777777">
      <w:pPr>
        <w:spacing w:after="0"/>
        <w:rPr>
          <w:rFonts w:ascii="Verdana" w:hAnsi="Verdana"/>
          <w:b/>
          <w:sz w:val="18"/>
          <w:szCs w:val="18"/>
        </w:rPr>
      </w:pPr>
    </w:p>
    <w:p w:rsidRPr="006F3FF7" w:rsidR="00A57CE8" w:rsidP="00A57CE8" w:rsidRDefault="00A57CE8" w14:paraId="7BD021C5" w14:textId="77777777">
      <w:pPr>
        <w:spacing w:after="0"/>
        <w:rPr>
          <w:rFonts w:ascii="Verdana" w:hAnsi="Verdana"/>
          <w:sz w:val="18"/>
          <w:szCs w:val="18"/>
        </w:rPr>
      </w:pPr>
      <w:r w:rsidRPr="006F3FF7">
        <w:rPr>
          <w:rFonts w:ascii="Verdana" w:hAnsi="Verdana"/>
          <w:b/>
          <w:sz w:val="18"/>
          <w:szCs w:val="18"/>
        </w:rPr>
        <w:t>Vraag 20</w:t>
      </w:r>
    </w:p>
    <w:p w:rsidRPr="006F3FF7" w:rsidR="007367FC" w:rsidP="00A57CE8" w:rsidRDefault="007367FC" w14:paraId="7AAC6ACA" w14:textId="77777777">
      <w:pPr>
        <w:spacing w:after="0"/>
        <w:rPr>
          <w:rFonts w:ascii="Verdana" w:hAnsi="Verdana"/>
          <w:sz w:val="18"/>
          <w:szCs w:val="18"/>
        </w:rPr>
      </w:pPr>
      <w:r w:rsidRPr="006F3FF7">
        <w:rPr>
          <w:rFonts w:ascii="Verdana" w:hAnsi="Verdana"/>
          <w:sz w:val="18"/>
          <w:szCs w:val="18"/>
        </w:rPr>
        <w:t>Kunt u aangeven welke gevolgen CETA heeft voor Nederlandse consumenten qua prijspeil van ingevoerde producten en de grootte van het aanbod aan goederen en diensten?</w:t>
      </w:r>
    </w:p>
    <w:p w:rsidRPr="006F3FF7" w:rsidR="00A57CE8" w:rsidP="00A57CE8" w:rsidRDefault="00A57CE8" w14:paraId="4389BAB3" w14:textId="77777777">
      <w:pPr>
        <w:spacing w:after="0"/>
        <w:rPr>
          <w:rFonts w:ascii="Verdana" w:hAnsi="Verdana"/>
          <w:sz w:val="18"/>
          <w:szCs w:val="18"/>
        </w:rPr>
      </w:pPr>
    </w:p>
    <w:p w:rsidRPr="006F3FF7" w:rsidR="00A57CE8" w:rsidP="00A57CE8" w:rsidRDefault="00A57CE8" w14:paraId="15CC2D7C" w14:textId="77777777">
      <w:pPr>
        <w:spacing w:after="0"/>
        <w:rPr>
          <w:rFonts w:ascii="Verdana" w:hAnsi="Verdana"/>
          <w:b/>
          <w:sz w:val="18"/>
          <w:szCs w:val="18"/>
        </w:rPr>
      </w:pPr>
      <w:r w:rsidRPr="006F3FF7">
        <w:rPr>
          <w:rFonts w:ascii="Verdana" w:hAnsi="Verdana"/>
          <w:b/>
          <w:sz w:val="18"/>
          <w:szCs w:val="18"/>
        </w:rPr>
        <w:t>Antwoord</w:t>
      </w:r>
    </w:p>
    <w:p w:rsidRPr="006F3FF7" w:rsidR="00A57CE8" w:rsidP="002330FD" w:rsidRDefault="00704ED0" w14:paraId="101936E6" w14:textId="56F3472B">
      <w:pPr>
        <w:rPr>
          <w:rFonts w:ascii="Verdana" w:hAnsi="Verdana"/>
          <w:b/>
          <w:sz w:val="18"/>
          <w:szCs w:val="18"/>
        </w:rPr>
      </w:pPr>
      <w:r>
        <w:rPr>
          <w:rFonts w:ascii="Verdana" w:hAnsi="Verdana"/>
          <w:sz w:val="18"/>
          <w:szCs w:val="18"/>
        </w:rPr>
        <w:t xml:space="preserve">De prijzen </w:t>
      </w:r>
      <w:r w:rsidR="00FD1ECD">
        <w:rPr>
          <w:rFonts w:ascii="Verdana" w:hAnsi="Verdana"/>
          <w:sz w:val="18"/>
          <w:szCs w:val="18"/>
        </w:rPr>
        <w:t xml:space="preserve">van ingevoerde Canadese producten </w:t>
      </w:r>
      <w:r>
        <w:rPr>
          <w:rFonts w:ascii="Verdana" w:hAnsi="Verdana"/>
          <w:sz w:val="18"/>
          <w:szCs w:val="18"/>
        </w:rPr>
        <w:t>dalen naar verwachting</w:t>
      </w:r>
      <w:r w:rsidR="00FD1ECD">
        <w:rPr>
          <w:rFonts w:ascii="Verdana" w:hAnsi="Verdana"/>
          <w:sz w:val="18"/>
          <w:szCs w:val="18"/>
        </w:rPr>
        <w:t xml:space="preserve">. Ten eerste doordat tarieven op deze goederen vervallen en ten tweede door </w:t>
      </w:r>
      <w:r w:rsidR="009F5444">
        <w:rPr>
          <w:rFonts w:ascii="Verdana" w:hAnsi="Verdana"/>
          <w:sz w:val="18"/>
          <w:szCs w:val="18"/>
        </w:rPr>
        <w:t>efficiëntie</w:t>
      </w:r>
      <w:r w:rsidR="00FD1ECD">
        <w:rPr>
          <w:rFonts w:ascii="Verdana" w:hAnsi="Verdana"/>
          <w:sz w:val="18"/>
          <w:szCs w:val="18"/>
        </w:rPr>
        <w:t>voordelen van handel</w:t>
      </w:r>
      <w:r w:rsidR="009F5444">
        <w:rPr>
          <w:rFonts w:ascii="Verdana" w:hAnsi="Verdana"/>
          <w:sz w:val="18"/>
          <w:szCs w:val="18"/>
        </w:rPr>
        <w:t xml:space="preserve"> onder CETA</w:t>
      </w:r>
      <w:r w:rsidR="00FD1ECD">
        <w:rPr>
          <w:rFonts w:ascii="Verdana" w:hAnsi="Verdana"/>
          <w:sz w:val="18"/>
          <w:szCs w:val="18"/>
        </w:rPr>
        <w:t>. H</w:t>
      </w:r>
      <w:r>
        <w:rPr>
          <w:rFonts w:ascii="Verdana" w:hAnsi="Verdana"/>
          <w:sz w:val="18"/>
          <w:szCs w:val="18"/>
        </w:rPr>
        <w:t xml:space="preserve">et aanbod van </w:t>
      </w:r>
      <w:r w:rsidR="00CF2C04">
        <w:rPr>
          <w:rFonts w:ascii="Verdana" w:hAnsi="Verdana"/>
          <w:sz w:val="18"/>
          <w:szCs w:val="18"/>
        </w:rPr>
        <w:t xml:space="preserve">Canadese </w:t>
      </w:r>
      <w:r>
        <w:rPr>
          <w:rFonts w:ascii="Verdana" w:hAnsi="Verdana"/>
          <w:sz w:val="18"/>
          <w:szCs w:val="18"/>
        </w:rPr>
        <w:t xml:space="preserve">goederen en diensten </w:t>
      </w:r>
      <w:r w:rsidR="00CF2C04">
        <w:rPr>
          <w:rFonts w:ascii="Verdana" w:hAnsi="Verdana"/>
          <w:sz w:val="18"/>
          <w:szCs w:val="18"/>
        </w:rPr>
        <w:t xml:space="preserve">in Nederland </w:t>
      </w:r>
      <w:r>
        <w:rPr>
          <w:rFonts w:ascii="Verdana" w:hAnsi="Verdana"/>
          <w:sz w:val="18"/>
          <w:szCs w:val="18"/>
        </w:rPr>
        <w:t>wordt</w:t>
      </w:r>
      <w:r w:rsidR="00CF2C04">
        <w:rPr>
          <w:rFonts w:ascii="Verdana" w:hAnsi="Verdana"/>
          <w:sz w:val="18"/>
          <w:szCs w:val="18"/>
        </w:rPr>
        <w:t xml:space="preserve"> naar verwachting</w:t>
      </w:r>
      <w:r>
        <w:rPr>
          <w:rFonts w:ascii="Verdana" w:hAnsi="Verdana"/>
          <w:sz w:val="18"/>
          <w:szCs w:val="18"/>
        </w:rPr>
        <w:t xml:space="preserve"> groter.</w:t>
      </w:r>
      <w:r w:rsidR="00CF2C04">
        <w:rPr>
          <w:rFonts w:ascii="Verdana" w:hAnsi="Verdana"/>
          <w:sz w:val="18"/>
          <w:szCs w:val="18"/>
        </w:rPr>
        <w:t xml:space="preserve"> Voor goederen komt dit bijvoorbeeld doordat het minder kostbaar wordt om producten in te voeren in Nederland. Voor de dienstensector wordt ook veel regulering in Canada gelijk getrokken met die in de EU. CETA regelt bijvoorbeeld erkenning van kwalificaties van werknemers uit de EU en Canada.</w:t>
      </w:r>
    </w:p>
    <w:p w:rsidRPr="006F3FF7" w:rsidR="00A57CE8" w:rsidP="00A57CE8" w:rsidRDefault="00A57CE8" w14:paraId="325BC656" w14:textId="77777777">
      <w:pPr>
        <w:spacing w:after="0"/>
        <w:rPr>
          <w:rFonts w:ascii="Verdana" w:hAnsi="Verdana"/>
          <w:b/>
          <w:sz w:val="18"/>
          <w:szCs w:val="18"/>
          <w:u w:val="single"/>
        </w:rPr>
      </w:pPr>
      <w:r w:rsidRPr="006F3FF7">
        <w:rPr>
          <w:rFonts w:ascii="Verdana" w:hAnsi="Verdana"/>
          <w:b/>
          <w:sz w:val="18"/>
          <w:szCs w:val="18"/>
          <w:u w:val="single"/>
        </w:rPr>
        <w:t>Vragen CDA:</w:t>
      </w:r>
    </w:p>
    <w:p w:rsidR="002330FD" w:rsidP="00A57CE8" w:rsidRDefault="002330FD" w14:paraId="1A6A8EF3" w14:textId="77777777">
      <w:pPr>
        <w:spacing w:after="0"/>
        <w:rPr>
          <w:rFonts w:ascii="Verdana" w:hAnsi="Verdana"/>
          <w:b/>
          <w:sz w:val="18"/>
          <w:szCs w:val="18"/>
        </w:rPr>
      </w:pPr>
    </w:p>
    <w:p w:rsidRPr="006F3FF7" w:rsidR="00A57CE8" w:rsidP="00A57CE8" w:rsidRDefault="00A57CE8" w14:paraId="05D48E3D" w14:textId="2F1381E2">
      <w:pPr>
        <w:spacing w:after="0"/>
        <w:rPr>
          <w:rFonts w:ascii="Verdana" w:hAnsi="Verdana"/>
          <w:sz w:val="18"/>
          <w:szCs w:val="18"/>
        </w:rPr>
      </w:pPr>
      <w:r w:rsidRPr="006F3FF7">
        <w:rPr>
          <w:rFonts w:ascii="Verdana" w:hAnsi="Verdana"/>
          <w:b/>
          <w:sz w:val="18"/>
          <w:szCs w:val="18"/>
        </w:rPr>
        <w:t>Vraag 21</w:t>
      </w:r>
    </w:p>
    <w:p w:rsidRPr="006F3FF7" w:rsidR="00A57CE8" w:rsidP="00A57CE8" w:rsidRDefault="007367FC" w14:paraId="46616817" w14:textId="77777777">
      <w:pPr>
        <w:spacing w:after="0"/>
        <w:rPr>
          <w:rFonts w:ascii="Verdana" w:hAnsi="Verdana"/>
          <w:sz w:val="18"/>
          <w:szCs w:val="18"/>
        </w:rPr>
      </w:pPr>
      <w:r w:rsidRPr="006F3FF7">
        <w:rPr>
          <w:rFonts w:ascii="Verdana" w:hAnsi="Verdana"/>
          <w:sz w:val="18"/>
          <w:szCs w:val="18"/>
        </w:rPr>
        <w:t xml:space="preserve">Op welk percentage / welk deel van het verdrag is de ratificatiewet van toepassing? </w:t>
      </w:r>
    </w:p>
    <w:p w:rsidRPr="006F3FF7" w:rsidR="00A57CE8" w:rsidP="00A57CE8" w:rsidRDefault="00A57CE8" w14:paraId="21E32175" w14:textId="77777777">
      <w:pPr>
        <w:spacing w:after="0"/>
        <w:rPr>
          <w:rFonts w:ascii="Verdana" w:hAnsi="Verdana"/>
          <w:sz w:val="18"/>
          <w:szCs w:val="18"/>
        </w:rPr>
      </w:pPr>
    </w:p>
    <w:p w:rsidRPr="006F3FF7" w:rsidR="00A57CE8" w:rsidP="00A57CE8" w:rsidRDefault="00A57CE8" w14:paraId="21875CF3" w14:textId="77777777">
      <w:pPr>
        <w:spacing w:after="0"/>
        <w:rPr>
          <w:rFonts w:ascii="Verdana" w:hAnsi="Verdana"/>
          <w:b/>
          <w:sz w:val="18"/>
          <w:szCs w:val="18"/>
        </w:rPr>
      </w:pPr>
      <w:r w:rsidRPr="006F3FF7">
        <w:rPr>
          <w:rFonts w:ascii="Verdana" w:hAnsi="Verdana"/>
          <w:b/>
          <w:sz w:val="18"/>
          <w:szCs w:val="18"/>
        </w:rPr>
        <w:t>Antwoord</w:t>
      </w:r>
    </w:p>
    <w:p w:rsidR="00324097" w:rsidP="006F3FF7" w:rsidRDefault="00324097" w14:paraId="2C5D2478" w14:textId="3619838D">
      <w:pPr>
        <w:spacing w:after="0"/>
        <w:rPr>
          <w:rFonts w:ascii="Verdana" w:hAnsi="Verdana" w:eastAsia="Verdana" w:cs="Verdana"/>
          <w:sz w:val="18"/>
          <w:szCs w:val="18"/>
        </w:rPr>
      </w:pPr>
      <w:r w:rsidRPr="00324097">
        <w:rPr>
          <w:rFonts w:ascii="Verdana" w:hAnsi="Verdana" w:eastAsia="Verdana" w:cs="Verdana"/>
          <w:sz w:val="18"/>
          <w:szCs w:val="18"/>
        </w:rPr>
        <w:t>De Nederlandse goedkeuringswet ziet op het gehele verdrag</w:t>
      </w:r>
      <w:r w:rsidR="009F5444">
        <w:rPr>
          <w:rFonts w:ascii="Verdana" w:hAnsi="Verdana" w:eastAsia="Verdana" w:cs="Verdana"/>
          <w:sz w:val="18"/>
          <w:szCs w:val="18"/>
        </w:rPr>
        <w:t xml:space="preserve">. </w:t>
      </w:r>
      <w:r>
        <w:rPr>
          <w:rFonts w:ascii="Verdana" w:hAnsi="Verdana" w:eastAsia="Verdana" w:cs="Verdana"/>
          <w:sz w:val="18"/>
          <w:szCs w:val="18"/>
        </w:rPr>
        <w:t>A</w:t>
      </w:r>
      <w:r w:rsidRPr="00324097">
        <w:rPr>
          <w:rFonts w:ascii="Verdana" w:hAnsi="Verdana" w:eastAsia="Verdana" w:cs="Verdana"/>
          <w:sz w:val="18"/>
          <w:szCs w:val="18"/>
        </w:rPr>
        <w:t xml:space="preserve">ls Nederland het verdrag ratificeert, dan wordt Nederland </w:t>
      </w:r>
      <w:r w:rsidR="00A22991">
        <w:rPr>
          <w:rFonts w:ascii="Verdana" w:hAnsi="Verdana" w:eastAsia="Verdana" w:cs="Verdana"/>
          <w:sz w:val="18"/>
          <w:szCs w:val="18"/>
        </w:rPr>
        <w:t>verdragsrechtelijk</w:t>
      </w:r>
      <w:r>
        <w:rPr>
          <w:rFonts w:ascii="Verdana" w:hAnsi="Verdana" w:eastAsia="Verdana" w:cs="Verdana"/>
          <w:sz w:val="18"/>
          <w:szCs w:val="18"/>
        </w:rPr>
        <w:t xml:space="preserve"> gezien </w:t>
      </w:r>
      <w:r w:rsidRPr="00324097">
        <w:rPr>
          <w:rFonts w:ascii="Verdana" w:hAnsi="Verdana" w:eastAsia="Verdana" w:cs="Verdana"/>
          <w:sz w:val="18"/>
          <w:szCs w:val="18"/>
        </w:rPr>
        <w:t>partij bij het gehele verdrag</w:t>
      </w:r>
      <w:r>
        <w:rPr>
          <w:rFonts w:ascii="Verdana" w:hAnsi="Verdana" w:eastAsia="Verdana" w:cs="Verdana"/>
          <w:sz w:val="18"/>
          <w:szCs w:val="18"/>
        </w:rPr>
        <w:t xml:space="preserve"> (en niet slechts onderdelen daarvan)</w:t>
      </w:r>
      <w:r w:rsidRPr="00324097">
        <w:rPr>
          <w:rFonts w:ascii="Verdana" w:hAnsi="Verdana" w:eastAsia="Verdana" w:cs="Verdana"/>
          <w:sz w:val="18"/>
          <w:szCs w:val="18"/>
        </w:rPr>
        <w:t>, en dus ligt het gehele verdrag nu ook ter goed</w:t>
      </w:r>
      <w:r>
        <w:rPr>
          <w:rFonts w:ascii="Verdana" w:hAnsi="Verdana" w:eastAsia="Verdana" w:cs="Verdana"/>
          <w:sz w:val="18"/>
          <w:szCs w:val="18"/>
        </w:rPr>
        <w:t>keuring voor aan het parlement.</w:t>
      </w:r>
    </w:p>
    <w:p w:rsidRPr="00802D81" w:rsidR="00A57CE8" w:rsidP="00A57CE8" w:rsidRDefault="00A57CE8" w14:paraId="7A1AA1BB" w14:textId="77777777">
      <w:pPr>
        <w:spacing w:after="0"/>
        <w:rPr>
          <w:rFonts w:ascii="Verdana" w:hAnsi="Verdana"/>
          <w:b/>
          <w:sz w:val="18"/>
          <w:szCs w:val="18"/>
        </w:rPr>
      </w:pPr>
    </w:p>
    <w:p w:rsidRPr="006F3FF7" w:rsidR="00EF49BD" w:rsidP="00EF49BD" w:rsidRDefault="00EF49BD" w14:paraId="3C78B5FB" w14:textId="77777777">
      <w:pPr>
        <w:spacing w:after="0"/>
        <w:rPr>
          <w:rFonts w:ascii="Verdana" w:hAnsi="Verdana"/>
          <w:sz w:val="18"/>
          <w:szCs w:val="18"/>
        </w:rPr>
      </w:pPr>
      <w:r w:rsidRPr="006F3FF7">
        <w:rPr>
          <w:rFonts w:ascii="Verdana" w:hAnsi="Verdana"/>
          <w:b/>
          <w:sz w:val="18"/>
          <w:szCs w:val="18"/>
        </w:rPr>
        <w:t>Vraag 22</w:t>
      </w:r>
    </w:p>
    <w:p w:rsidRPr="006F3FF7" w:rsidR="00EF49BD" w:rsidP="00EF49BD" w:rsidRDefault="00EF49BD" w14:paraId="7DEA315A" w14:textId="77777777">
      <w:pPr>
        <w:spacing w:after="0"/>
        <w:rPr>
          <w:rFonts w:ascii="Verdana" w:hAnsi="Verdana"/>
          <w:sz w:val="18"/>
          <w:szCs w:val="18"/>
        </w:rPr>
      </w:pPr>
      <w:r w:rsidRPr="006F3FF7">
        <w:rPr>
          <w:rFonts w:ascii="Verdana" w:hAnsi="Verdana"/>
          <w:sz w:val="18"/>
          <w:szCs w:val="18"/>
        </w:rPr>
        <w:t>Handelscijfers voor en na september 2017 (de voorlopige inwerkingtreding CETA):</w:t>
      </w:r>
    </w:p>
    <w:p w:rsidRPr="006F3FF7" w:rsidR="00EF49BD" w:rsidP="00EF49BD" w:rsidRDefault="00EF49BD" w14:paraId="1C7449C0" w14:textId="77777777">
      <w:pPr>
        <w:pStyle w:val="ListParagraph"/>
        <w:numPr>
          <w:ilvl w:val="0"/>
          <w:numId w:val="2"/>
        </w:numPr>
        <w:spacing w:after="0"/>
        <w:rPr>
          <w:rFonts w:ascii="Verdana" w:hAnsi="Verdana"/>
          <w:sz w:val="18"/>
          <w:szCs w:val="18"/>
        </w:rPr>
      </w:pPr>
      <w:r w:rsidRPr="006F3FF7">
        <w:rPr>
          <w:rFonts w:ascii="Verdana" w:hAnsi="Verdana"/>
          <w:sz w:val="18"/>
          <w:szCs w:val="18"/>
        </w:rPr>
        <w:t>Cijfers EU – Canada</w:t>
      </w:r>
    </w:p>
    <w:p w:rsidRPr="006F3FF7" w:rsidR="00EF49BD" w:rsidP="00EF49BD" w:rsidRDefault="00EF49BD" w14:paraId="343E0E90" w14:textId="77777777">
      <w:pPr>
        <w:pStyle w:val="ListParagraph"/>
        <w:numPr>
          <w:ilvl w:val="0"/>
          <w:numId w:val="2"/>
        </w:numPr>
        <w:spacing w:after="0"/>
        <w:rPr>
          <w:rFonts w:ascii="Verdana" w:hAnsi="Verdana"/>
          <w:sz w:val="18"/>
          <w:szCs w:val="18"/>
        </w:rPr>
      </w:pPr>
      <w:r w:rsidRPr="006F3FF7">
        <w:rPr>
          <w:rFonts w:ascii="Verdana" w:hAnsi="Verdana"/>
          <w:sz w:val="18"/>
          <w:szCs w:val="18"/>
        </w:rPr>
        <w:t>Cijfers Nederland – Canada</w:t>
      </w:r>
    </w:p>
    <w:p w:rsidRPr="006F3FF7" w:rsidR="00EF49BD" w:rsidP="00EF49BD" w:rsidRDefault="00EF49BD" w14:paraId="4BC16C8C" w14:textId="77777777">
      <w:pPr>
        <w:pStyle w:val="ListParagraph"/>
        <w:numPr>
          <w:ilvl w:val="0"/>
          <w:numId w:val="2"/>
        </w:numPr>
        <w:spacing w:after="0"/>
        <w:rPr>
          <w:rFonts w:ascii="Verdana" w:hAnsi="Verdana"/>
          <w:sz w:val="18"/>
          <w:szCs w:val="18"/>
        </w:rPr>
      </w:pPr>
      <w:r w:rsidRPr="006F3FF7">
        <w:rPr>
          <w:rFonts w:ascii="Verdana" w:hAnsi="Verdana"/>
          <w:sz w:val="18"/>
          <w:szCs w:val="18"/>
        </w:rPr>
        <w:t>Cijfers rundvlees</w:t>
      </w:r>
    </w:p>
    <w:p w:rsidRPr="006F3FF7" w:rsidR="00EF49BD" w:rsidP="00EF49BD" w:rsidRDefault="00EF49BD" w14:paraId="566E2694" w14:textId="77777777">
      <w:pPr>
        <w:pStyle w:val="ListParagraph"/>
        <w:numPr>
          <w:ilvl w:val="0"/>
          <w:numId w:val="2"/>
        </w:numPr>
        <w:spacing w:after="0"/>
        <w:rPr>
          <w:rFonts w:ascii="Verdana" w:hAnsi="Verdana"/>
          <w:sz w:val="18"/>
          <w:szCs w:val="18"/>
        </w:rPr>
      </w:pPr>
      <w:r w:rsidRPr="006F3FF7">
        <w:rPr>
          <w:rFonts w:ascii="Verdana" w:hAnsi="Verdana"/>
          <w:sz w:val="18"/>
          <w:szCs w:val="18"/>
        </w:rPr>
        <w:t>Cijfers kippen</w:t>
      </w:r>
    </w:p>
    <w:p w:rsidRPr="006F3FF7" w:rsidR="00EF49BD" w:rsidP="00EF49BD" w:rsidRDefault="00EF49BD" w14:paraId="5ACACEEF" w14:textId="77777777">
      <w:pPr>
        <w:spacing w:after="0"/>
        <w:rPr>
          <w:rFonts w:ascii="Verdana" w:hAnsi="Verdana"/>
          <w:sz w:val="18"/>
          <w:szCs w:val="18"/>
        </w:rPr>
      </w:pPr>
    </w:p>
    <w:p w:rsidR="00EF49BD" w:rsidP="002330FD" w:rsidRDefault="00EF49BD" w14:paraId="6DF3E24D" w14:textId="53C75431">
      <w:pPr>
        <w:spacing w:after="0"/>
        <w:rPr>
          <w:rFonts w:ascii="Verdana" w:hAnsi="Verdana"/>
          <w:b/>
          <w:sz w:val="18"/>
          <w:szCs w:val="18"/>
        </w:rPr>
      </w:pPr>
      <w:r w:rsidRPr="006F3FF7">
        <w:rPr>
          <w:rFonts w:ascii="Verdana" w:hAnsi="Verdana"/>
          <w:b/>
          <w:sz w:val="18"/>
          <w:szCs w:val="18"/>
        </w:rPr>
        <w:t>Antwoord</w:t>
      </w:r>
    </w:p>
    <w:p w:rsidRPr="001C36CD" w:rsidR="002330FD" w:rsidP="002330FD" w:rsidRDefault="002330FD" w14:paraId="20F5C3E1" w14:textId="77777777">
      <w:pPr>
        <w:spacing w:after="0"/>
        <w:rPr>
          <w:rFonts w:ascii="Verdana" w:hAnsi="Verdana"/>
          <w:sz w:val="18"/>
          <w:szCs w:val="18"/>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EF49BD" w:rsidTr="00BD3526" w14:paraId="1DDCB6E4" w14:textId="77777777">
        <w:tc>
          <w:tcPr>
            <w:tcW w:w="1288" w:type="dxa"/>
          </w:tcPr>
          <w:p w:rsidRPr="0080600A" w:rsidR="00EF49BD" w:rsidP="00BD3526" w:rsidRDefault="00EF49BD" w14:paraId="403D9D95" w14:textId="77777777">
            <w:pPr>
              <w:rPr>
                <w:rFonts w:ascii="Verdana" w:hAnsi="Verdana"/>
                <w:i/>
                <w:sz w:val="18"/>
                <w:szCs w:val="18"/>
              </w:rPr>
            </w:pPr>
            <w:r>
              <w:rPr>
                <w:rFonts w:ascii="Verdana" w:hAnsi="Verdana"/>
                <w:i/>
                <w:sz w:val="18"/>
                <w:szCs w:val="18"/>
              </w:rPr>
              <w:t>Niveau</w:t>
            </w:r>
          </w:p>
        </w:tc>
        <w:tc>
          <w:tcPr>
            <w:tcW w:w="1288" w:type="dxa"/>
          </w:tcPr>
          <w:p w:rsidRPr="006543D9" w:rsidR="00EF49BD" w:rsidP="00BD3526" w:rsidRDefault="00EF49BD" w14:paraId="16D32F7A" w14:textId="77777777">
            <w:pPr>
              <w:rPr>
                <w:rFonts w:ascii="Verdana" w:hAnsi="Verdana"/>
                <w:i/>
                <w:sz w:val="18"/>
                <w:szCs w:val="18"/>
              </w:rPr>
            </w:pPr>
            <w:r>
              <w:rPr>
                <w:rFonts w:ascii="Verdana" w:hAnsi="Verdana"/>
                <w:i/>
                <w:sz w:val="18"/>
                <w:szCs w:val="18"/>
              </w:rPr>
              <w:t>Uitvoer okt 16 – okt 17 (</w:t>
            </w:r>
            <w:r w:rsidRPr="006543D9">
              <w:rPr>
                <w:rFonts w:ascii="Verdana" w:hAnsi="Verdana"/>
                <w:i/>
                <w:sz w:val="18"/>
                <w:szCs w:val="18"/>
              </w:rPr>
              <w:t xml:space="preserve">€ </w:t>
            </w:r>
            <w:proofErr w:type="spellStart"/>
            <w:r w:rsidRPr="006543D9">
              <w:rPr>
                <w:rFonts w:ascii="Verdana" w:hAnsi="Verdana"/>
                <w:i/>
                <w:sz w:val="18"/>
                <w:szCs w:val="18"/>
              </w:rPr>
              <w:t>mln</w:t>
            </w:r>
            <w:proofErr w:type="spellEnd"/>
            <w:r w:rsidRPr="006543D9">
              <w:rPr>
                <w:rFonts w:ascii="Verdana" w:hAnsi="Verdana"/>
                <w:i/>
                <w:sz w:val="18"/>
                <w:szCs w:val="18"/>
              </w:rPr>
              <w:t>)</w:t>
            </w:r>
          </w:p>
        </w:tc>
        <w:tc>
          <w:tcPr>
            <w:tcW w:w="1288" w:type="dxa"/>
          </w:tcPr>
          <w:p w:rsidRPr="006E5BA3" w:rsidR="00EF49BD" w:rsidP="00BD3526" w:rsidRDefault="00EF49BD" w14:paraId="3ED126B3" w14:textId="77777777">
            <w:pPr>
              <w:rPr>
                <w:rFonts w:ascii="Verdana" w:hAnsi="Verdana"/>
                <w:i/>
                <w:sz w:val="18"/>
                <w:szCs w:val="18"/>
              </w:rPr>
            </w:pPr>
            <w:r>
              <w:rPr>
                <w:rFonts w:ascii="Verdana" w:hAnsi="Verdana"/>
                <w:i/>
                <w:sz w:val="18"/>
                <w:szCs w:val="18"/>
              </w:rPr>
              <w:t>Invoer okt 16 – okt 17  (</w:t>
            </w:r>
            <w:r w:rsidRPr="006543D9">
              <w:rPr>
                <w:rFonts w:ascii="Verdana" w:hAnsi="Verdana"/>
                <w:i/>
                <w:sz w:val="18"/>
                <w:szCs w:val="18"/>
              </w:rPr>
              <w:t xml:space="preserve">€ </w:t>
            </w:r>
            <w:proofErr w:type="spellStart"/>
            <w:r w:rsidRPr="006543D9">
              <w:rPr>
                <w:rFonts w:ascii="Verdana" w:hAnsi="Verdana"/>
                <w:i/>
                <w:sz w:val="18"/>
                <w:szCs w:val="18"/>
              </w:rPr>
              <w:t>mln</w:t>
            </w:r>
            <w:proofErr w:type="spellEnd"/>
            <w:r w:rsidRPr="006543D9">
              <w:rPr>
                <w:rFonts w:ascii="Verdana" w:hAnsi="Verdana"/>
                <w:i/>
                <w:sz w:val="18"/>
                <w:szCs w:val="18"/>
              </w:rPr>
              <w:t>)</w:t>
            </w:r>
          </w:p>
        </w:tc>
        <w:tc>
          <w:tcPr>
            <w:tcW w:w="1288" w:type="dxa"/>
          </w:tcPr>
          <w:p w:rsidRPr="0080600A" w:rsidR="00EF49BD" w:rsidP="00BD3526" w:rsidRDefault="00EF49BD" w14:paraId="78C67086" w14:textId="77777777">
            <w:pPr>
              <w:rPr>
                <w:rFonts w:ascii="Verdana" w:hAnsi="Verdana"/>
                <w:i/>
                <w:sz w:val="18"/>
                <w:szCs w:val="18"/>
              </w:rPr>
            </w:pPr>
            <w:r>
              <w:rPr>
                <w:rFonts w:ascii="Verdana" w:hAnsi="Verdana"/>
                <w:i/>
                <w:sz w:val="18"/>
                <w:szCs w:val="18"/>
              </w:rPr>
              <w:t>Saldo okt 16 – okt 17 (</w:t>
            </w:r>
            <w:r w:rsidRPr="006543D9">
              <w:rPr>
                <w:rFonts w:ascii="Verdana" w:hAnsi="Verdana"/>
                <w:i/>
                <w:sz w:val="18"/>
                <w:szCs w:val="18"/>
              </w:rPr>
              <w:t xml:space="preserve">€ </w:t>
            </w:r>
            <w:proofErr w:type="spellStart"/>
            <w:r w:rsidRPr="006543D9">
              <w:rPr>
                <w:rFonts w:ascii="Verdana" w:hAnsi="Verdana"/>
                <w:i/>
                <w:sz w:val="18"/>
                <w:szCs w:val="18"/>
              </w:rPr>
              <w:t>mln</w:t>
            </w:r>
            <w:proofErr w:type="spellEnd"/>
            <w:r w:rsidRPr="006543D9">
              <w:rPr>
                <w:rFonts w:ascii="Verdana" w:hAnsi="Verdana"/>
                <w:i/>
                <w:sz w:val="18"/>
                <w:szCs w:val="18"/>
              </w:rPr>
              <w:t>)</w:t>
            </w:r>
          </w:p>
        </w:tc>
        <w:tc>
          <w:tcPr>
            <w:tcW w:w="1288" w:type="dxa"/>
          </w:tcPr>
          <w:p w:rsidR="00EF49BD" w:rsidP="00BD3526" w:rsidRDefault="00EF49BD" w14:paraId="6FD7BA2A" w14:textId="77777777">
            <w:pPr>
              <w:rPr>
                <w:rFonts w:ascii="Verdana" w:hAnsi="Verdana"/>
                <w:sz w:val="18"/>
                <w:szCs w:val="18"/>
              </w:rPr>
            </w:pPr>
            <w:r>
              <w:rPr>
                <w:rFonts w:ascii="Verdana" w:hAnsi="Verdana"/>
                <w:sz w:val="18"/>
                <w:szCs w:val="18"/>
              </w:rPr>
              <w:t xml:space="preserve">Uitvoer </w:t>
            </w:r>
            <w:r>
              <w:rPr>
                <w:rFonts w:ascii="Verdana" w:hAnsi="Verdana"/>
                <w:i/>
                <w:sz w:val="18"/>
                <w:szCs w:val="18"/>
              </w:rPr>
              <w:t xml:space="preserve">okt 17 – okt 18 (€ </w:t>
            </w:r>
            <w:proofErr w:type="spellStart"/>
            <w:r>
              <w:rPr>
                <w:rFonts w:ascii="Verdana" w:hAnsi="Verdana"/>
                <w:i/>
                <w:sz w:val="18"/>
                <w:szCs w:val="18"/>
              </w:rPr>
              <w:t>mln</w:t>
            </w:r>
            <w:proofErr w:type="spellEnd"/>
            <w:r>
              <w:rPr>
                <w:rFonts w:ascii="Verdana" w:hAnsi="Verdana"/>
                <w:i/>
                <w:sz w:val="18"/>
                <w:szCs w:val="18"/>
              </w:rPr>
              <w:t>)</w:t>
            </w:r>
          </w:p>
        </w:tc>
        <w:tc>
          <w:tcPr>
            <w:tcW w:w="1288" w:type="dxa"/>
          </w:tcPr>
          <w:p w:rsidR="00EF49BD" w:rsidP="00BD3526" w:rsidRDefault="00EF49BD" w14:paraId="420DD644" w14:textId="77777777">
            <w:pPr>
              <w:rPr>
                <w:rFonts w:ascii="Verdana" w:hAnsi="Verdana"/>
                <w:sz w:val="18"/>
                <w:szCs w:val="18"/>
              </w:rPr>
            </w:pPr>
            <w:r>
              <w:rPr>
                <w:rFonts w:ascii="Verdana" w:hAnsi="Verdana"/>
                <w:sz w:val="18"/>
                <w:szCs w:val="18"/>
              </w:rPr>
              <w:t xml:space="preserve">Invoer </w:t>
            </w:r>
            <w:r>
              <w:rPr>
                <w:rFonts w:ascii="Verdana" w:hAnsi="Verdana"/>
                <w:i/>
                <w:sz w:val="18"/>
                <w:szCs w:val="18"/>
              </w:rPr>
              <w:t xml:space="preserve">okt 17 – okt 18 </w:t>
            </w:r>
            <w:r>
              <w:rPr>
                <w:rFonts w:ascii="Verdana" w:hAnsi="Verdana"/>
                <w:sz w:val="18"/>
                <w:szCs w:val="18"/>
              </w:rPr>
              <w:t xml:space="preserve"> </w:t>
            </w:r>
            <w:r>
              <w:rPr>
                <w:rFonts w:ascii="Verdana" w:hAnsi="Verdana"/>
                <w:i/>
                <w:sz w:val="18"/>
                <w:szCs w:val="18"/>
              </w:rPr>
              <w:t xml:space="preserve">(€ </w:t>
            </w:r>
            <w:proofErr w:type="spellStart"/>
            <w:r>
              <w:rPr>
                <w:rFonts w:ascii="Verdana" w:hAnsi="Verdana"/>
                <w:i/>
                <w:sz w:val="18"/>
                <w:szCs w:val="18"/>
              </w:rPr>
              <w:t>mln</w:t>
            </w:r>
            <w:proofErr w:type="spellEnd"/>
            <w:r>
              <w:rPr>
                <w:rFonts w:ascii="Verdana" w:hAnsi="Verdana"/>
                <w:i/>
                <w:sz w:val="18"/>
                <w:szCs w:val="18"/>
              </w:rPr>
              <w:t>)</w:t>
            </w:r>
          </w:p>
        </w:tc>
        <w:tc>
          <w:tcPr>
            <w:tcW w:w="1288" w:type="dxa"/>
          </w:tcPr>
          <w:p w:rsidRPr="00434AB9" w:rsidR="00EF49BD" w:rsidP="00BD3526" w:rsidRDefault="00EF49BD" w14:paraId="27E1D608" w14:textId="77777777">
            <w:pPr>
              <w:rPr>
                <w:rFonts w:ascii="Verdana" w:hAnsi="Verdana"/>
                <w:i/>
                <w:sz w:val="18"/>
                <w:szCs w:val="18"/>
              </w:rPr>
            </w:pPr>
            <w:r>
              <w:rPr>
                <w:rFonts w:ascii="Verdana" w:hAnsi="Verdana"/>
                <w:i/>
                <w:sz w:val="18"/>
                <w:szCs w:val="18"/>
              </w:rPr>
              <w:t xml:space="preserve">Saldo okt 17 – okt 18 (€ </w:t>
            </w:r>
            <w:proofErr w:type="spellStart"/>
            <w:r>
              <w:rPr>
                <w:rFonts w:ascii="Verdana" w:hAnsi="Verdana"/>
                <w:i/>
                <w:sz w:val="18"/>
                <w:szCs w:val="18"/>
              </w:rPr>
              <w:t>mln</w:t>
            </w:r>
            <w:proofErr w:type="spellEnd"/>
            <w:r>
              <w:rPr>
                <w:rFonts w:ascii="Verdana" w:hAnsi="Verdana"/>
                <w:i/>
                <w:sz w:val="18"/>
                <w:szCs w:val="18"/>
              </w:rPr>
              <w:t>)</w:t>
            </w:r>
          </w:p>
        </w:tc>
      </w:tr>
      <w:tr w:rsidR="00EF49BD" w:rsidTr="00BD3526" w14:paraId="6634A51F" w14:textId="77777777">
        <w:tc>
          <w:tcPr>
            <w:tcW w:w="1288" w:type="dxa"/>
          </w:tcPr>
          <w:p w:rsidRPr="001C36CD" w:rsidR="00EF49BD" w:rsidP="00BD3526" w:rsidRDefault="00EF49BD" w14:paraId="37611555" w14:textId="77777777">
            <w:pPr>
              <w:rPr>
                <w:rFonts w:ascii="Verdana" w:hAnsi="Verdana"/>
                <w:sz w:val="18"/>
                <w:szCs w:val="18"/>
              </w:rPr>
            </w:pPr>
            <w:r>
              <w:rPr>
                <w:rFonts w:ascii="Verdana" w:hAnsi="Verdana"/>
                <w:sz w:val="18"/>
                <w:szCs w:val="18"/>
              </w:rPr>
              <w:t>EU-CAN</w:t>
            </w:r>
          </w:p>
        </w:tc>
        <w:tc>
          <w:tcPr>
            <w:tcW w:w="1288" w:type="dxa"/>
          </w:tcPr>
          <w:p w:rsidRPr="001C36CD" w:rsidR="00EF49BD" w:rsidP="00BD3526" w:rsidRDefault="00EF49BD" w14:paraId="227C22D1" w14:textId="77777777">
            <w:pPr>
              <w:jc w:val="right"/>
              <w:rPr>
                <w:rFonts w:ascii="Verdana" w:hAnsi="Verdana"/>
                <w:sz w:val="18"/>
                <w:szCs w:val="18"/>
              </w:rPr>
            </w:pPr>
            <w:r>
              <w:rPr>
                <w:rFonts w:ascii="Verdana" w:hAnsi="Verdana"/>
                <w:sz w:val="18"/>
                <w:szCs w:val="18"/>
              </w:rPr>
              <w:t>37259</w:t>
            </w:r>
          </w:p>
        </w:tc>
        <w:tc>
          <w:tcPr>
            <w:tcW w:w="1288" w:type="dxa"/>
          </w:tcPr>
          <w:p w:rsidRPr="001C36CD" w:rsidR="00EF49BD" w:rsidP="00BD3526" w:rsidRDefault="00EF49BD" w14:paraId="0F50639A" w14:textId="77777777">
            <w:pPr>
              <w:jc w:val="right"/>
              <w:rPr>
                <w:rFonts w:ascii="Verdana" w:hAnsi="Verdana"/>
                <w:sz w:val="18"/>
                <w:szCs w:val="18"/>
              </w:rPr>
            </w:pPr>
            <w:r>
              <w:rPr>
                <w:rFonts w:ascii="Verdana" w:hAnsi="Verdana"/>
                <w:sz w:val="18"/>
                <w:szCs w:val="18"/>
              </w:rPr>
              <w:t>31256</w:t>
            </w:r>
          </w:p>
        </w:tc>
        <w:tc>
          <w:tcPr>
            <w:tcW w:w="1288" w:type="dxa"/>
          </w:tcPr>
          <w:p w:rsidRPr="001C36CD" w:rsidR="00EF49BD" w:rsidP="00BD3526" w:rsidRDefault="00EF49BD" w14:paraId="1A09BCDA" w14:textId="77777777">
            <w:pPr>
              <w:jc w:val="right"/>
              <w:rPr>
                <w:rFonts w:ascii="Verdana" w:hAnsi="Verdana"/>
                <w:sz w:val="18"/>
                <w:szCs w:val="18"/>
              </w:rPr>
            </w:pPr>
            <w:r>
              <w:rPr>
                <w:rFonts w:ascii="Verdana" w:hAnsi="Verdana"/>
                <w:sz w:val="18"/>
                <w:szCs w:val="18"/>
              </w:rPr>
              <w:t>6003</w:t>
            </w:r>
          </w:p>
        </w:tc>
        <w:tc>
          <w:tcPr>
            <w:tcW w:w="1288" w:type="dxa"/>
          </w:tcPr>
          <w:p w:rsidRPr="001C36CD" w:rsidR="00EF49BD" w:rsidP="00BD3526" w:rsidRDefault="00EF49BD" w14:paraId="029EA9A0" w14:textId="77777777">
            <w:pPr>
              <w:jc w:val="right"/>
              <w:rPr>
                <w:rFonts w:ascii="Verdana" w:hAnsi="Verdana"/>
                <w:sz w:val="18"/>
                <w:szCs w:val="18"/>
              </w:rPr>
            </w:pPr>
            <w:r>
              <w:rPr>
                <w:rFonts w:ascii="Verdana" w:hAnsi="Verdana"/>
                <w:sz w:val="18"/>
                <w:szCs w:val="18"/>
              </w:rPr>
              <w:t>40583</w:t>
            </w:r>
          </w:p>
        </w:tc>
        <w:tc>
          <w:tcPr>
            <w:tcW w:w="1288" w:type="dxa"/>
          </w:tcPr>
          <w:p w:rsidRPr="001C36CD" w:rsidR="00EF49BD" w:rsidP="00BD3526" w:rsidRDefault="00EF49BD" w14:paraId="1BDE1BF8" w14:textId="77777777">
            <w:pPr>
              <w:jc w:val="right"/>
              <w:rPr>
                <w:rFonts w:ascii="Verdana" w:hAnsi="Verdana"/>
                <w:sz w:val="18"/>
                <w:szCs w:val="18"/>
              </w:rPr>
            </w:pPr>
            <w:r>
              <w:rPr>
                <w:rFonts w:ascii="Verdana" w:hAnsi="Verdana"/>
                <w:sz w:val="18"/>
                <w:szCs w:val="18"/>
              </w:rPr>
              <w:t>30561</w:t>
            </w:r>
          </w:p>
        </w:tc>
        <w:tc>
          <w:tcPr>
            <w:tcW w:w="1288" w:type="dxa"/>
          </w:tcPr>
          <w:p w:rsidRPr="001C36CD" w:rsidR="00EF49BD" w:rsidP="00BD3526" w:rsidRDefault="00EF49BD" w14:paraId="32E3BF74" w14:textId="77777777">
            <w:pPr>
              <w:jc w:val="right"/>
              <w:rPr>
                <w:rFonts w:ascii="Verdana" w:hAnsi="Verdana"/>
                <w:sz w:val="18"/>
                <w:szCs w:val="18"/>
              </w:rPr>
            </w:pPr>
            <w:r>
              <w:rPr>
                <w:rFonts w:ascii="Verdana" w:hAnsi="Verdana"/>
                <w:sz w:val="18"/>
                <w:szCs w:val="18"/>
              </w:rPr>
              <w:t>10021</w:t>
            </w:r>
          </w:p>
        </w:tc>
      </w:tr>
      <w:tr w:rsidR="00EF49BD" w:rsidTr="00BD3526" w14:paraId="134B23DB" w14:textId="77777777">
        <w:tc>
          <w:tcPr>
            <w:tcW w:w="1288" w:type="dxa"/>
          </w:tcPr>
          <w:p w:rsidRPr="001C36CD" w:rsidR="00EF49BD" w:rsidP="00BD3526" w:rsidRDefault="00EF49BD" w14:paraId="0CAF8A41" w14:textId="77777777">
            <w:pPr>
              <w:rPr>
                <w:rFonts w:ascii="Verdana" w:hAnsi="Verdana"/>
                <w:sz w:val="18"/>
                <w:szCs w:val="18"/>
              </w:rPr>
            </w:pPr>
            <w:r>
              <w:rPr>
                <w:rFonts w:ascii="Verdana" w:hAnsi="Verdana"/>
                <w:sz w:val="18"/>
                <w:szCs w:val="18"/>
              </w:rPr>
              <w:t>NED-CAN</w:t>
            </w:r>
          </w:p>
        </w:tc>
        <w:tc>
          <w:tcPr>
            <w:tcW w:w="1288" w:type="dxa"/>
          </w:tcPr>
          <w:p w:rsidRPr="001C36CD" w:rsidR="00EF49BD" w:rsidP="00BD3526" w:rsidRDefault="00EF49BD" w14:paraId="455799FC" w14:textId="77777777">
            <w:pPr>
              <w:jc w:val="right"/>
              <w:rPr>
                <w:rFonts w:ascii="Verdana" w:hAnsi="Verdana"/>
                <w:sz w:val="18"/>
                <w:szCs w:val="18"/>
                <w:lang w:val="en-US"/>
              </w:rPr>
            </w:pPr>
            <w:r>
              <w:rPr>
                <w:rFonts w:ascii="Verdana" w:hAnsi="Verdana"/>
                <w:sz w:val="18"/>
                <w:szCs w:val="18"/>
                <w:lang w:val="en-US"/>
              </w:rPr>
              <w:t>3434</w:t>
            </w:r>
          </w:p>
        </w:tc>
        <w:tc>
          <w:tcPr>
            <w:tcW w:w="1288" w:type="dxa"/>
          </w:tcPr>
          <w:p w:rsidRPr="001C36CD" w:rsidR="00EF49BD" w:rsidP="00BD3526" w:rsidRDefault="00EF49BD" w14:paraId="4CBB1F21" w14:textId="77777777">
            <w:pPr>
              <w:jc w:val="right"/>
              <w:rPr>
                <w:rFonts w:ascii="Verdana" w:hAnsi="Verdana"/>
                <w:sz w:val="18"/>
                <w:szCs w:val="18"/>
              </w:rPr>
            </w:pPr>
            <w:r>
              <w:rPr>
                <w:rFonts w:ascii="Verdana" w:hAnsi="Verdana"/>
                <w:sz w:val="18"/>
                <w:szCs w:val="18"/>
              </w:rPr>
              <w:t>1505</w:t>
            </w:r>
          </w:p>
        </w:tc>
        <w:tc>
          <w:tcPr>
            <w:tcW w:w="1288" w:type="dxa"/>
          </w:tcPr>
          <w:p w:rsidRPr="001C36CD" w:rsidR="00EF49BD" w:rsidP="00BD3526" w:rsidRDefault="00EF49BD" w14:paraId="41A612E0" w14:textId="77777777">
            <w:pPr>
              <w:jc w:val="right"/>
              <w:rPr>
                <w:rFonts w:ascii="Verdana" w:hAnsi="Verdana"/>
                <w:sz w:val="18"/>
                <w:szCs w:val="18"/>
              </w:rPr>
            </w:pPr>
            <w:r>
              <w:rPr>
                <w:rFonts w:ascii="Verdana" w:hAnsi="Verdana"/>
                <w:sz w:val="18"/>
                <w:szCs w:val="18"/>
              </w:rPr>
              <w:t>1929</w:t>
            </w:r>
          </w:p>
        </w:tc>
        <w:tc>
          <w:tcPr>
            <w:tcW w:w="1288" w:type="dxa"/>
          </w:tcPr>
          <w:p w:rsidRPr="001C36CD" w:rsidR="00EF49BD" w:rsidP="00BD3526" w:rsidRDefault="00EF49BD" w14:paraId="1B2EE5B5" w14:textId="77777777">
            <w:pPr>
              <w:jc w:val="right"/>
              <w:rPr>
                <w:rFonts w:ascii="Verdana" w:hAnsi="Verdana"/>
                <w:sz w:val="18"/>
                <w:szCs w:val="18"/>
              </w:rPr>
            </w:pPr>
            <w:r>
              <w:rPr>
                <w:rFonts w:ascii="Verdana" w:hAnsi="Verdana"/>
                <w:sz w:val="18"/>
                <w:szCs w:val="18"/>
              </w:rPr>
              <w:t>3806</w:t>
            </w:r>
          </w:p>
        </w:tc>
        <w:tc>
          <w:tcPr>
            <w:tcW w:w="1288" w:type="dxa"/>
          </w:tcPr>
          <w:p w:rsidRPr="001C36CD" w:rsidR="00EF49BD" w:rsidP="00BD3526" w:rsidRDefault="00EF49BD" w14:paraId="712F0B6C" w14:textId="77777777">
            <w:pPr>
              <w:jc w:val="right"/>
              <w:rPr>
                <w:rFonts w:ascii="Verdana" w:hAnsi="Verdana"/>
                <w:sz w:val="18"/>
                <w:szCs w:val="18"/>
              </w:rPr>
            </w:pPr>
            <w:r>
              <w:rPr>
                <w:rFonts w:ascii="Verdana" w:hAnsi="Verdana"/>
                <w:sz w:val="18"/>
                <w:szCs w:val="18"/>
              </w:rPr>
              <w:t>1582</w:t>
            </w:r>
          </w:p>
        </w:tc>
        <w:tc>
          <w:tcPr>
            <w:tcW w:w="1288" w:type="dxa"/>
          </w:tcPr>
          <w:p w:rsidRPr="001C36CD" w:rsidR="00EF49BD" w:rsidP="00BD3526" w:rsidRDefault="00EF49BD" w14:paraId="34D610B1" w14:textId="77777777">
            <w:pPr>
              <w:jc w:val="right"/>
              <w:rPr>
                <w:rFonts w:ascii="Verdana" w:hAnsi="Verdana"/>
                <w:sz w:val="18"/>
                <w:szCs w:val="18"/>
              </w:rPr>
            </w:pPr>
            <w:r>
              <w:rPr>
                <w:rFonts w:ascii="Verdana" w:hAnsi="Verdana"/>
                <w:sz w:val="18"/>
                <w:szCs w:val="18"/>
              </w:rPr>
              <w:t>2224</w:t>
            </w:r>
          </w:p>
        </w:tc>
      </w:tr>
    </w:tbl>
    <w:p w:rsidRPr="001C36CD" w:rsidR="00EF49BD" w:rsidP="00EF49BD" w:rsidRDefault="00EF49BD" w14:paraId="44AB3BF6" w14:textId="77777777">
      <w:pPr>
        <w:rPr>
          <w:rFonts w:ascii="Verdana" w:hAnsi="Verdana"/>
          <w:sz w:val="18"/>
          <w:szCs w:val="18"/>
        </w:rPr>
      </w:pPr>
      <w:r>
        <w:rPr>
          <w:rFonts w:ascii="Verdana" w:hAnsi="Verdana"/>
          <w:sz w:val="18"/>
          <w:szCs w:val="18"/>
        </w:rPr>
        <w:t xml:space="preserve">Bron: </w:t>
      </w:r>
      <w:proofErr w:type="spellStart"/>
      <w:r>
        <w:rPr>
          <w:rFonts w:ascii="Verdana" w:hAnsi="Verdana"/>
          <w:sz w:val="18"/>
          <w:szCs w:val="18"/>
        </w:rPr>
        <w:t>Eurostat</w:t>
      </w:r>
      <w:proofErr w:type="spellEnd"/>
      <w:r>
        <w:rPr>
          <w:rFonts w:ascii="Verdana" w:hAnsi="Verdana"/>
          <w:sz w:val="18"/>
          <w:szCs w:val="18"/>
        </w:rPr>
        <w:t>, CBS</w:t>
      </w:r>
    </w:p>
    <w:p w:rsidR="009F5444" w:rsidP="00EF49BD" w:rsidRDefault="00EF49BD" w14:paraId="464037EC" w14:textId="6B327D41">
      <w:pPr>
        <w:rPr>
          <w:rFonts w:ascii="Verdana" w:hAnsi="Verdana"/>
          <w:sz w:val="18"/>
          <w:szCs w:val="18"/>
        </w:rPr>
      </w:pPr>
      <w:r>
        <w:rPr>
          <w:rFonts w:ascii="Verdana" w:hAnsi="Verdana"/>
          <w:sz w:val="18"/>
          <w:szCs w:val="18"/>
        </w:rPr>
        <w:t>De c</w:t>
      </w:r>
      <w:r w:rsidRPr="003C3DCB">
        <w:rPr>
          <w:rFonts w:ascii="Verdana" w:hAnsi="Verdana"/>
          <w:sz w:val="18"/>
          <w:szCs w:val="18"/>
        </w:rPr>
        <w:t xml:space="preserve">ijfers voor </w:t>
      </w:r>
      <w:r>
        <w:rPr>
          <w:rFonts w:ascii="Verdana" w:hAnsi="Verdana"/>
          <w:sz w:val="18"/>
          <w:szCs w:val="18"/>
        </w:rPr>
        <w:t xml:space="preserve">de </w:t>
      </w:r>
      <w:r w:rsidRPr="003C3DCB">
        <w:rPr>
          <w:rFonts w:ascii="Verdana" w:hAnsi="Verdana"/>
          <w:sz w:val="18"/>
          <w:szCs w:val="18"/>
        </w:rPr>
        <w:t>sectoren</w:t>
      </w:r>
      <w:r>
        <w:rPr>
          <w:rFonts w:ascii="Verdana" w:hAnsi="Verdana"/>
          <w:sz w:val="18"/>
          <w:szCs w:val="18"/>
        </w:rPr>
        <w:t xml:space="preserve"> rundvlees en kippen zijn</w:t>
      </w:r>
      <w:r w:rsidRPr="003C3DCB">
        <w:rPr>
          <w:rFonts w:ascii="Verdana" w:hAnsi="Verdana"/>
          <w:sz w:val="18"/>
          <w:szCs w:val="18"/>
        </w:rPr>
        <w:t xml:space="preserve"> alleen </w:t>
      </w:r>
      <w:r w:rsidR="007B0AE1">
        <w:rPr>
          <w:rFonts w:ascii="Verdana" w:hAnsi="Verdana"/>
          <w:sz w:val="18"/>
          <w:szCs w:val="18"/>
        </w:rPr>
        <w:t>van</w:t>
      </w:r>
      <w:r w:rsidRPr="003C3DCB">
        <w:rPr>
          <w:rFonts w:ascii="Verdana" w:hAnsi="Verdana"/>
          <w:sz w:val="18"/>
          <w:szCs w:val="18"/>
        </w:rPr>
        <w:t xml:space="preserve"> hele jaren beschikbaar</w:t>
      </w:r>
      <w:r>
        <w:rPr>
          <w:rFonts w:ascii="Verdana" w:hAnsi="Verdana"/>
          <w:sz w:val="18"/>
          <w:szCs w:val="18"/>
        </w:rPr>
        <w:t xml:space="preserve"> en niet van </w:t>
      </w:r>
      <w:r w:rsidR="009F5444">
        <w:rPr>
          <w:rFonts w:ascii="Verdana" w:hAnsi="Verdana"/>
          <w:sz w:val="18"/>
          <w:szCs w:val="18"/>
        </w:rPr>
        <w:t>oktober</w:t>
      </w:r>
      <w:r>
        <w:rPr>
          <w:rFonts w:ascii="Verdana" w:hAnsi="Verdana"/>
          <w:sz w:val="18"/>
          <w:szCs w:val="18"/>
        </w:rPr>
        <w:t xml:space="preserve"> tot </w:t>
      </w:r>
      <w:r w:rsidR="009F5444">
        <w:rPr>
          <w:rFonts w:ascii="Verdana" w:hAnsi="Verdana"/>
          <w:sz w:val="18"/>
          <w:szCs w:val="18"/>
        </w:rPr>
        <w:t>o</w:t>
      </w:r>
      <w:r>
        <w:rPr>
          <w:rFonts w:ascii="Verdana" w:hAnsi="Verdana"/>
          <w:sz w:val="18"/>
          <w:szCs w:val="18"/>
        </w:rPr>
        <w:t xml:space="preserve">ktober. </w:t>
      </w:r>
    </w:p>
    <w:tbl>
      <w:tblPr>
        <w:tblStyle w:val="TableGrid"/>
        <w:tblW w:w="0" w:type="auto"/>
        <w:tblLook w:val="04A0" w:firstRow="1" w:lastRow="0" w:firstColumn="1" w:lastColumn="0" w:noHBand="0" w:noVBand="1"/>
      </w:tblPr>
      <w:tblGrid>
        <w:gridCol w:w="1300"/>
        <w:gridCol w:w="1288"/>
        <w:gridCol w:w="1288"/>
        <w:gridCol w:w="1288"/>
        <w:gridCol w:w="1288"/>
        <w:gridCol w:w="1288"/>
        <w:gridCol w:w="1288"/>
      </w:tblGrid>
      <w:tr w:rsidR="00EF49BD" w:rsidTr="00BD3526" w14:paraId="6C3F8148" w14:textId="77777777">
        <w:tc>
          <w:tcPr>
            <w:tcW w:w="1288" w:type="dxa"/>
          </w:tcPr>
          <w:p w:rsidRPr="0080600A" w:rsidR="00EF49BD" w:rsidP="00BD3526" w:rsidRDefault="00EF49BD" w14:paraId="3509EB0D" w14:textId="77777777">
            <w:pPr>
              <w:rPr>
                <w:rFonts w:ascii="Verdana" w:hAnsi="Verdana"/>
                <w:i/>
                <w:sz w:val="18"/>
                <w:szCs w:val="18"/>
              </w:rPr>
            </w:pPr>
            <w:r>
              <w:rPr>
                <w:rFonts w:ascii="Verdana" w:hAnsi="Verdana"/>
                <w:i/>
                <w:sz w:val="18"/>
                <w:szCs w:val="18"/>
              </w:rPr>
              <w:t>Sector</w:t>
            </w:r>
          </w:p>
        </w:tc>
        <w:tc>
          <w:tcPr>
            <w:tcW w:w="1288" w:type="dxa"/>
          </w:tcPr>
          <w:p w:rsidR="00EF49BD" w:rsidP="00BD3526" w:rsidRDefault="00EF49BD" w14:paraId="588B1F92" w14:textId="77777777">
            <w:pPr>
              <w:rPr>
                <w:rFonts w:ascii="Verdana" w:hAnsi="Verdana"/>
                <w:i/>
                <w:sz w:val="18"/>
                <w:szCs w:val="18"/>
              </w:rPr>
            </w:pPr>
            <w:r>
              <w:rPr>
                <w:rFonts w:ascii="Verdana" w:hAnsi="Verdana"/>
                <w:i/>
                <w:sz w:val="18"/>
                <w:szCs w:val="18"/>
              </w:rPr>
              <w:t xml:space="preserve">Uitvoer 2017 </w:t>
            </w:r>
          </w:p>
          <w:p w:rsidRPr="003C3DCB" w:rsidR="00EF49BD" w:rsidP="00BD3526" w:rsidRDefault="00EF49BD" w14:paraId="6C4719AD" w14:textId="77777777">
            <w:pPr>
              <w:rPr>
                <w:rFonts w:ascii="Verdana" w:hAnsi="Verdana"/>
                <w:i/>
                <w:sz w:val="18"/>
                <w:szCs w:val="18"/>
              </w:rPr>
            </w:pPr>
            <w:r>
              <w:rPr>
                <w:rFonts w:ascii="Verdana" w:hAnsi="Verdana"/>
                <w:i/>
                <w:sz w:val="18"/>
                <w:szCs w:val="18"/>
              </w:rPr>
              <w:t>(</w:t>
            </w:r>
            <w:r w:rsidRPr="003C3DCB">
              <w:rPr>
                <w:rFonts w:ascii="Verdana" w:hAnsi="Verdana"/>
                <w:i/>
                <w:sz w:val="18"/>
                <w:szCs w:val="18"/>
              </w:rPr>
              <w:t xml:space="preserve">€ </w:t>
            </w:r>
            <w:proofErr w:type="spellStart"/>
            <w:r w:rsidRPr="003C3DCB">
              <w:rPr>
                <w:rFonts w:ascii="Verdana" w:hAnsi="Verdana"/>
                <w:i/>
                <w:sz w:val="18"/>
                <w:szCs w:val="18"/>
              </w:rPr>
              <w:t>mln</w:t>
            </w:r>
            <w:proofErr w:type="spellEnd"/>
            <w:r w:rsidRPr="003C3DCB">
              <w:rPr>
                <w:rFonts w:ascii="Verdana" w:hAnsi="Verdana"/>
                <w:i/>
                <w:sz w:val="18"/>
                <w:szCs w:val="18"/>
              </w:rPr>
              <w:t>)</w:t>
            </w:r>
          </w:p>
        </w:tc>
        <w:tc>
          <w:tcPr>
            <w:tcW w:w="1288" w:type="dxa"/>
          </w:tcPr>
          <w:p w:rsidR="00EF49BD" w:rsidP="00BD3526" w:rsidRDefault="00EF49BD" w14:paraId="7EB0E26D" w14:textId="77777777">
            <w:pPr>
              <w:rPr>
                <w:rFonts w:ascii="Verdana" w:hAnsi="Verdana"/>
                <w:i/>
                <w:sz w:val="18"/>
                <w:szCs w:val="18"/>
              </w:rPr>
            </w:pPr>
            <w:r>
              <w:rPr>
                <w:rFonts w:ascii="Verdana" w:hAnsi="Verdana"/>
                <w:i/>
                <w:sz w:val="18"/>
                <w:szCs w:val="18"/>
              </w:rPr>
              <w:t xml:space="preserve">Invoer 2017  </w:t>
            </w:r>
          </w:p>
          <w:p w:rsidRPr="006E5BA3" w:rsidR="00EF49BD" w:rsidP="00BD3526" w:rsidRDefault="00EF49BD" w14:paraId="62EB750B" w14:textId="77777777">
            <w:pPr>
              <w:rPr>
                <w:rFonts w:ascii="Verdana" w:hAnsi="Verdana"/>
                <w:i/>
                <w:sz w:val="18"/>
                <w:szCs w:val="18"/>
              </w:rPr>
            </w:pPr>
            <w:r>
              <w:rPr>
                <w:rFonts w:ascii="Verdana" w:hAnsi="Verdana"/>
                <w:i/>
                <w:sz w:val="18"/>
                <w:szCs w:val="18"/>
              </w:rPr>
              <w:t>(</w:t>
            </w:r>
            <w:r w:rsidRPr="003C3DCB">
              <w:rPr>
                <w:rFonts w:ascii="Verdana" w:hAnsi="Verdana"/>
                <w:i/>
                <w:sz w:val="18"/>
                <w:szCs w:val="18"/>
              </w:rPr>
              <w:t xml:space="preserve">€ </w:t>
            </w:r>
            <w:proofErr w:type="spellStart"/>
            <w:r w:rsidRPr="003C3DCB">
              <w:rPr>
                <w:rFonts w:ascii="Verdana" w:hAnsi="Verdana"/>
                <w:i/>
                <w:sz w:val="18"/>
                <w:szCs w:val="18"/>
              </w:rPr>
              <w:t>mln</w:t>
            </w:r>
            <w:proofErr w:type="spellEnd"/>
            <w:r w:rsidRPr="003C3DCB">
              <w:rPr>
                <w:rFonts w:ascii="Verdana" w:hAnsi="Verdana"/>
                <w:i/>
                <w:sz w:val="18"/>
                <w:szCs w:val="18"/>
              </w:rPr>
              <w:t>)</w:t>
            </w:r>
          </w:p>
        </w:tc>
        <w:tc>
          <w:tcPr>
            <w:tcW w:w="1288" w:type="dxa"/>
          </w:tcPr>
          <w:p w:rsidR="00EF49BD" w:rsidP="00BD3526" w:rsidRDefault="00EF49BD" w14:paraId="7DF6142A" w14:textId="77777777">
            <w:pPr>
              <w:rPr>
                <w:rFonts w:ascii="Verdana" w:hAnsi="Verdana"/>
                <w:i/>
                <w:sz w:val="18"/>
                <w:szCs w:val="18"/>
              </w:rPr>
            </w:pPr>
            <w:r>
              <w:rPr>
                <w:rFonts w:ascii="Verdana" w:hAnsi="Verdana"/>
                <w:i/>
                <w:sz w:val="18"/>
                <w:szCs w:val="18"/>
              </w:rPr>
              <w:t xml:space="preserve">Saldo 2017 </w:t>
            </w:r>
          </w:p>
          <w:p w:rsidR="00EF49BD" w:rsidP="00BD3526" w:rsidRDefault="00EF49BD" w14:paraId="6470820C" w14:textId="77777777">
            <w:pPr>
              <w:rPr>
                <w:rFonts w:ascii="Verdana" w:hAnsi="Verdana"/>
                <w:i/>
                <w:sz w:val="18"/>
                <w:szCs w:val="18"/>
              </w:rPr>
            </w:pPr>
          </w:p>
          <w:p w:rsidRPr="0080600A" w:rsidR="00EF49BD" w:rsidP="00BD3526" w:rsidRDefault="00EF49BD" w14:paraId="4B39EAB0" w14:textId="77777777">
            <w:pPr>
              <w:rPr>
                <w:rFonts w:ascii="Verdana" w:hAnsi="Verdana"/>
                <w:i/>
                <w:sz w:val="18"/>
                <w:szCs w:val="18"/>
              </w:rPr>
            </w:pPr>
            <w:r>
              <w:rPr>
                <w:rFonts w:ascii="Verdana" w:hAnsi="Verdana"/>
                <w:i/>
                <w:sz w:val="18"/>
                <w:szCs w:val="18"/>
              </w:rPr>
              <w:t>(</w:t>
            </w:r>
            <w:r w:rsidRPr="003C3DCB">
              <w:rPr>
                <w:rFonts w:ascii="Verdana" w:hAnsi="Verdana"/>
                <w:i/>
                <w:sz w:val="18"/>
                <w:szCs w:val="18"/>
              </w:rPr>
              <w:t xml:space="preserve">€ </w:t>
            </w:r>
            <w:proofErr w:type="spellStart"/>
            <w:r w:rsidRPr="003C3DCB">
              <w:rPr>
                <w:rFonts w:ascii="Verdana" w:hAnsi="Verdana"/>
                <w:i/>
                <w:sz w:val="18"/>
                <w:szCs w:val="18"/>
              </w:rPr>
              <w:t>mln</w:t>
            </w:r>
            <w:proofErr w:type="spellEnd"/>
            <w:r w:rsidRPr="003C3DCB">
              <w:rPr>
                <w:rFonts w:ascii="Verdana" w:hAnsi="Verdana"/>
                <w:i/>
                <w:sz w:val="18"/>
                <w:szCs w:val="18"/>
              </w:rPr>
              <w:t>)</w:t>
            </w:r>
          </w:p>
        </w:tc>
        <w:tc>
          <w:tcPr>
            <w:tcW w:w="1288" w:type="dxa"/>
          </w:tcPr>
          <w:p w:rsidR="00EF49BD" w:rsidP="00BD3526" w:rsidRDefault="00EF49BD" w14:paraId="07ED4419" w14:textId="77777777">
            <w:pPr>
              <w:rPr>
                <w:rFonts w:ascii="Verdana" w:hAnsi="Verdana"/>
                <w:i/>
                <w:sz w:val="18"/>
                <w:szCs w:val="18"/>
              </w:rPr>
            </w:pPr>
            <w:r>
              <w:rPr>
                <w:rFonts w:ascii="Verdana" w:hAnsi="Verdana"/>
                <w:sz w:val="18"/>
                <w:szCs w:val="18"/>
              </w:rPr>
              <w:t xml:space="preserve">Uitvoer </w:t>
            </w:r>
            <w:r>
              <w:rPr>
                <w:rFonts w:ascii="Verdana" w:hAnsi="Verdana"/>
                <w:i/>
                <w:sz w:val="18"/>
                <w:szCs w:val="18"/>
              </w:rPr>
              <w:t xml:space="preserve">2018 </w:t>
            </w:r>
          </w:p>
          <w:p w:rsidR="00EF49BD" w:rsidP="00BD3526" w:rsidRDefault="00EF49BD" w14:paraId="345A249C" w14:textId="77777777">
            <w:pPr>
              <w:rPr>
                <w:rFonts w:ascii="Verdana" w:hAnsi="Verdana"/>
                <w:sz w:val="18"/>
                <w:szCs w:val="18"/>
              </w:rPr>
            </w:pPr>
            <w:r>
              <w:rPr>
                <w:rFonts w:ascii="Verdana" w:hAnsi="Verdana"/>
                <w:i/>
                <w:sz w:val="18"/>
                <w:szCs w:val="18"/>
              </w:rPr>
              <w:t xml:space="preserve">(€ </w:t>
            </w:r>
            <w:proofErr w:type="spellStart"/>
            <w:r>
              <w:rPr>
                <w:rFonts w:ascii="Verdana" w:hAnsi="Verdana"/>
                <w:i/>
                <w:sz w:val="18"/>
                <w:szCs w:val="18"/>
              </w:rPr>
              <w:t>mln</w:t>
            </w:r>
            <w:proofErr w:type="spellEnd"/>
            <w:r>
              <w:rPr>
                <w:rFonts w:ascii="Verdana" w:hAnsi="Verdana"/>
                <w:i/>
                <w:sz w:val="18"/>
                <w:szCs w:val="18"/>
              </w:rPr>
              <w:t>)</w:t>
            </w:r>
          </w:p>
        </w:tc>
        <w:tc>
          <w:tcPr>
            <w:tcW w:w="1288" w:type="dxa"/>
          </w:tcPr>
          <w:p w:rsidR="00EF49BD" w:rsidP="00BD3526" w:rsidRDefault="00EF49BD" w14:paraId="013B50FD" w14:textId="77777777">
            <w:pPr>
              <w:rPr>
                <w:rFonts w:ascii="Verdana" w:hAnsi="Verdana"/>
                <w:sz w:val="18"/>
                <w:szCs w:val="18"/>
              </w:rPr>
            </w:pPr>
            <w:r>
              <w:rPr>
                <w:rFonts w:ascii="Verdana" w:hAnsi="Verdana"/>
                <w:sz w:val="18"/>
                <w:szCs w:val="18"/>
              </w:rPr>
              <w:t xml:space="preserve">Invoer </w:t>
            </w:r>
            <w:r>
              <w:rPr>
                <w:rFonts w:ascii="Verdana" w:hAnsi="Verdana"/>
                <w:i/>
                <w:sz w:val="18"/>
                <w:szCs w:val="18"/>
              </w:rPr>
              <w:t xml:space="preserve">2018 </w:t>
            </w:r>
            <w:r>
              <w:rPr>
                <w:rFonts w:ascii="Verdana" w:hAnsi="Verdana"/>
                <w:sz w:val="18"/>
                <w:szCs w:val="18"/>
              </w:rPr>
              <w:t xml:space="preserve"> </w:t>
            </w:r>
          </w:p>
          <w:p w:rsidR="00EF49BD" w:rsidP="00BD3526" w:rsidRDefault="00EF49BD" w14:paraId="5B9EA4FE" w14:textId="77777777">
            <w:pPr>
              <w:rPr>
                <w:rFonts w:ascii="Verdana" w:hAnsi="Verdana"/>
                <w:sz w:val="18"/>
                <w:szCs w:val="18"/>
              </w:rPr>
            </w:pPr>
            <w:r>
              <w:rPr>
                <w:rFonts w:ascii="Verdana" w:hAnsi="Verdana"/>
                <w:i/>
                <w:sz w:val="18"/>
                <w:szCs w:val="18"/>
              </w:rPr>
              <w:t xml:space="preserve">(€ </w:t>
            </w:r>
            <w:proofErr w:type="spellStart"/>
            <w:r>
              <w:rPr>
                <w:rFonts w:ascii="Verdana" w:hAnsi="Verdana"/>
                <w:i/>
                <w:sz w:val="18"/>
                <w:szCs w:val="18"/>
              </w:rPr>
              <w:t>mln</w:t>
            </w:r>
            <w:proofErr w:type="spellEnd"/>
            <w:r>
              <w:rPr>
                <w:rFonts w:ascii="Verdana" w:hAnsi="Verdana"/>
                <w:i/>
                <w:sz w:val="18"/>
                <w:szCs w:val="18"/>
              </w:rPr>
              <w:t>)</w:t>
            </w:r>
          </w:p>
        </w:tc>
        <w:tc>
          <w:tcPr>
            <w:tcW w:w="1288" w:type="dxa"/>
          </w:tcPr>
          <w:p w:rsidR="00EF49BD" w:rsidP="00BD3526" w:rsidRDefault="00EF49BD" w14:paraId="702C8F1F" w14:textId="77777777">
            <w:pPr>
              <w:rPr>
                <w:rFonts w:ascii="Verdana" w:hAnsi="Verdana"/>
                <w:i/>
                <w:sz w:val="18"/>
                <w:szCs w:val="18"/>
              </w:rPr>
            </w:pPr>
            <w:r>
              <w:rPr>
                <w:rFonts w:ascii="Verdana" w:hAnsi="Verdana"/>
                <w:i/>
                <w:sz w:val="18"/>
                <w:szCs w:val="18"/>
              </w:rPr>
              <w:t>Saldo 2018</w:t>
            </w:r>
          </w:p>
          <w:p w:rsidR="00EF49BD" w:rsidP="00BD3526" w:rsidRDefault="00EF49BD" w14:paraId="787B7E50" w14:textId="77777777">
            <w:pPr>
              <w:rPr>
                <w:rFonts w:ascii="Verdana" w:hAnsi="Verdana"/>
                <w:i/>
                <w:sz w:val="18"/>
                <w:szCs w:val="18"/>
              </w:rPr>
            </w:pPr>
          </w:p>
          <w:p w:rsidRPr="00434AB9" w:rsidR="00EF49BD" w:rsidP="00BD3526" w:rsidRDefault="00EF49BD" w14:paraId="34A9AC30" w14:textId="77777777">
            <w:pPr>
              <w:rPr>
                <w:rFonts w:ascii="Verdana" w:hAnsi="Verdana"/>
                <w:i/>
                <w:sz w:val="18"/>
                <w:szCs w:val="18"/>
              </w:rPr>
            </w:pPr>
            <w:r>
              <w:rPr>
                <w:rFonts w:ascii="Verdana" w:hAnsi="Verdana"/>
                <w:i/>
                <w:sz w:val="18"/>
                <w:szCs w:val="18"/>
              </w:rPr>
              <w:t xml:space="preserve">(€ </w:t>
            </w:r>
            <w:proofErr w:type="spellStart"/>
            <w:r>
              <w:rPr>
                <w:rFonts w:ascii="Verdana" w:hAnsi="Verdana"/>
                <w:i/>
                <w:sz w:val="18"/>
                <w:szCs w:val="18"/>
              </w:rPr>
              <w:t>mln</w:t>
            </w:r>
            <w:proofErr w:type="spellEnd"/>
            <w:r>
              <w:rPr>
                <w:rFonts w:ascii="Verdana" w:hAnsi="Verdana"/>
                <w:i/>
                <w:sz w:val="18"/>
                <w:szCs w:val="18"/>
              </w:rPr>
              <w:t>)</w:t>
            </w:r>
          </w:p>
        </w:tc>
      </w:tr>
      <w:tr w:rsidR="00EF49BD" w:rsidTr="00BD3526" w14:paraId="15F37090" w14:textId="77777777">
        <w:tc>
          <w:tcPr>
            <w:tcW w:w="1288" w:type="dxa"/>
          </w:tcPr>
          <w:p w:rsidRPr="001C36CD" w:rsidR="00EF49BD" w:rsidP="00BD3526" w:rsidRDefault="00EF49BD" w14:paraId="5B4F8ACF" w14:textId="77777777">
            <w:pPr>
              <w:rPr>
                <w:rFonts w:ascii="Verdana" w:hAnsi="Verdana"/>
                <w:sz w:val="18"/>
                <w:szCs w:val="18"/>
              </w:rPr>
            </w:pPr>
            <w:r>
              <w:rPr>
                <w:rFonts w:ascii="Verdana" w:hAnsi="Verdana"/>
                <w:sz w:val="18"/>
                <w:szCs w:val="18"/>
              </w:rPr>
              <w:t>Rundvlees</w:t>
            </w:r>
          </w:p>
        </w:tc>
        <w:tc>
          <w:tcPr>
            <w:tcW w:w="1288" w:type="dxa"/>
          </w:tcPr>
          <w:p w:rsidRPr="001C36CD" w:rsidR="00EF49BD" w:rsidP="00BD3526" w:rsidRDefault="00EF49BD" w14:paraId="158D1785" w14:textId="77777777">
            <w:pPr>
              <w:jc w:val="right"/>
              <w:rPr>
                <w:rFonts w:ascii="Verdana" w:hAnsi="Verdana"/>
                <w:sz w:val="18"/>
                <w:szCs w:val="18"/>
              </w:rPr>
            </w:pPr>
            <w:r>
              <w:rPr>
                <w:rFonts w:ascii="Verdana" w:hAnsi="Verdana"/>
                <w:sz w:val="18"/>
                <w:szCs w:val="18"/>
              </w:rPr>
              <w:t>0.9</w:t>
            </w:r>
          </w:p>
        </w:tc>
        <w:tc>
          <w:tcPr>
            <w:tcW w:w="1288" w:type="dxa"/>
          </w:tcPr>
          <w:p w:rsidRPr="001C36CD" w:rsidR="00EF49BD" w:rsidP="00BD3526" w:rsidRDefault="00EF49BD" w14:paraId="60CC0781" w14:textId="77777777">
            <w:pPr>
              <w:jc w:val="right"/>
              <w:rPr>
                <w:rFonts w:ascii="Verdana" w:hAnsi="Verdana"/>
                <w:sz w:val="18"/>
                <w:szCs w:val="18"/>
              </w:rPr>
            </w:pPr>
            <w:r>
              <w:rPr>
                <w:rFonts w:ascii="Verdana" w:hAnsi="Verdana"/>
                <w:sz w:val="18"/>
                <w:szCs w:val="18"/>
              </w:rPr>
              <w:t>0.3</w:t>
            </w:r>
          </w:p>
        </w:tc>
        <w:tc>
          <w:tcPr>
            <w:tcW w:w="1288" w:type="dxa"/>
          </w:tcPr>
          <w:p w:rsidRPr="001C36CD" w:rsidR="00EF49BD" w:rsidP="00BD3526" w:rsidRDefault="00EF49BD" w14:paraId="0E48D6ED" w14:textId="77777777">
            <w:pPr>
              <w:jc w:val="right"/>
              <w:rPr>
                <w:rFonts w:ascii="Verdana" w:hAnsi="Verdana"/>
                <w:sz w:val="18"/>
                <w:szCs w:val="18"/>
              </w:rPr>
            </w:pPr>
            <w:r>
              <w:rPr>
                <w:rFonts w:ascii="Verdana" w:hAnsi="Verdana"/>
                <w:sz w:val="18"/>
                <w:szCs w:val="18"/>
              </w:rPr>
              <w:t>0.6</w:t>
            </w:r>
          </w:p>
        </w:tc>
        <w:tc>
          <w:tcPr>
            <w:tcW w:w="1288" w:type="dxa"/>
          </w:tcPr>
          <w:p w:rsidRPr="001C36CD" w:rsidR="00EF49BD" w:rsidP="00BD3526" w:rsidRDefault="00EF49BD" w14:paraId="1B6A0DA1" w14:textId="77777777">
            <w:pPr>
              <w:jc w:val="right"/>
              <w:rPr>
                <w:rFonts w:ascii="Verdana" w:hAnsi="Verdana"/>
                <w:sz w:val="18"/>
                <w:szCs w:val="18"/>
              </w:rPr>
            </w:pPr>
            <w:r>
              <w:rPr>
                <w:rFonts w:ascii="Verdana" w:hAnsi="Verdana"/>
                <w:sz w:val="18"/>
                <w:szCs w:val="18"/>
              </w:rPr>
              <w:t>1.9</w:t>
            </w:r>
          </w:p>
        </w:tc>
        <w:tc>
          <w:tcPr>
            <w:tcW w:w="1288" w:type="dxa"/>
          </w:tcPr>
          <w:p w:rsidRPr="001C36CD" w:rsidR="00EF49BD" w:rsidP="00BD3526" w:rsidRDefault="00EF49BD" w14:paraId="4E99908F" w14:textId="77777777">
            <w:pPr>
              <w:jc w:val="right"/>
              <w:rPr>
                <w:rFonts w:ascii="Verdana" w:hAnsi="Verdana"/>
                <w:sz w:val="18"/>
                <w:szCs w:val="18"/>
              </w:rPr>
            </w:pPr>
            <w:r>
              <w:rPr>
                <w:rFonts w:ascii="Verdana" w:hAnsi="Verdana"/>
                <w:sz w:val="18"/>
                <w:szCs w:val="18"/>
              </w:rPr>
              <w:t>2.4</w:t>
            </w:r>
          </w:p>
        </w:tc>
        <w:tc>
          <w:tcPr>
            <w:tcW w:w="1288" w:type="dxa"/>
          </w:tcPr>
          <w:p w:rsidRPr="001C36CD" w:rsidR="00EF49BD" w:rsidP="00BD3526" w:rsidRDefault="00EF49BD" w14:paraId="744BAB31" w14:textId="77777777">
            <w:pPr>
              <w:jc w:val="right"/>
              <w:rPr>
                <w:rFonts w:ascii="Verdana" w:hAnsi="Verdana"/>
                <w:sz w:val="18"/>
                <w:szCs w:val="18"/>
              </w:rPr>
            </w:pPr>
            <w:r>
              <w:rPr>
                <w:rFonts w:ascii="Verdana" w:hAnsi="Verdana"/>
                <w:sz w:val="18"/>
                <w:szCs w:val="18"/>
              </w:rPr>
              <w:t>-0.5</w:t>
            </w:r>
          </w:p>
        </w:tc>
      </w:tr>
      <w:tr w:rsidR="00EF49BD" w:rsidTr="00BD3526" w14:paraId="495D8EC5" w14:textId="77777777">
        <w:tc>
          <w:tcPr>
            <w:tcW w:w="1288" w:type="dxa"/>
          </w:tcPr>
          <w:p w:rsidRPr="001C36CD" w:rsidR="00EF49BD" w:rsidP="00BD3526" w:rsidRDefault="00EF49BD" w14:paraId="3731FE3C" w14:textId="77777777">
            <w:pPr>
              <w:rPr>
                <w:rFonts w:ascii="Verdana" w:hAnsi="Verdana"/>
                <w:sz w:val="18"/>
                <w:szCs w:val="18"/>
              </w:rPr>
            </w:pPr>
            <w:r>
              <w:rPr>
                <w:rFonts w:ascii="Verdana" w:hAnsi="Verdana"/>
                <w:sz w:val="18"/>
                <w:szCs w:val="18"/>
              </w:rPr>
              <w:t>Kippenvlees</w:t>
            </w:r>
          </w:p>
        </w:tc>
        <w:tc>
          <w:tcPr>
            <w:tcW w:w="1288" w:type="dxa"/>
          </w:tcPr>
          <w:p w:rsidRPr="001C36CD" w:rsidR="00EF49BD" w:rsidP="00BD3526" w:rsidRDefault="00EF49BD" w14:paraId="13F306F0" w14:textId="77777777">
            <w:pPr>
              <w:jc w:val="right"/>
              <w:rPr>
                <w:rFonts w:ascii="Verdana" w:hAnsi="Verdana"/>
                <w:sz w:val="18"/>
                <w:szCs w:val="18"/>
                <w:lang w:val="en-US"/>
              </w:rPr>
            </w:pPr>
            <w:r>
              <w:rPr>
                <w:rFonts w:ascii="Verdana" w:hAnsi="Verdana"/>
                <w:sz w:val="18"/>
                <w:szCs w:val="18"/>
                <w:lang w:val="en-US"/>
              </w:rPr>
              <w:t>0</w:t>
            </w:r>
          </w:p>
        </w:tc>
        <w:tc>
          <w:tcPr>
            <w:tcW w:w="1288" w:type="dxa"/>
          </w:tcPr>
          <w:p w:rsidRPr="001C36CD" w:rsidR="00EF49BD" w:rsidP="00BD3526" w:rsidRDefault="00EF49BD" w14:paraId="6D5DCF12" w14:textId="77777777">
            <w:pPr>
              <w:jc w:val="right"/>
              <w:rPr>
                <w:rFonts w:ascii="Verdana" w:hAnsi="Verdana"/>
                <w:sz w:val="18"/>
                <w:szCs w:val="18"/>
              </w:rPr>
            </w:pPr>
            <w:r>
              <w:rPr>
                <w:rFonts w:ascii="Verdana" w:hAnsi="Verdana"/>
                <w:sz w:val="18"/>
                <w:szCs w:val="18"/>
              </w:rPr>
              <w:t>0</w:t>
            </w:r>
          </w:p>
        </w:tc>
        <w:tc>
          <w:tcPr>
            <w:tcW w:w="1288" w:type="dxa"/>
          </w:tcPr>
          <w:p w:rsidRPr="001C36CD" w:rsidR="00EF49BD" w:rsidP="00BD3526" w:rsidRDefault="00EF49BD" w14:paraId="42DDD3FC" w14:textId="77777777">
            <w:pPr>
              <w:jc w:val="right"/>
              <w:rPr>
                <w:rFonts w:ascii="Verdana" w:hAnsi="Verdana"/>
                <w:sz w:val="18"/>
                <w:szCs w:val="18"/>
              </w:rPr>
            </w:pPr>
            <w:r>
              <w:rPr>
                <w:rFonts w:ascii="Verdana" w:hAnsi="Verdana"/>
                <w:sz w:val="18"/>
                <w:szCs w:val="18"/>
              </w:rPr>
              <w:t>0</w:t>
            </w:r>
          </w:p>
        </w:tc>
        <w:tc>
          <w:tcPr>
            <w:tcW w:w="1288" w:type="dxa"/>
          </w:tcPr>
          <w:p w:rsidRPr="001C36CD" w:rsidR="00EF49BD" w:rsidP="00BD3526" w:rsidRDefault="00EF49BD" w14:paraId="531A3A7F" w14:textId="77777777">
            <w:pPr>
              <w:jc w:val="right"/>
              <w:rPr>
                <w:rFonts w:ascii="Verdana" w:hAnsi="Verdana"/>
                <w:sz w:val="18"/>
                <w:szCs w:val="18"/>
              </w:rPr>
            </w:pPr>
            <w:r>
              <w:rPr>
                <w:rFonts w:ascii="Verdana" w:hAnsi="Verdana"/>
                <w:sz w:val="18"/>
                <w:szCs w:val="18"/>
              </w:rPr>
              <w:t>0.1</w:t>
            </w:r>
          </w:p>
        </w:tc>
        <w:tc>
          <w:tcPr>
            <w:tcW w:w="1288" w:type="dxa"/>
          </w:tcPr>
          <w:p w:rsidRPr="001C36CD" w:rsidR="00EF49BD" w:rsidP="00BD3526" w:rsidRDefault="00EF49BD" w14:paraId="3042ECB5" w14:textId="77777777">
            <w:pPr>
              <w:jc w:val="right"/>
              <w:rPr>
                <w:rFonts w:ascii="Verdana" w:hAnsi="Verdana"/>
                <w:sz w:val="18"/>
                <w:szCs w:val="18"/>
              </w:rPr>
            </w:pPr>
            <w:r>
              <w:rPr>
                <w:rFonts w:ascii="Verdana" w:hAnsi="Verdana"/>
                <w:sz w:val="18"/>
                <w:szCs w:val="18"/>
              </w:rPr>
              <w:t>0</w:t>
            </w:r>
          </w:p>
        </w:tc>
        <w:tc>
          <w:tcPr>
            <w:tcW w:w="1288" w:type="dxa"/>
          </w:tcPr>
          <w:p w:rsidRPr="001C36CD" w:rsidR="00EF49BD" w:rsidP="00BD3526" w:rsidRDefault="00EF49BD" w14:paraId="127FBC0A" w14:textId="77777777">
            <w:pPr>
              <w:jc w:val="right"/>
              <w:rPr>
                <w:rFonts w:ascii="Verdana" w:hAnsi="Verdana"/>
                <w:sz w:val="18"/>
                <w:szCs w:val="18"/>
              </w:rPr>
            </w:pPr>
            <w:r>
              <w:rPr>
                <w:rFonts w:ascii="Verdana" w:hAnsi="Verdana"/>
                <w:sz w:val="18"/>
                <w:szCs w:val="18"/>
              </w:rPr>
              <w:t>0.1</w:t>
            </w:r>
          </w:p>
        </w:tc>
      </w:tr>
    </w:tbl>
    <w:p w:rsidR="226DC786" w:rsidP="226DC786" w:rsidRDefault="226DC786" w14:paraId="3AC23409" w14:textId="77777777">
      <w:pPr>
        <w:spacing w:after="0"/>
      </w:pPr>
    </w:p>
    <w:p w:rsidRPr="006F3FF7" w:rsidR="00A57CE8" w:rsidP="00A57CE8" w:rsidRDefault="00A57CE8" w14:paraId="5987E065" w14:textId="77777777">
      <w:pPr>
        <w:spacing w:after="0"/>
        <w:rPr>
          <w:rFonts w:ascii="Verdana" w:hAnsi="Verdana"/>
          <w:sz w:val="18"/>
          <w:szCs w:val="18"/>
        </w:rPr>
      </w:pPr>
      <w:r w:rsidRPr="006F3FF7">
        <w:rPr>
          <w:rFonts w:ascii="Verdana" w:hAnsi="Verdana"/>
          <w:b/>
          <w:sz w:val="18"/>
          <w:szCs w:val="18"/>
        </w:rPr>
        <w:t xml:space="preserve">Vraag 23 </w:t>
      </w:r>
    </w:p>
    <w:p w:rsidRPr="006F3FF7" w:rsidR="00A57CE8" w:rsidP="00A57CE8" w:rsidRDefault="007367FC" w14:paraId="4CB8672B" w14:textId="77777777">
      <w:pPr>
        <w:spacing w:after="0"/>
        <w:rPr>
          <w:rFonts w:ascii="Verdana" w:hAnsi="Verdana"/>
          <w:sz w:val="18"/>
          <w:szCs w:val="18"/>
        </w:rPr>
      </w:pPr>
      <w:r w:rsidRPr="006F3FF7">
        <w:rPr>
          <w:rFonts w:ascii="Verdana" w:hAnsi="Verdana"/>
          <w:sz w:val="18"/>
          <w:szCs w:val="18"/>
        </w:rPr>
        <w:t>Een vergelijking tussen de grote (omvang) van de stallen van veehouders in Canada en Nederland.</w:t>
      </w:r>
      <w:r w:rsidRPr="006F3FF7" w:rsidR="00A57CE8">
        <w:rPr>
          <w:rFonts w:ascii="Verdana" w:hAnsi="Verdana"/>
          <w:sz w:val="18"/>
          <w:szCs w:val="18"/>
        </w:rPr>
        <w:t xml:space="preserve"> </w:t>
      </w:r>
    </w:p>
    <w:p w:rsidRPr="006F3FF7" w:rsidR="00A57CE8" w:rsidP="00A57CE8" w:rsidRDefault="00A57CE8" w14:paraId="595ACCB6" w14:textId="77777777">
      <w:pPr>
        <w:spacing w:after="0"/>
        <w:rPr>
          <w:rFonts w:ascii="Verdana" w:hAnsi="Verdana"/>
          <w:sz w:val="18"/>
          <w:szCs w:val="18"/>
        </w:rPr>
      </w:pPr>
    </w:p>
    <w:p w:rsidRPr="006F3FF7" w:rsidR="00A57CE8" w:rsidP="00A57CE8" w:rsidRDefault="00A57CE8" w14:paraId="0B6C5822" w14:textId="77777777">
      <w:pPr>
        <w:spacing w:after="0"/>
        <w:rPr>
          <w:rFonts w:ascii="Verdana" w:hAnsi="Verdana"/>
          <w:b/>
          <w:sz w:val="18"/>
          <w:szCs w:val="18"/>
        </w:rPr>
      </w:pPr>
      <w:r w:rsidRPr="006F3FF7">
        <w:rPr>
          <w:rFonts w:ascii="Verdana" w:hAnsi="Verdana"/>
          <w:b/>
          <w:sz w:val="18"/>
          <w:szCs w:val="18"/>
        </w:rPr>
        <w:t>Antwoord</w:t>
      </w:r>
    </w:p>
    <w:p w:rsidRPr="006F3FF7" w:rsidR="006F3FF7" w:rsidP="006F3FF7" w:rsidRDefault="00501198" w14:paraId="567DC70C" w14:textId="77777777">
      <w:pPr>
        <w:spacing w:after="0"/>
        <w:rPr>
          <w:rFonts w:ascii="Verdana" w:hAnsi="Verdana"/>
          <w:sz w:val="18"/>
          <w:szCs w:val="18"/>
        </w:rPr>
      </w:pPr>
      <w:r>
        <w:rPr>
          <w:rFonts w:ascii="Verdana" w:hAnsi="Verdana"/>
          <w:sz w:val="18"/>
          <w:szCs w:val="18"/>
        </w:rPr>
        <w:t xml:space="preserve">In de veehouderij bestaat een grote variatie aan productiesystemen, zowel in Nederland als in Canada. </w:t>
      </w:r>
      <w:r w:rsidR="00A1193C">
        <w:rPr>
          <w:rFonts w:ascii="Verdana" w:hAnsi="Verdana"/>
          <w:sz w:val="18"/>
          <w:szCs w:val="18"/>
        </w:rPr>
        <w:t>De grootte</w:t>
      </w:r>
      <w:r>
        <w:rPr>
          <w:rFonts w:ascii="Verdana" w:hAnsi="Verdana"/>
          <w:sz w:val="18"/>
          <w:szCs w:val="18"/>
        </w:rPr>
        <w:t>, dan wel de</w:t>
      </w:r>
      <w:r w:rsidR="00A1193C">
        <w:rPr>
          <w:rFonts w:ascii="Verdana" w:hAnsi="Verdana"/>
          <w:sz w:val="18"/>
          <w:szCs w:val="18"/>
        </w:rPr>
        <w:t xml:space="preserve"> omvang van een stal hangt af van het te houden dier, </w:t>
      </w:r>
      <w:r>
        <w:rPr>
          <w:rFonts w:ascii="Verdana" w:hAnsi="Verdana"/>
          <w:sz w:val="18"/>
          <w:szCs w:val="18"/>
        </w:rPr>
        <w:t xml:space="preserve">het aantal dieren, </w:t>
      </w:r>
      <w:r w:rsidR="00A1193C">
        <w:rPr>
          <w:rFonts w:ascii="Verdana" w:hAnsi="Verdana"/>
          <w:sz w:val="18"/>
          <w:szCs w:val="18"/>
        </w:rPr>
        <w:t xml:space="preserve">de wijze van veehouderij, de wijze van voeding, lokale klimatologische omstandigheden, gebruik van buitenruimte en gebruikte statistische aannames. Een </w:t>
      </w:r>
      <w:r>
        <w:rPr>
          <w:rFonts w:ascii="Verdana" w:hAnsi="Verdana"/>
          <w:sz w:val="18"/>
          <w:szCs w:val="18"/>
        </w:rPr>
        <w:t>directe</w:t>
      </w:r>
      <w:r w:rsidR="00A1193C">
        <w:rPr>
          <w:rFonts w:ascii="Verdana" w:hAnsi="Verdana"/>
          <w:sz w:val="18"/>
          <w:szCs w:val="18"/>
        </w:rPr>
        <w:t xml:space="preserve"> vergelijking is daarmee niet op een onderbouwde manier te maken. </w:t>
      </w:r>
    </w:p>
    <w:p w:rsidRPr="006F3FF7" w:rsidR="00A57CE8" w:rsidP="00A57CE8" w:rsidRDefault="00A57CE8" w14:paraId="324A0821" w14:textId="77777777">
      <w:pPr>
        <w:spacing w:after="0"/>
        <w:rPr>
          <w:rFonts w:ascii="Verdana" w:hAnsi="Verdana"/>
          <w:b/>
          <w:sz w:val="18"/>
          <w:szCs w:val="18"/>
        </w:rPr>
      </w:pPr>
    </w:p>
    <w:p w:rsidRPr="006F3FF7" w:rsidR="007367FC" w:rsidP="00A57CE8" w:rsidRDefault="00A57CE8" w14:paraId="5D269BA0" w14:textId="77777777">
      <w:pPr>
        <w:spacing w:after="0"/>
        <w:rPr>
          <w:rFonts w:ascii="Verdana" w:hAnsi="Verdana"/>
          <w:sz w:val="18"/>
          <w:szCs w:val="18"/>
        </w:rPr>
      </w:pPr>
      <w:r w:rsidRPr="006F3FF7">
        <w:rPr>
          <w:rFonts w:ascii="Verdana" w:hAnsi="Verdana"/>
          <w:b/>
          <w:sz w:val="18"/>
          <w:szCs w:val="18"/>
        </w:rPr>
        <w:t>Vraag 24</w:t>
      </w:r>
    </w:p>
    <w:p w:rsidRPr="006F3FF7" w:rsidR="00A57CE8" w:rsidP="00A57CE8" w:rsidRDefault="007367FC" w14:paraId="2D2D2776" w14:textId="77777777">
      <w:pPr>
        <w:spacing w:after="0"/>
        <w:rPr>
          <w:rFonts w:ascii="Verdana" w:hAnsi="Verdana"/>
          <w:sz w:val="18"/>
          <w:szCs w:val="18"/>
        </w:rPr>
      </w:pPr>
      <w:r w:rsidRPr="006F3FF7">
        <w:rPr>
          <w:rFonts w:ascii="Verdana" w:hAnsi="Verdana"/>
          <w:sz w:val="18"/>
          <w:szCs w:val="18"/>
        </w:rPr>
        <w:t>Wie zijn de 10 grootste handelspartners van Canada in de EU?</w:t>
      </w:r>
      <w:r w:rsidRPr="006F3FF7" w:rsidR="00A57CE8">
        <w:rPr>
          <w:rFonts w:ascii="Verdana" w:hAnsi="Verdana"/>
          <w:sz w:val="18"/>
          <w:szCs w:val="18"/>
        </w:rPr>
        <w:t xml:space="preserve"> </w:t>
      </w:r>
    </w:p>
    <w:p w:rsidRPr="006F3FF7" w:rsidR="00A57CE8" w:rsidP="00A57CE8" w:rsidRDefault="00A57CE8" w14:paraId="384FA7A5" w14:textId="77777777">
      <w:pPr>
        <w:spacing w:after="0"/>
        <w:rPr>
          <w:rFonts w:ascii="Verdana" w:hAnsi="Verdana"/>
          <w:sz w:val="18"/>
          <w:szCs w:val="18"/>
        </w:rPr>
      </w:pPr>
    </w:p>
    <w:p w:rsidRPr="006F3FF7" w:rsidR="00A57CE8" w:rsidP="00A57CE8" w:rsidRDefault="00A57CE8" w14:paraId="62DF2D3F" w14:textId="36E26DB3">
      <w:pPr>
        <w:spacing w:after="0"/>
        <w:rPr>
          <w:rFonts w:ascii="Verdana" w:hAnsi="Verdana"/>
          <w:b/>
          <w:sz w:val="18"/>
          <w:szCs w:val="18"/>
        </w:rPr>
      </w:pPr>
      <w:r w:rsidRPr="006F3FF7">
        <w:rPr>
          <w:rFonts w:ascii="Verdana" w:hAnsi="Verdana"/>
          <w:b/>
          <w:sz w:val="18"/>
          <w:szCs w:val="18"/>
        </w:rPr>
        <w:t>Antwoord</w:t>
      </w:r>
    </w:p>
    <w:p w:rsidRPr="006F3FF7" w:rsidR="002330FD" w:rsidP="00A57CE8" w:rsidRDefault="002330FD" w14:paraId="2797360F" w14:textId="77777777">
      <w:pPr>
        <w:spacing w:after="0"/>
        <w:rPr>
          <w:rFonts w:ascii="Verdana" w:hAnsi="Verdana"/>
          <w:b/>
          <w:sz w:val="18"/>
          <w:szCs w:val="18"/>
        </w:rPr>
      </w:pPr>
    </w:p>
    <w:tbl>
      <w:tblPr>
        <w:tblStyle w:val="TableGrid"/>
        <w:tblW w:w="0" w:type="auto"/>
        <w:tblLook w:val="04A0" w:firstRow="1" w:lastRow="0" w:firstColumn="1" w:lastColumn="0" w:noHBand="0" w:noVBand="1"/>
      </w:tblPr>
      <w:tblGrid>
        <w:gridCol w:w="790"/>
        <w:gridCol w:w="3005"/>
      </w:tblGrid>
      <w:tr w:rsidR="009C1442" w:rsidTr="00C84417" w14:paraId="48AC660F" w14:textId="77777777">
        <w:tc>
          <w:tcPr>
            <w:tcW w:w="790" w:type="dxa"/>
          </w:tcPr>
          <w:p w:rsidR="009C1442" w:rsidP="00C84417" w:rsidRDefault="009C1442" w14:paraId="26D7AE98" w14:textId="77777777">
            <w:pPr>
              <w:rPr>
                <w:rFonts w:ascii="Verdana" w:hAnsi="Verdana"/>
                <w:sz w:val="18"/>
                <w:szCs w:val="18"/>
              </w:rPr>
            </w:pPr>
            <w:r>
              <w:rPr>
                <w:rFonts w:ascii="Verdana" w:hAnsi="Verdana"/>
                <w:sz w:val="18"/>
                <w:szCs w:val="18"/>
              </w:rPr>
              <w:t>Rang</w:t>
            </w:r>
          </w:p>
        </w:tc>
        <w:tc>
          <w:tcPr>
            <w:tcW w:w="3005" w:type="dxa"/>
          </w:tcPr>
          <w:p w:rsidR="009C1442" w:rsidP="00C84417" w:rsidRDefault="009C1442" w14:paraId="3B51B57E" w14:textId="77777777">
            <w:pPr>
              <w:rPr>
                <w:rFonts w:ascii="Verdana" w:hAnsi="Verdana"/>
                <w:sz w:val="18"/>
                <w:szCs w:val="18"/>
              </w:rPr>
            </w:pPr>
            <w:r>
              <w:rPr>
                <w:rFonts w:ascii="Verdana" w:hAnsi="Verdana"/>
                <w:sz w:val="18"/>
                <w:szCs w:val="18"/>
              </w:rPr>
              <w:t>Land</w:t>
            </w:r>
          </w:p>
        </w:tc>
      </w:tr>
      <w:tr w:rsidR="009C1442" w:rsidTr="00C84417" w14:paraId="339305A3" w14:textId="77777777">
        <w:tc>
          <w:tcPr>
            <w:tcW w:w="790" w:type="dxa"/>
          </w:tcPr>
          <w:p w:rsidR="009C1442" w:rsidP="00C84417" w:rsidRDefault="009C1442" w14:paraId="18D42BA3" w14:textId="77777777">
            <w:pPr>
              <w:rPr>
                <w:rFonts w:ascii="Verdana" w:hAnsi="Verdana"/>
                <w:sz w:val="18"/>
                <w:szCs w:val="18"/>
              </w:rPr>
            </w:pPr>
            <w:r>
              <w:rPr>
                <w:rFonts w:ascii="Verdana" w:hAnsi="Verdana"/>
                <w:sz w:val="18"/>
                <w:szCs w:val="18"/>
              </w:rPr>
              <w:t>1</w:t>
            </w:r>
          </w:p>
        </w:tc>
        <w:tc>
          <w:tcPr>
            <w:tcW w:w="3005" w:type="dxa"/>
          </w:tcPr>
          <w:p w:rsidR="009C1442" w:rsidP="00C84417" w:rsidRDefault="009C1442" w14:paraId="1E9ACC0E" w14:textId="77777777">
            <w:pPr>
              <w:rPr>
                <w:rFonts w:ascii="Verdana" w:hAnsi="Verdana"/>
                <w:sz w:val="18"/>
                <w:szCs w:val="18"/>
              </w:rPr>
            </w:pPr>
            <w:r>
              <w:rPr>
                <w:rFonts w:ascii="Verdana" w:hAnsi="Verdana"/>
                <w:sz w:val="18"/>
                <w:szCs w:val="18"/>
              </w:rPr>
              <w:t>Verenigd Koninkrijk</w:t>
            </w:r>
          </w:p>
        </w:tc>
      </w:tr>
      <w:tr w:rsidR="009C1442" w:rsidTr="00C84417" w14:paraId="0C15D517" w14:textId="77777777">
        <w:tc>
          <w:tcPr>
            <w:tcW w:w="790" w:type="dxa"/>
          </w:tcPr>
          <w:p w:rsidR="009C1442" w:rsidP="00C84417" w:rsidRDefault="009C1442" w14:paraId="2A4BFBCF" w14:textId="77777777">
            <w:pPr>
              <w:rPr>
                <w:rFonts w:ascii="Verdana" w:hAnsi="Verdana"/>
                <w:sz w:val="18"/>
                <w:szCs w:val="18"/>
              </w:rPr>
            </w:pPr>
            <w:r>
              <w:rPr>
                <w:rFonts w:ascii="Verdana" w:hAnsi="Verdana"/>
                <w:sz w:val="18"/>
                <w:szCs w:val="18"/>
              </w:rPr>
              <w:t>2</w:t>
            </w:r>
          </w:p>
        </w:tc>
        <w:tc>
          <w:tcPr>
            <w:tcW w:w="3005" w:type="dxa"/>
          </w:tcPr>
          <w:p w:rsidR="009C1442" w:rsidP="00C84417" w:rsidRDefault="009C1442" w14:paraId="4007F384" w14:textId="77777777">
            <w:pPr>
              <w:rPr>
                <w:rFonts w:ascii="Verdana" w:hAnsi="Verdana"/>
                <w:sz w:val="18"/>
                <w:szCs w:val="18"/>
              </w:rPr>
            </w:pPr>
            <w:r>
              <w:rPr>
                <w:rFonts w:ascii="Verdana" w:hAnsi="Verdana"/>
                <w:sz w:val="18"/>
                <w:szCs w:val="18"/>
              </w:rPr>
              <w:t>Duitsland</w:t>
            </w:r>
          </w:p>
        </w:tc>
      </w:tr>
      <w:tr w:rsidR="009C1442" w:rsidTr="00C84417" w14:paraId="3063FA3D" w14:textId="77777777">
        <w:tc>
          <w:tcPr>
            <w:tcW w:w="790" w:type="dxa"/>
          </w:tcPr>
          <w:p w:rsidR="009C1442" w:rsidP="00C84417" w:rsidRDefault="009C1442" w14:paraId="3C9C876E" w14:textId="77777777">
            <w:pPr>
              <w:rPr>
                <w:rFonts w:ascii="Verdana" w:hAnsi="Verdana"/>
                <w:sz w:val="18"/>
                <w:szCs w:val="18"/>
              </w:rPr>
            </w:pPr>
            <w:r>
              <w:rPr>
                <w:rFonts w:ascii="Verdana" w:hAnsi="Verdana"/>
                <w:sz w:val="18"/>
                <w:szCs w:val="18"/>
              </w:rPr>
              <w:t>3</w:t>
            </w:r>
          </w:p>
        </w:tc>
        <w:tc>
          <w:tcPr>
            <w:tcW w:w="3005" w:type="dxa"/>
          </w:tcPr>
          <w:p w:rsidR="009C1442" w:rsidP="00C84417" w:rsidRDefault="009C1442" w14:paraId="5C046A04" w14:textId="77777777">
            <w:pPr>
              <w:rPr>
                <w:rFonts w:ascii="Verdana" w:hAnsi="Verdana"/>
                <w:sz w:val="18"/>
                <w:szCs w:val="18"/>
              </w:rPr>
            </w:pPr>
            <w:r>
              <w:rPr>
                <w:rFonts w:ascii="Verdana" w:hAnsi="Verdana"/>
                <w:sz w:val="18"/>
                <w:szCs w:val="18"/>
              </w:rPr>
              <w:t>Nederland</w:t>
            </w:r>
          </w:p>
        </w:tc>
      </w:tr>
      <w:tr w:rsidR="009C1442" w:rsidTr="00C84417" w14:paraId="6A414B72" w14:textId="77777777">
        <w:tc>
          <w:tcPr>
            <w:tcW w:w="790" w:type="dxa"/>
          </w:tcPr>
          <w:p w:rsidR="009C1442" w:rsidP="00C84417" w:rsidRDefault="009C1442" w14:paraId="0683C763" w14:textId="77777777">
            <w:pPr>
              <w:rPr>
                <w:rFonts w:ascii="Verdana" w:hAnsi="Verdana"/>
                <w:sz w:val="18"/>
                <w:szCs w:val="18"/>
              </w:rPr>
            </w:pPr>
            <w:r>
              <w:rPr>
                <w:rFonts w:ascii="Verdana" w:hAnsi="Verdana"/>
                <w:sz w:val="18"/>
                <w:szCs w:val="18"/>
              </w:rPr>
              <w:t>4</w:t>
            </w:r>
          </w:p>
        </w:tc>
        <w:tc>
          <w:tcPr>
            <w:tcW w:w="3005" w:type="dxa"/>
          </w:tcPr>
          <w:p w:rsidR="009C1442" w:rsidP="00C84417" w:rsidRDefault="009C1442" w14:paraId="0884D08C" w14:textId="77777777">
            <w:pPr>
              <w:rPr>
                <w:rFonts w:ascii="Verdana" w:hAnsi="Verdana"/>
                <w:sz w:val="18"/>
                <w:szCs w:val="18"/>
              </w:rPr>
            </w:pPr>
            <w:r>
              <w:rPr>
                <w:rFonts w:ascii="Verdana" w:hAnsi="Verdana"/>
                <w:sz w:val="18"/>
                <w:szCs w:val="18"/>
              </w:rPr>
              <w:t>België</w:t>
            </w:r>
          </w:p>
        </w:tc>
      </w:tr>
      <w:tr w:rsidR="009C1442" w:rsidTr="00C84417" w14:paraId="0C3376C4" w14:textId="77777777">
        <w:tc>
          <w:tcPr>
            <w:tcW w:w="790" w:type="dxa"/>
          </w:tcPr>
          <w:p w:rsidR="009C1442" w:rsidP="00C84417" w:rsidRDefault="009C1442" w14:paraId="65F84448" w14:textId="77777777">
            <w:pPr>
              <w:rPr>
                <w:rFonts w:ascii="Verdana" w:hAnsi="Verdana"/>
                <w:sz w:val="18"/>
                <w:szCs w:val="18"/>
              </w:rPr>
            </w:pPr>
            <w:r>
              <w:rPr>
                <w:rFonts w:ascii="Verdana" w:hAnsi="Verdana"/>
                <w:sz w:val="18"/>
                <w:szCs w:val="18"/>
              </w:rPr>
              <w:t>5</w:t>
            </w:r>
          </w:p>
        </w:tc>
        <w:tc>
          <w:tcPr>
            <w:tcW w:w="3005" w:type="dxa"/>
          </w:tcPr>
          <w:p w:rsidR="009C1442" w:rsidP="00C84417" w:rsidRDefault="009C1442" w14:paraId="00605F44" w14:textId="77777777">
            <w:pPr>
              <w:rPr>
                <w:rFonts w:ascii="Verdana" w:hAnsi="Verdana"/>
                <w:sz w:val="18"/>
                <w:szCs w:val="18"/>
              </w:rPr>
            </w:pPr>
            <w:r>
              <w:rPr>
                <w:rFonts w:ascii="Verdana" w:hAnsi="Verdana"/>
                <w:sz w:val="18"/>
                <w:szCs w:val="18"/>
              </w:rPr>
              <w:t>Frankrijk</w:t>
            </w:r>
          </w:p>
        </w:tc>
      </w:tr>
      <w:tr w:rsidR="009C1442" w:rsidTr="00C84417" w14:paraId="1EDCE4DF" w14:textId="77777777">
        <w:tc>
          <w:tcPr>
            <w:tcW w:w="790" w:type="dxa"/>
          </w:tcPr>
          <w:p w:rsidR="009C1442" w:rsidP="00C84417" w:rsidRDefault="009C1442" w14:paraId="2D60067C" w14:textId="77777777">
            <w:pPr>
              <w:rPr>
                <w:rFonts w:ascii="Verdana" w:hAnsi="Verdana"/>
                <w:sz w:val="18"/>
                <w:szCs w:val="18"/>
              </w:rPr>
            </w:pPr>
            <w:r>
              <w:rPr>
                <w:rFonts w:ascii="Verdana" w:hAnsi="Verdana"/>
                <w:sz w:val="18"/>
                <w:szCs w:val="18"/>
              </w:rPr>
              <w:lastRenderedPageBreak/>
              <w:t>6</w:t>
            </w:r>
          </w:p>
        </w:tc>
        <w:tc>
          <w:tcPr>
            <w:tcW w:w="3005" w:type="dxa"/>
          </w:tcPr>
          <w:p w:rsidR="009C1442" w:rsidP="00C84417" w:rsidRDefault="009C1442" w14:paraId="57E59DA0" w14:textId="77777777">
            <w:pPr>
              <w:rPr>
                <w:rFonts w:ascii="Verdana" w:hAnsi="Verdana"/>
                <w:sz w:val="18"/>
                <w:szCs w:val="18"/>
              </w:rPr>
            </w:pPr>
            <w:r>
              <w:rPr>
                <w:rFonts w:ascii="Verdana" w:hAnsi="Verdana"/>
                <w:sz w:val="18"/>
                <w:szCs w:val="18"/>
              </w:rPr>
              <w:t>Italië</w:t>
            </w:r>
          </w:p>
        </w:tc>
      </w:tr>
      <w:tr w:rsidR="009C1442" w:rsidTr="00C84417" w14:paraId="03C9C6C4" w14:textId="77777777">
        <w:tc>
          <w:tcPr>
            <w:tcW w:w="790" w:type="dxa"/>
          </w:tcPr>
          <w:p w:rsidR="009C1442" w:rsidP="00C84417" w:rsidRDefault="009C1442" w14:paraId="1B4503CC" w14:textId="77777777">
            <w:pPr>
              <w:rPr>
                <w:rFonts w:ascii="Verdana" w:hAnsi="Verdana"/>
                <w:sz w:val="18"/>
                <w:szCs w:val="18"/>
              </w:rPr>
            </w:pPr>
            <w:r>
              <w:rPr>
                <w:rFonts w:ascii="Verdana" w:hAnsi="Verdana"/>
                <w:sz w:val="18"/>
                <w:szCs w:val="18"/>
              </w:rPr>
              <w:t>7</w:t>
            </w:r>
          </w:p>
        </w:tc>
        <w:tc>
          <w:tcPr>
            <w:tcW w:w="3005" w:type="dxa"/>
          </w:tcPr>
          <w:p w:rsidR="009C1442" w:rsidP="00C84417" w:rsidRDefault="009C1442" w14:paraId="41AF7935" w14:textId="77777777">
            <w:pPr>
              <w:rPr>
                <w:rFonts w:ascii="Verdana" w:hAnsi="Verdana"/>
                <w:sz w:val="18"/>
                <w:szCs w:val="18"/>
              </w:rPr>
            </w:pPr>
            <w:r>
              <w:rPr>
                <w:rFonts w:ascii="Verdana" w:hAnsi="Verdana"/>
                <w:sz w:val="18"/>
                <w:szCs w:val="18"/>
              </w:rPr>
              <w:t>Spanje</w:t>
            </w:r>
          </w:p>
        </w:tc>
      </w:tr>
      <w:tr w:rsidR="009C1442" w:rsidTr="00C84417" w14:paraId="20809E44" w14:textId="77777777">
        <w:tc>
          <w:tcPr>
            <w:tcW w:w="790" w:type="dxa"/>
          </w:tcPr>
          <w:p w:rsidR="009C1442" w:rsidP="00C84417" w:rsidRDefault="009C1442" w14:paraId="6EDAFEE1" w14:textId="77777777">
            <w:pPr>
              <w:rPr>
                <w:rFonts w:ascii="Verdana" w:hAnsi="Verdana"/>
                <w:sz w:val="18"/>
                <w:szCs w:val="18"/>
              </w:rPr>
            </w:pPr>
            <w:r>
              <w:rPr>
                <w:rFonts w:ascii="Verdana" w:hAnsi="Verdana"/>
                <w:sz w:val="18"/>
                <w:szCs w:val="18"/>
              </w:rPr>
              <w:t>8</w:t>
            </w:r>
          </w:p>
        </w:tc>
        <w:tc>
          <w:tcPr>
            <w:tcW w:w="3005" w:type="dxa"/>
          </w:tcPr>
          <w:p w:rsidR="009C1442" w:rsidP="00C84417" w:rsidRDefault="009C1442" w14:paraId="6270E7FC" w14:textId="77777777">
            <w:pPr>
              <w:rPr>
                <w:rFonts w:ascii="Verdana" w:hAnsi="Verdana"/>
                <w:sz w:val="18"/>
                <w:szCs w:val="18"/>
              </w:rPr>
            </w:pPr>
            <w:r>
              <w:rPr>
                <w:rFonts w:ascii="Verdana" w:hAnsi="Verdana"/>
                <w:sz w:val="18"/>
                <w:szCs w:val="18"/>
              </w:rPr>
              <w:t>Ierland</w:t>
            </w:r>
          </w:p>
        </w:tc>
      </w:tr>
      <w:tr w:rsidR="009C1442" w:rsidTr="00C84417" w14:paraId="33E1B8BE" w14:textId="77777777">
        <w:tc>
          <w:tcPr>
            <w:tcW w:w="790" w:type="dxa"/>
          </w:tcPr>
          <w:p w:rsidR="009C1442" w:rsidP="00C84417" w:rsidRDefault="009C1442" w14:paraId="014469E1" w14:textId="77777777">
            <w:pPr>
              <w:rPr>
                <w:rFonts w:ascii="Verdana" w:hAnsi="Verdana"/>
                <w:sz w:val="18"/>
                <w:szCs w:val="18"/>
              </w:rPr>
            </w:pPr>
            <w:r>
              <w:rPr>
                <w:rFonts w:ascii="Verdana" w:hAnsi="Verdana"/>
                <w:sz w:val="18"/>
                <w:szCs w:val="18"/>
              </w:rPr>
              <w:t>9</w:t>
            </w:r>
          </w:p>
        </w:tc>
        <w:tc>
          <w:tcPr>
            <w:tcW w:w="3005" w:type="dxa"/>
          </w:tcPr>
          <w:p w:rsidR="009C1442" w:rsidP="00C84417" w:rsidRDefault="009C1442" w14:paraId="389E81AE" w14:textId="77777777">
            <w:pPr>
              <w:rPr>
                <w:rFonts w:ascii="Verdana" w:hAnsi="Verdana"/>
                <w:sz w:val="18"/>
                <w:szCs w:val="18"/>
              </w:rPr>
            </w:pPr>
            <w:r>
              <w:rPr>
                <w:rFonts w:ascii="Verdana" w:hAnsi="Verdana"/>
                <w:sz w:val="18"/>
                <w:szCs w:val="18"/>
              </w:rPr>
              <w:t>Polen</w:t>
            </w:r>
          </w:p>
        </w:tc>
      </w:tr>
      <w:tr w:rsidR="009C1442" w:rsidTr="00C84417" w14:paraId="5260405C" w14:textId="77777777">
        <w:tc>
          <w:tcPr>
            <w:tcW w:w="790" w:type="dxa"/>
          </w:tcPr>
          <w:p w:rsidR="009C1442" w:rsidP="00C84417" w:rsidRDefault="009C1442" w14:paraId="75792FBB" w14:textId="77777777">
            <w:pPr>
              <w:rPr>
                <w:rFonts w:ascii="Verdana" w:hAnsi="Verdana"/>
                <w:sz w:val="18"/>
                <w:szCs w:val="18"/>
              </w:rPr>
            </w:pPr>
            <w:r>
              <w:rPr>
                <w:rFonts w:ascii="Verdana" w:hAnsi="Verdana"/>
                <w:sz w:val="18"/>
                <w:szCs w:val="18"/>
              </w:rPr>
              <w:t>10</w:t>
            </w:r>
          </w:p>
        </w:tc>
        <w:tc>
          <w:tcPr>
            <w:tcW w:w="3005" w:type="dxa"/>
          </w:tcPr>
          <w:p w:rsidR="009C1442" w:rsidP="00C84417" w:rsidRDefault="009C1442" w14:paraId="4529098D" w14:textId="77777777">
            <w:pPr>
              <w:rPr>
                <w:rFonts w:ascii="Verdana" w:hAnsi="Verdana"/>
                <w:sz w:val="18"/>
                <w:szCs w:val="18"/>
              </w:rPr>
            </w:pPr>
            <w:r>
              <w:rPr>
                <w:rFonts w:ascii="Verdana" w:hAnsi="Verdana"/>
                <w:sz w:val="18"/>
                <w:szCs w:val="18"/>
              </w:rPr>
              <w:t>Zweden</w:t>
            </w:r>
          </w:p>
        </w:tc>
      </w:tr>
    </w:tbl>
    <w:p w:rsidRPr="001C36CD" w:rsidR="009C1442" w:rsidP="009C1442" w:rsidRDefault="009C1442" w14:paraId="5191F6F7" w14:textId="77777777">
      <w:pPr>
        <w:rPr>
          <w:rFonts w:ascii="Verdana" w:hAnsi="Verdana"/>
          <w:sz w:val="18"/>
          <w:szCs w:val="18"/>
        </w:rPr>
      </w:pPr>
      <w:r>
        <w:rPr>
          <w:rFonts w:ascii="Verdana" w:hAnsi="Verdana"/>
          <w:sz w:val="18"/>
          <w:szCs w:val="18"/>
        </w:rPr>
        <w:t xml:space="preserve">Bron: </w:t>
      </w:r>
      <w:proofErr w:type="spellStart"/>
      <w:r>
        <w:rPr>
          <w:rFonts w:ascii="Verdana" w:hAnsi="Verdana"/>
          <w:sz w:val="18"/>
          <w:szCs w:val="18"/>
        </w:rPr>
        <w:t>Eurostat</w:t>
      </w:r>
      <w:proofErr w:type="spellEnd"/>
    </w:p>
    <w:p w:rsidRPr="006F3FF7" w:rsidR="00A57CE8" w:rsidP="00A57CE8" w:rsidRDefault="00A57CE8" w14:paraId="3E7C3CB9" w14:textId="77777777">
      <w:pPr>
        <w:spacing w:after="0"/>
        <w:rPr>
          <w:rFonts w:ascii="Verdana" w:hAnsi="Verdana"/>
          <w:b/>
          <w:sz w:val="18"/>
          <w:szCs w:val="18"/>
        </w:rPr>
      </w:pPr>
    </w:p>
    <w:p w:rsidRPr="006F3FF7" w:rsidR="00A57CE8" w:rsidP="00A57CE8" w:rsidRDefault="00A57CE8" w14:paraId="3F32693D" w14:textId="77777777">
      <w:pPr>
        <w:spacing w:after="0"/>
        <w:rPr>
          <w:rFonts w:ascii="Verdana" w:hAnsi="Verdana"/>
          <w:b/>
          <w:sz w:val="18"/>
          <w:szCs w:val="18"/>
        </w:rPr>
      </w:pPr>
      <w:r w:rsidRPr="006F3FF7">
        <w:rPr>
          <w:rFonts w:ascii="Verdana" w:hAnsi="Verdana"/>
          <w:b/>
          <w:sz w:val="18"/>
          <w:szCs w:val="18"/>
        </w:rPr>
        <w:t>Vraag 25</w:t>
      </w:r>
    </w:p>
    <w:p w:rsidRPr="006F3FF7" w:rsidR="00A57CE8" w:rsidP="00A57CE8" w:rsidRDefault="007367FC" w14:paraId="0BFC0F72" w14:textId="77777777">
      <w:pPr>
        <w:spacing w:after="0"/>
        <w:rPr>
          <w:rFonts w:ascii="Verdana" w:hAnsi="Verdana"/>
          <w:sz w:val="18"/>
          <w:szCs w:val="18"/>
        </w:rPr>
      </w:pPr>
      <w:r w:rsidRPr="006F3FF7">
        <w:rPr>
          <w:rFonts w:ascii="Verdana" w:hAnsi="Verdana"/>
          <w:sz w:val="18"/>
          <w:szCs w:val="18"/>
        </w:rPr>
        <w:t>Opsomming van verdrag</w:t>
      </w:r>
      <w:r w:rsidR="008C4E79">
        <w:rPr>
          <w:rFonts w:ascii="Verdana" w:hAnsi="Verdana"/>
          <w:sz w:val="18"/>
          <w:szCs w:val="18"/>
        </w:rPr>
        <w:t>s</w:t>
      </w:r>
      <w:r w:rsidRPr="006F3FF7">
        <w:rPr>
          <w:rFonts w:ascii="Verdana" w:hAnsi="Verdana"/>
          <w:sz w:val="18"/>
          <w:szCs w:val="18"/>
        </w:rPr>
        <w:t>teksten uit CETA verdrag waar duurzaamheids-, welzijns-, sociale afspraken staan?</w:t>
      </w:r>
      <w:r w:rsidRPr="006F3FF7" w:rsidR="00A57CE8">
        <w:rPr>
          <w:rFonts w:ascii="Verdana" w:hAnsi="Verdana"/>
          <w:sz w:val="18"/>
          <w:szCs w:val="18"/>
        </w:rPr>
        <w:t xml:space="preserve"> </w:t>
      </w:r>
    </w:p>
    <w:p w:rsidRPr="006F3FF7" w:rsidR="00A57CE8" w:rsidP="00A57CE8" w:rsidRDefault="00A57CE8" w14:paraId="5FE94A6D" w14:textId="77777777">
      <w:pPr>
        <w:spacing w:after="0"/>
        <w:rPr>
          <w:rFonts w:ascii="Verdana" w:hAnsi="Verdana"/>
          <w:sz w:val="18"/>
          <w:szCs w:val="18"/>
        </w:rPr>
      </w:pPr>
    </w:p>
    <w:p w:rsidR="00F777E3" w:rsidP="00CE6E86" w:rsidRDefault="00A57CE8" w14:paraId="09A425AF" w14:textId="743E9294">
      <w:pPr>
        <w:spacing w:after="0"/>
        <w:rPr>
          <w:rFonts w:ascii="Verdana" w:hAnsi="Verdana"/>
          <w:sz w:val="18"/>
          <w:szCs w:val="18"/>
        </w:rPr>
      </w:pPr>
      <w:r w:rsidRPr="006F3FF7">
        <w:rPr>
          <w:rFonts w:ascii="Verdana" w:hAnsi="Verdana"/>
          <w:b/>
          <w:sz w:val="18"/>
          <w:szCs w:val="18"/>
        </w:rPr>
        <w:t>Antwoord</w:t>
      </w:r>
    </w:p>
    <w:p w:rsidRPr="006F3FF7" w:rsidR="00CE6E86" w:rsidP="00CE6E86" w:rsidRDefault="00CE6E86" w14:paraId="79464E63" w14:textId="45480DF2">
      <w:pPr>
        <w:spacing w:after="0"/>
        <w:rPr>
          <w:rFonts w:ascii="Verdana" w:hAnsi="Verdana"/>
          <w:sz w:val="18"/>
          <w:szCs w:val="18"/>
        </w:rPr>
      </w:pPr>
      <w:r>
        <w:rPr>
          <w:rFonts w:ascii="Verdana" w:hAnsi="Verdana"/>
          <w:sz w:val="18"/>
          <w:szCs w:val="18"/>
        </w:rPr>
        <w:t>In hoofdstuk</w:t>
      </w:r>
      <w:r w:rsidR="007B0AE1">
        <w:rPr>
          <w:rFonts w:ascii="Verdana" w:hAnsi="Verdana"/>
          <w:sz w:val="18"/>
          <w:szCs w:val="18"/>
        </w:rPr>
        <w:t>ken</w:t>
      </w:r>
      <w:r>
        <w:rPr>
          <w:rFonts w:ascii="Verdana" w:hAnsi="Verdana"/>
          <w:sz w:val="18"/>
          <w:szCs w:val="18"/>
        </w:rPr>
        <w:t xml:space="preserve"> 22, 23 en 24 staan verdragsteksten over handel en duurzame ontwikkeling. Hoofdstuk 22 is een inleidend hoofdstuk op de hoofdstukken 23 en 24 die respectievelijk ingaan op arbeidsrechten en milieubescherming. Tevens spreken de EU en Canada in deze hoofdstukken af een Comité inzake handel en duurzame ontwikkeling op te richten, dat zal toezien op de uitvoering van de verplichtingen in deze hoofdstukken. </w:t>
      </w:r>
    </w:p>
    <w:p w:rsidRPr="006F3FF7" w:rsidR="00A57CE8" w:rsidP="00A57CE8" w:rsidRDefault="00A57CE8" w14:paraId="193A256D" w14:textId="77777777">
      <w:pPr>
        <w:spacing w:after="0"/>
        <w:rPr>
          <w:rFonts w:ascii="Verdana" w:hAnsi="Verdana"/>
          <w:b/>
          <w:sz w:val="18"/>
          <w:szCs w:val="18"/>
        </w:rPr>
      </w:pPr>
    </w:p>
    <w:p w:rsidRPr="006F3FF7" w:rsidR="00A57CE8" w:rsidP="00A57CE8" w:rsidRDefault="00A57CE8" w14:paraId="66BA8B01" w14:textId="77777777">
      <w:pPr>
        <w:spacing w:after="0"/>
        <w:rPr>
          <w:rFonts w:ascii="Verdana" w:hAnsi="Verdana"/>
          <w:b/>
          <w:sz w:val="18"/>
          <w:szCs w:val="18"/>
        </w:rPr>
      </w:pPr>
      <w:r w:rsidRPr="006F3FF7">
        <w:rPr>
          <w:rFonts w:ascii="Verdana" w:hAnsi="Verdana"/>
          <w:b/>
          <w:sz w:val="18"/>
          <w:szCs w:val="18"/>
        </w:rPr>
        <w:t>Vraag 26</w:t>
      </w:r>
    </w:p>
    <w:p w:rsidRPr="006F3FF7" w:rsidR="007367FC" w:rsidP="00A57CE8" w:rsidRDefault="007367FC" w14:paraId="1D739F59" w14:textId="77777777">
      <w:pPr>
        <w:spacing w:after="0"/>
        <w:rPr>
          <w:rFonts w:ascii="Verdana" w:hAnsi="Verdana"/>
          <w:sz w:val="18"/>
          <w:szCs w:val="18"/>
        </w:rPr>
      </w:pPr>
      <w:r w:rsidRPr="006F3FF7">
        <w:rPr>
          <w:rFonts w:ascii="Verdana" w:hAnsi="Verdana"/>
          <w:sz w:val="18"/>
          <w:szCs w:val="18"/>
        </w:rPr>
        <w:t>Op welke manier wordt de naleving van het verdrag georganiseerd in Canada, in de EU en in Nederland?</w:t>
      </w:r>
    </w:p>
    <w:p w:rsidRPr="006F3FF7" w:rsidR="00A57CE8" w:rsidP="00A57CE8" w:rsidRDefault="00A57CE8" w14:paraId="77B4E814" w14:textId="77777777">
      <w:pPr>
        <w:spacing w:after="0"/>
        <w:rPr>
          <w:rFonts w:ascii="Verdana" w:hAnsi="Verdana"/>
          <w:sz w:val="18"/>
          <w:szCs w:val="18"/>
        </w:rPr>
      </w:pPr>
    </w:p>
    <w:p w:rsidRPr="00802D81" w:rsidR="006F3FF7" w:rsidP="006F3FF7" w:rsidRDefault="00A57CE8" w14:paraId="738DBEC0" w14:textId="2CC3BCD6">
      <w:pPr>
        <w:spacing w:after="0"/>
        <w:rPr>
          <w:rFonts w:ascii="Verdana" w:hAnsi="Verdana" w:eastAsia="Verdana" w:cs="Verdana"/>
          <w:color w:val="000000" w:themeColor="text1"/>
          <w:sz w:val="18"/>
          <w:szCs w:val="18"/>
        </w:rPr>
      </w:pPr>
      <w:r w:rsidRPr="00802D81">
        <w:rPr>
          <w:rFonts w:ascii="Verdana" w:hAnsi="Verdana"/>
          <w:b/>
          <w:sz w:val="18"/>
          <w:szCs w:val="18"/>
        </w:rPr>
        <w:t>Antwoord</w:t>
      </w:r>
    </w:p>
    <w:p w:rsidR="00F56593" w:rsidP="006F3FF7" w:rsidRDefault="00861ADC" w14:paraId="1FDBBD45" w14:textId="77777777">
      <w:pPr>
        <w:spacing w:after="0"/>
        <w:rPr>
          <w:rFonts w:ascii="Verdana" w:hAnsi="Verdana"/>
          <w:sz w:val="18"/>
          <w:szCs w:val="18"/>
        </w:rPr>
      </w:pPr>
      <w:r w:rsidRPr="006916EC">
        <w:rPr>
          <w:rFonts w:ascii="Verdana" w:hAnsi="Verdana"/>
          <w:sz w:val="18"/>
          <w:szCs w:val="18"/>
        </w:rPr>
        <w:t xml:space="preserve">Het CETA Gemengd Comité </w:t>
      </w:r>
      <w:r w:rsidRPr="00126BBD" w:rsidR="00F56593">
        <w:rPr>
          <w:rFonts w:ascii="Verdana" w:hAnsi="Verdana"/>
          <w:sz w:val="18"/>
          <w:szCs w:val="18"/>
        </w:rPr>
        <w:t xml:space="preserve">is het hoogste orgaan onder CETA en verantwoordelijk voor alle kwesties inzake handel en investeringen tussen partijen en de uitvoering en toepassing van het akkoord. Het Gemengd Comité houdt toezicht op de werkzaamheden van de gespecialiseerde comités </w:t>
      </w:r>
      <w:r w:rsidR="00F56593">
        <w:rPr>
          <w:rFonts w:ascii="Verdana" w:hAnsi="Verdana"/>
          <w:sz w:val="18"/>
          <w:szCs w:val="18"/>
        </w:rPr>
        <w:t xml:space="preserve">ingesteld onder CETA. Het Gemengd Comité </w:t>
      </w:r>
      <w:r w:rsidRPr="006916EC">
        <w:rPr>
          <w:rFonts w:ascii="Verdana" w:hAnsi="Verdana"/>
          <w:sz w:val="18"/>
          <w:szCs w:val="18"/>
        </w:rPr>
        <w:t>komt minimaal eenmaal per jaar samen, bestaat uit vertegenwoordigers van de EU en Canada en wordt afwisselend voorgezeten door de Canadese Minister voor internationale handel en de EU-Commissaris verantwoordelijk voor die portefeuille.</w:t>
      </w:r>
    </w:p>
    <w:p w:rsidR="00861ADC" w:rsidP="006F3FF7" w:rsidRDefault="00F56593" w14:paraId="4BF8BABC" w14:textId="77777777">
      <w:pPr>
        <w:spacing w:after="0"/>
        <w:rPr>
          <w:rFonts w:ascii="Verdana" w:hAnsi="Verdana"/>
          <w:sz w:val="18"/>
          <w:szCs w:val="18"/>
        </w:rPr>
      </w:pPr>
      <w:r w:rsidRPr="006916EC">
        <w:rPr>
          <w:rFonts w:ascii="Verdana" w:hAnsi="Verdana"/>
          <w:sz w:val="18"/>
          <w:szCs w:val="18"/>
        </w:rPr>
        <w:t xml:space="preserve">De gespecialiseerde comités komen in beginsel eveneens eenmaal per jaar bijeen. Het medevoorzitterschap van deze comités wordt bekleed door vertegenwoordigers van Canada en de EU. Elke partij zorgt ervoor dat, wanneer een gespecialiseerd comité bijeenkomt, alle bevoegde autoriteiten voor elk punt op de agenda zijn vertegenwoordigd zoals elke partij geschikt acht, en dat elke kwestie kan worden besproken op het juiste niveau van deskundigheid. </w:t>
      </w:r>
      <w:r w:rsidRPr="006916EC" w:rsidR="00861ADC">
        <w:rPr>
          <w:rFonts w:ascii="Verdana" w:hAnsi="Verdana"/>
          <w:sz w:val="18"/>
          <w:szCs w:val="18"/>
        </w:rPr>
        <w:t xml:space="preserve"> </w:t>
      </w:r>
    </w:p>
    <w:p w:rsidR="00F56593" w:rsidP="006F3FF7" w:rsidRDefault="00F56593" w14:paraId="2020A0C1" w14:textId="77777777">
      <w:pPr>
        <w:spacing w:after="0"/>
        <w:rPr>
          <w:rFonts w:ascii="Verdana" w:hAnsi="Verdana"/>
          <w:sz w:val="18"/>
          <w:szCs w:val="18"/>
        </w:rPr>
      </w:pPr>
    </w:p>
    <w:p w:rsidR="00F56593" w:rsidP="006F3FF7" w:rsidRDefault="00F56593" w14:paraId="1EC3D984" w14:textId="77777777">
      <w:pPr>
        <w:spacing w:after="0"/>
        <w:rPr>
          <w:rFonts w:ascii="Verdana" w:hAnsi="Verdana"/>
          <w:sz w:val="18"/>
          <w:szCs w:val="18"/>
        </w:rPr>
      </w:pPr>
      <w:r w:rsidRPr="006916EC">
        <w:rPr>
          <w:rFonts w:ascii="Verdana" w:hAnsi="Verdana"/>
          <w:sz w:val="18"/>
          <w:szCs w:val="18"/>
        </w:rPr>
        <w:t>Besluiten en aanbevelingen van het Gemengd Comité vereisen consensus en worden niet vastgesteld dan nadat de vereiste interne procedures voor het nemen van dergelijke besluiten zijn genomen</w:t>
      </w:r>
      <w:r w:rsidR="006916EC">
        <w:rPr>
          <w:rFonts w:ascii="Verdana" w:hAnsi="Verdana"/>
          <w:sz w:val="18"/>
          <w:szCs w:val="18"/>
        </w:rPr>
        <w:t>; dit betreft dus de interne procedures voor Canada en de EU</w:t>
      </w:r>
      <w:r w:rsidRPr="006916EC">
        <w:rPr>
          <w:rFonts w:ascii="Verdana" w:hAnsi="Verdana"/>
          <w:sz w:val="18"/>
          <w:szCs w:val="18"/>
        </w:rPr>
        <w:t>. Voor de EU betekent dit dat de Raad in het geval van besluiten met rechtsgevolgen een EU-standpunt vaststelt op basis van een voorstel van de Commissie. Besluitvorming doorkruist op geen enkele wijze de normale EU-besluitvormingsprocedures en vindt plaats conform de procedure zoals vastgelegd in artikel 218, lid 9, VWEU.</w:t>
      </w:r>
      <w:r w:rsidR="006916EC">
        <w:rPr>
          <w:rFonts w:ascii="Verdana" w:hAnsi="Verdana"/>
          <w:sz w:val="18"/>
          <w:szCs w:val="18"/>
        </w:rPr>
        <w:t xml:space="preserve"> </w:t>
      </w:r>
    </w:p>
    <w:p w:rsidR="00F56593" w:rsidP="006F3FF7" w:rsidRDefault="00F56593" w14:paraId="5A7C68C7" w14:textId="77777777">
      <w:pPr>
        <w:spacing w:after="0"/>
        <w:rPr>
          <w:rFonts w:ascii="Verdana" w:hAnsi="Verdana"/>
          <w:sz w:val="18"/>
          <w:szCs w:val="18"/>
        </w:rPr>
      </w:pPr>
    </w:p>
    <w:p w:rsidR="000F311C" w:rsidP="000F311C" w:rsidRDefault="000F311C" w14:paraId="71CC9399" w14:textId="77777777">
      <w:pPr>
        <w:spacing w:after="0"/>
        <w:rPr>
          <w:rFonts w:ascii="Verdana" w:hAnsi="Verdana"/>
          <w:sz w:val="18"/>
          <w:szCs w:val="18"/>
        </w:rPr>
      </w:pPr>
      <w:r>
        <w:rPr>
          <w:rFonts w:ascii="Verdana" w:hAnsi="Verdana"/>
          <w:sz w:val="18"/>
          <w:szCs w:val="18"/>
        </w:rPr>
        <w:t xml:space="preserve">Verdragspartijen zullen bij </w:t>
      </w:r>
      <w:r w:rsidR="00F56593">
        <w:rPr>
          <w:rFonts w:ascii="Verdana" w:hAnsi="Verdana"/>
          <w:sz w:val="18"/>
          <w:szCs w:val="18"/>
        </w:rPr>
        <w:t xml:space="preserve">eventuele onenigheden </w:t>
      </w:r>
      <w:r w:rsidRPr="001C5125" w:rsidR="00F56593">
        <w:rPr>
          <w:rFonts w:ascii="Verdana" w:hAnsi="Verdana"/>
          <w:sz w:val="18"/>
          <w:szCs w:val="18"/>
        </w:rPr>
        <w:t xml:space="preserve">over de interpretatie of toepassing van CETA </w:t>
      </w:r>
      <w:r>
        <w:rPr>
          <w:rFonts w:ascii="Verdana" w:hAnsi="Verdana"/>
          <w:sz w:val="18"/>
          <w:szCs w:val="18"/>
        </w:rPr>
        <w:t xml:space="preserve">trachten middels goede samenwerking en consultaties tot een oplossing te komen. </w:t>
      </w:r>
      <w:r w:rsidRPr="006916EC" w:rsidR="00F56593">
        <w:rPr>
          <w:rFonts w:ascii="Verdana" w:hAnsi="Verdana"/>
          <w:sz w:val="18"/>
          <w:szCs w:val="18"/>
        </w:rPr>
        <w:t xml:space="preserve">Wanneer consultaties of bemiddeling niet leidt tot een minnelijke schikking van een geschil </w:t>
      </w:r>
      <w:r>
        <w:rPr>
          <w:rFonts w:ascii="Verdana" w:hAnsi="Verdana"/>
          <w:sz w:val="18"/>
          <w:szCs w:val="18"/>
        </w:rPr>
        <w:t>biedt CETA een p</w:t>
      </w:r>
      <w:r w:rsidRPr="00410AC6">
        <w:rPr>
          <w:rFonts w:ascii="Verdana" w:hAnsi="Verdana"/>
          <w:sz w:val="18"/>
          <w:szCs w:val="18"/>
        </w:rPr>
        <w:t xml:space="preserve">rocedure voor geschillenbeslechting tussen de verdragspartijen </w:t>
      </w:r>
      <w:r>
        <w:rPr>
          <w:rFonts w:ascii="Verdana" w:hAnsi="Verdana"/>
          <w:sz w:val="18"/>
          <w:szCs w:val="18"/>
        </w:rPr>
        <w:t xml:space="preserve">om eventuele onenigheden op te lossen. Hierbij </w:t>
      </w:r>
      <w:r w:rsidRPr="006916EC" w:rsidR="00F56593">
        <w:rPr>
          <w:rFonts w:ascii="Verdana" w:hAnsi="Verdana"/>
          <w:sz w:val="18"/>
          <w:szCs w:val="18"/>
        </w:rPr>
        <w:t xml:space="preserve">kan een partij een kwestie voorleggen aan een arbitragepanel bestaande uit drie arbiters. </w:t>
      </w:r>
      <w:r w:rsidRPr="00410AC6">
        <w:rPr>
          <w:rFonts w:ascii="Verdana" w:hAnsi="Verdana"/>
          <w:sz w:val="18"/>
          <w:szCs w:val="18"/>
        </w:rPr>
        <w:t xml:space="preserve">Geschillenbeslechting onder CETA staat los van andere mogelijkheden die partijen hebben onder andere verdragen, waar zij partij bij zijn, zoals de WTO en de ILO. Wel volgt uit artikel 29.3, lid 2, dat een partij niet in verschillende internationale fora verhaal kan trachten te halen voor de schending van een gelijkwaardige verplichting. </w:t>
      </w:r>
    </w:p>
    <w:p w:rsidRPr="006916EC" w:rsidR="00F56593" w:rsidP="006F3FF7" w:rsidRDefault="00F56593" w14:paraId="5BFC8FCC" w14:textId="17C3C8EB">
      <w:pPr>
        <w:spacing w:after="0"/>
        <w:rPr>
          <w:rFonts w:ascii="Verdana" w:hAnsi="Verdana"/>
          <w:sz w:val="18"/>
          <w:szCs w:val="18"/>
        </w:rPr>
      </w:pPr>
      <w:r w:rsidRPr="006916EC">
        <w:rPr>
          <w:rFonts w:ascii="Verdana" w:hAnsi="Verdana"/>
          <w:sz w:val="18"/>
          <w:szCs w:val="18"/>
        </w:rPr>
        <w:t>In geval van niet-naleving van de uitspraak</w:t>
      </w:r>
      <w:r w:rsidR="000F311C">
        <w:rPr>
          <w:rFonts w:ascii="Verdana" w:hAnsi="Verdana"/>
          <w:sz w:val="18"/>
          <w:szCs w:val="18"/>
        </w:rPr>
        <w:t xml:space="preserve"> van het arbitragetribunaal </w:t>
      </w:r>
      <w:r w:rsidRPr="006916EC">
        <w:rPr>
          <w:rFonts w:ascii="Verdana" w:hAnsi="Verdana"/>
          <w:sz w:val="18"/>
          <w:szCs w:val="18"/>
        </w:rPr>
        <w:t xml:space="preserve">kunnen tijdelijke maatregelen worden ingesteld, bijvoorbeeld (financiële) compensatie of het opschorten van verplichtingen onder het akkoord (artikel 29.14). </w:t>
      </w:r>
    </w:p>
    <w:p w:rsidRPr="00F56593" w:rsidR="00A57CE8" w:rsidP="00A57CE8" w:rsidRDefault="00A57CE8" w14:paraId="0325652C" w14:textId="77777777">
      <w:pPr>
        <w:spacing w:after="0"/>
        <w:rPr>
          <w:rFonts w:ascii="Verdana" w:hAnsi="Verdana"/>
          <w:b/>
          <w:sz w:val="18"/>
          <w:szCs w:val="18"/>
        </w:rPr>
      </w:pPr>
    </w:p>
    <w:p w:rsidRPr="006F3FF7" w:rsidR="00A57CE8" w:rsidP="00A57CE8" w:rsidRDefault="00A57CE8" w14:paraId="4CA6F737" w14:textId="77777777">
      <w:pPr>
        <w:spacing w:after="0"/>
        <w:rPr>
          <w:rFonts w:ascii="Verdana" w:hAnsi="Verdana"/>
          <w:sz w:val="18"/>
          <w:szCs w:val="18"/>
        </w:rPr>
      </w:pPr>
      <w:r w:rsidRPr="006F3FF7">
        <w:rPr>
          <w:rFonts w:ascii="Verdana" w:hAnsi="Verdana"/>
          <w:b/>
          <w:sz w:val="18"/>
          <w:szCs w:val="18"/>
        </w:rPr>
        <w:t>Vraag 27</w:t>
      </w:r>
    </w:p>
    <w:p w:rsidRPr="006F3FF7" w:rsidR="007367FC" w:rsidP="00A57CE8" w:rsidRDefault="007367FC" w14:paraId="3C66D598" w14:textId="77777777">
      <w:pPr>
        <w:spacing w:after="0"/>
        <w:rPr>
          <w:rFonts w:ascii="Verdana" w:hAnsi="Verdana"/>
          <w:sz w:val="18"/>
          <w:szCs w:val="18"/>
        </w:rPr>
      </w:pPr>
      <w:r w:rsidRPr="006F3FF7">
        <w:rPr>
          <w:rFonts w:ascii="Verdana" w:hAnsi="Verdana"/>
          <w:sz w:val="18"/>
          <w:szCs w:val="18"/>
        </w:rPr>
        <w:t>Hoe is een noodremprocedure in het verdrag ingericht? En hoe kan het verdrag tussentijds worden aangepast?</w:t>
      </w:r>
      <w:r w:rsidRPr="006F3FF7" w:rsidR="00A57CE8">
        <w:rPr>
          <w:rFonts w:ascii="Verdana" w:hAnsi="Verdana"/>
          <w:sz w:val="18"/>
          <w:szCs w:val="18"/>
        </w:rPr>
        <w:t xml:space="preserve"> </w:t>
      </w:r>
    </w:p>
    <w:p w:rsidRPr="006F3FF7" w:rsidR="00A57CE8" w:rsidP="00A57CE8" w:rsidRDefault="00A57CE8" w14:paraId="501D062E" w14:textId="77777777">
      <w:pPr>
        <w:spacing w:after="0"/>
        <w:rPr>
          <w:rFonts w:ascii="Verdana" w:hAnsi="Verdana"/>
          <w:sz w:val="18"/>
          <w:szCs w:val="18"/>
        </w:rPr>
      </w:pPr>
    </w:p>
    <w:p w:rsidRPr="00EB3978" w:rsidR="00C84417" w:rsidP="006F3FF7" w:rsidRDefault="00A57CE8" w14:paraId="0482E403" w14:textId="77777777">
      <w:pPr>
        <w:spacing w:after="0"/>
        <w:rPr>
          <w:rFonts w:ascii="Verdana" w:hAnsi="Verdana" w:eastAsia="Verdana" w:cs="Verdana"/>
          <w:sz w:val="18"/>
          <w:szCs w:val="18"/>
          <w:highlight w:val="yellow"/>
        </w:rPr>
      </w:pPr>
      <w:r w:rsidRPr="00704ED0">
        <w:rPr>
          <w:rFonts w:ascii="Verdana" w:hAnsi="Verdana"/>
          <w:b/>
          <w:sz w:val="18"/>
          <w:szCs w:val="18"/>
        </w:rPr>
        <w:t>Antwoord</w:t>
      </w:r>
    </w:p>
    <w:p w:rsidRPr="00B32D5E" w:rsidR="00B32D5E" w:rsidP="00B32D5E" w:rsidRDefault="00B32D5E" w14:paraId="2C71FDA4" w14:textId="77777777">
      <w:pPr>
        <w:rPr>
          <w:rFonts w:ascii="Verdana" w:hAnsi="Verdana" w:eastAsia="Calibri" w:cs="Calibri"/>
          <w:sz w:val="18"/>
          <w:szCs w:val="18"/>
          <w:highlight w:val="yellow"/>
        </w:rPr>
      </w:pPr>
      <w:r>
        <w:rPr>
          <w:rStyle w:val="normaltextrun"/>
          <w:rFonts w:ascii="Verdana" w:hAnsi="Verdana" w:cs="Calibri"/>
          <w:sz w:val="18"/>
          <w:szCs w:val="18"/>
        </w:rPr>
        <w:t>Met betrekking tot een ‘noodrem’</w:t>
      </w:r>
      <w:r w:rsidRPr="00B32D5E">
        <w:rPr>
          <w:rFonts w:ascii="Verdana" w:hAnsi="Verdana" w:eastAsia="Calibri" w:cs="Calibri"/>
          <w:sz w:val="18"/>
          <w:szCs w:val="18"/>
        </w:rPr>
        <w:t xml:space="preserve"> </w:t>
      </w:r>
      <w:r>
        <w:rPr>
          <w:rFonts w:ascii="Verdana" w:hAnsi="Verdana" w:eastAsia="Calibri" w:cs="Calibri"/>
          <w:sz w:val="18"/>
          <w:szCs w:val="18"/>
        </w:rPr>
        <w:t xml:space="preserve">zijn in </w:t>
      </w:r>
      <w:r w:rsidRPr="00B32D5E">
        <w:rPr>
          <w:rFonts w:ascii="Verdana" w:hAnsi="Verdana" w:eastAsia="Calibri" w:cs="Calibri"/>
          <w:sz w:val="18"/>
          <w:szCs w:val="18"/>
        </w:rPr>
        <w:t>CETA</w:t>
      </w:r>
      <w:r>
        <w:rPr>
          <w:rFonts w:ascii="Verdana" w:hAnsi="Verdana" w:eastAsia="Calibri" w:cs="Calibri"/>
          <w:sz w:val="18"/>
          <w:szCs w:val="18"/>
        </w:rPr>
        <w:t xml:space="preserve">, zoals gebruikelijk in handelsverdragen, </w:t>
      </w:r>
      <w:r w:rsidRPr="00B32D5E">
        <w:rPr>
          <w:rFonts w:ascii="Verdana" w:hAnsi="Verdana" w:eastAsia="Calibri" w:cs="Calibri"/>
          <w:sz w:val="18"/>
          <w:szCs w:val="18"/>
        </w:rPr>
        <w:t xml:space="preserve">de nodige maatregelen genomen ter bescherming van gevoelige </w:t>
      </w:r>
      <w:r>
        <w:rPr>
          <w:rFonts w:ascii="Verdana" w:hAnsi="Verdana" w:eastAsia="Calibri" w:cs="Calibri"/>
          <w:sz w:val="18"/>
          <w:szCs w:val="18"/>
        </w:rPr>
        <w:t>sectoren</w:t>
      </w:r>
      <w:r w:rsidRPr="00B32D5E">
        <w:rPr>
          <w:rFonts w:ascii="Verdana" w:hAnsi="Verdana" w:eastAsia="Calibri" w:cs="Calibri"/>
          <w:sz w:val="18"/>
          <w:szCs w:val="18"/>
        </w:rPr>
        <w:t xml:space="preserve">. Zo zijn voor verschillende producten, zoals rund- en varkensvlees, beperkte quota’s opgenomen. Wanneer een quotum volledig benut is, betalen ondernemers weer hogere invoerrechten en is het minder aantrekkelijk om naar de EU te exporteren. Een overzicht van de tarieven en quota is opgenomen in het tarievenschema van de Europese Unie. </w:t>
      </w:r>
      <w:r w:rsidRPr="00B32D5E">
        <w:rPr>
          <w:rFonts w:ascii="Verdana" w:hAnsi="Verdana" w:eastAsia="Calibri" w:cs="Calibri"/>
          <w:sz w:val="18"/>
          <w:szCs w:val="18"/>
        </w:rPr>
        <w:br/>
      </w:r>
      <w:r w:rsidRPr="00B32D5E">
        <w:rPr>
          <w:rFonts w:ascii="Verdana" w:hAnsi="Verdana" w:eastAsia="Calibri" w:cs="Calibri"/>
          <w:sz w:val="18"/>
          <w:szCs w:val="18"/>
        </w:rPr>
        <w:br/>
        <w:t xml:space="preserve">Daarnaast is in CETA een hoofdstuk opgenomen over </w:t>
      </w:r>
      <w:proofErr w:type="spellStart"/>
      <w:r w:rsidRPr="00B32D5E">
        <w:rPr>
          <w:rFonts w:ascii="Verdana" w:hAnsi="Verdana" w:eastAsia="Calibri" w:cs="Calibri"/>
          <w:sz w:val="18"/>
          <w:szCs w:val="18"/>
        </w:rPr>
        <w:t>handelsdefensieve</w:t>
      </w:r>
      <w:proofErr w:type="spellEnd"/>
      <w:r w:rsidRPr="00B32D5E">
        <w:rPr>
          <w:rFonts w:ascii="Verdana" w:hAnsi="Verdana" w:eastAsia="Calibri" w:cs="Calibri"/>
          <w:sz w:val="18"/>
          <w:szCs w:val="18"/>
        </w:rPr>
        <w:t xml:space="preserve"> maatregelen. In dit hoofdstuk herbevestigen Canada en de EU afspraken die in WTO-verband zijn gemaakt over </w:t>
      </w:r>
      <w:proofErr w:type="spellStart"/>
      <w:r w:rsidRPr="00B32D5E">
        <w:rPr>
          <w:rFonts w:ascii="Verdana" w:hAnsi="Verdana" w:eastAsia="Calibri" w:cs="Calibri"/>
          <w:sz w:val="18"/>
          <w:szCs w:val="18"/>
        </w:rPr>
        <w:t>handelsdefensieve</w:t>
      </w:r>
      <w:proofErr w:type="spellEnd"/>
      <w:r w:rsidRPr="00B32D5E">
        <w:rPr>
          <w:rFonts w:ascii="Verdana" w:hAnsi="Verdana" w:eastAsia="Calibri" w:cs="Calibri"/>
          <w:sz w:val="18"/>
          <w:szCs w:val="18"/>
        </w:rPr>
        <w:t xml:space="preserve"> maatregelen. In geval van oneerlijke dumping, een plotse toename van import die de EU-industrie schade toebrengt, of niet-marktconforme subsidieverlening kan de EU beperkende maatregelen nemen zolang hierbij de WTO-regels worden gevolgd.</w:t>
      </w:r>
    </w:p>
    <w:p w:rsidRPr="00EB3978" w:rsidR="00C84417" w:rsidP="004912FB" w:rsidRDefault="00C84417" w14:paraId="0794B436" w14:textId="04590979">
      <w:pPr>
        <w:pStyle w:val="paragraph"/>
        <w:textAlignment w:val="baseline"/>
        <w:rPr>
          <w:rFonts w:ascii="Verdana" w:hAnsi="Verdana" w:cs="Segoe UI"/>
          <w:sz w:val="18"/>
          <w:szCs w:val="18"/>
        </w:rPr>
      </w:pPr>
      <w:r w:rsidRPr="00EB3978">
        <w:rPr>
          <w:rStyle w:val="normaltextrun"/>
          <w:rFonts w:ascii="Verdana" w:hAnsi="Verdana" w:cs="Calibri"/>
          <w:sz w:val="18"/>
          <w:szCs w:val="18"/>
        </w:rPr>
        <w:t>Wijzigingen van CETA zijn mogelijk conform de gebruikelijke interne verdragswijzigingsprocedures van partijen. Voor de EU betekent dit dat de procedure, zoals neergelegd in artikel 218 VWEU, moet worden gevolgd. Voor Nederland betekent dit dat het parlement de wijziging moet goedkeuren. In afwijking daarvan bepaalt artikel 30.2, lid 2, dat het CETA Gemengd Comité kan besluiten om de protocollen en een aantal bijlagen bij het akkoord te wijzigen. </w:t>
      </w:r>
      <w:r w:rsidRPr="00EB3978">
        <w:rPr>
          <w:rStyle w:val="eop"/>
          <w:rFonts w:ascii="Verdana" w:hAnsi="Verdana" w:cs="Calibri"/>
          <w:sz w:val="18"/>
          <w:szCs w:val="18"/>
        </w:rPr>
        <w:t> </w:t>
      </w:r>
      <w:r w:rsidRPr="00EB3978">
        <w:rPr>
          <w:rFonts w:ascii="Verdana" w:hAnsi="Verdana" w:cs="Segoe UI"/>
          <w:sz w:val="18"/>
          <w:szCs w:val="18"/>
        </w:rPr>
        <w:br/>
      </w:r>
      <w:r w:rsidRPr="00EB3978">
        <w:rPr>
          <w:rFonts w:ascii="Verdana" w:hAnsi="Verdana" w:cs="Segoe UI"/>
          <w:sz w:val="18"/>
          <w:szCs w:val="18"/>
        </w:rPr>
        <w:br/>
      </w:r>
      <w:r w:rsidRPr="00EB3978">
        <w:rPr>
          <w:rStyle w:val="normaltextrun"/>
          <w:rFonts w:ascii="Verdana" w:hAnsi="Verdana" w:cs="Calibri"/>
          <w:sz w:val="18"/>
          <w:szCs w:val="18"/>
        </w:rPr>
        <w:t>De in artikel 30.2, lid 2, opgenomen vereenvoudigde wijzigingsprocedure is niet van toepassing bij wijziging van de bijlagen I, II en III en de bijlagen bij hoofdstuk 8 (investeringen), 9 (grensoverschrijdende handel in diensten), 10 (tijdelijke toelating en tijdelijk verblijf van natuurlijke personen voor zakelijke doeleinden), en 13 (financiële diensten), met uitzondering van bijlage 10-A (lijst van contactpunten van de lidstaten van de Europese Unie). De hoofdtekst van CETA kan evenmin worden gewijzigd via deze vereenvoudigde procedure. </w:t>
      </w:r>
      <w:r w:rsidRPr="00EB3978">
        <w:rPr>
          <w:rStyle w:val="eop"/>
          <w:rFonts w:ascii="Verdana" w:hAnsi="Verdana" w:cs="Calibri"/>
          <w:sz w:val="18"/>
          <w:szCs w:val="18"/>
        </w:rPr>
        <w:t> </w:t>
      </w:r>
      <w:r w:rsidRPr="00EB3978">
        <w:rPr>
          <w:rFonts w:ascii="Verdana" w:hAnsi="Verdana" w:cs="Segoe UI"/>
          <w:sz w:val="18"/>
          <w:szCs w:val="18"/>
        </w:rPr>
        <w:br/>
      </w:r>
      <w:r w:rsidRPr="00EB3978">
        <w:rPr>
          <w:rFonts w:ascii="Verdana" w:hAnsi="Verdana" w:cs="Segoe UI"/>
          <w:sz w:val="18"/>
          <w:szCs w:val="18"/>
        </w:rPr>
        <w:br/>
      </w:r>
      <w:r w:rsidRPr="00EB3978">
        <w:rPr>
          <w:rStyle w:val="normaltextrun"/>
          <w:rFonts w:ascii="Verdana" w:hAnsi="Verdana" w:cs="Calibri"/>
          <w:sz w:val="18"/>
          <w:szCs w:val="18"/>
        </w:rPr>
        <w:t>De besluitvorming in het Gemengd Comité vindt met consensus plaats. Voorafgaand aan de besluitvorming in het Gemengd Comité zal de Raad, op voorstel van de Commissie, op grond van art. 218, lid 9, VWEU het namens de Unie in te nemen standpunt vaststellen in het Gemengd Comité. Het Europees Parlement wordt hierover geïnformeerd.</w:t>
      </w:r>
      <w:r w:rsidRPr="00EB3978">
        <w:rPr>
          <w:rStyle w:val="eop"/>
          <w:rFonts w:ascii="Verdana" w:hAnsi="Verdana" w:cs="Calibri"/>
          <w:sz w:val="18"/>
          <w:szCs w:val="18"/>
        </w:rPr>
        <w:t xml:space="preserve"> Het nationale parlement wordt betrokken via de normale voorbereiding van de EU raden. </w:t>
      </w:r>
    </w:p>
    <w:p w:rsidRPr="00802D81" w:rsidR="00A57CE8" w:rsidP="004912FB" w:rsidRDefault="00C84417" w14:paraId="6ED22068" w14:textId="261F9AA3">
      <w:pPr>
        <w:pStyle w:val="paragraph"/>
        <w:textAlignment w:val="baseline"/>
        <w:rPr>
          <w:rFonts w:ascii="Verdana" w:hAnsi="Verdana"/>
          <w:b/>
          <w:sz w:val="18"/>
          <w:szCs w:val="18"/>
        </w:rPr>
      </w:pPr>
      <w:r w:rsidRPr="00EB3978">
        <w:rPr>
          <w:rStyle w:val="normaltextrun"/>
          <w:rFonts w:ascii="Verdana" w:hAnsi="Verdana" w:cs="Calibri"/>
          <w:sz w:val="18"/>
          <w:szCs w:val="18"/>
        </w:rPr>
        <w:t xml:space="preserve">Voor wat betreft de nationale procedure kunnen de bijlagen worden beschouwd als zijnde van uitvoerende aard ten opzichte van de hoofdtekst van het verdrag. Op grond van artikel 7, onderdeel f, van de Rijkswet goedkeuring en bekendmaking verdragen vraagt de regering aan het parlement haar te machtigen dat wijzigingen van deze bijlagen, voor zover zij niet onder de exclusieve bevoegdheid van de EU vallen, niet ter goedkeuring aan het parlement te hoeven worden voorgelegd. </w:t>
      </w:r>
    </w:p>
    <w:p w:rsidRPr="00704ED0" w:rsidR="00A57CE8" w:rsidP="00A57CE8" w:rsidRDefault="00A57CE8" w14:paraId="0E3216BE" w14:textId="77777777">
      <w:pPr>
        <w:spacing w:after="0"/>
        <w:rPr>
          <w:rFonts w:ascii="Verdana" w:hAnsi="Verdana"/>
          <w:sz w:val="18"/>
          <w:szCs w:val="18"/>
        </w:rPr>
      </w:pPr>
      <w:r w:rsidRPr="00704ED0">
        <w:rPr>
          <w:rFonts w:ascii="Verdana" w:hAnsi="Verdana"/>
          <w:b/>
          <w:sz w:val="18"/>
          <w:szCs w:val="18"/>
        </w:rPr>
        <w:t>Vraag 28</w:t>
      </w:r>
    </w:p>
    <w:p w:rsidRPr="006F3FF7" w:rsidR="007367FC" w:rsidP="00A57CE8" w:rsidRDefault="007367FC" w14:paraId="329F2C4C" w14:textId="77777777">
      <w:pPr>
        <w:spacing w:after="0"/>
        <w:rPr>
          <w:rFonts w:ascii="Verdana" w:hAnsi="Verdana"/>
          <w:sz w:val="18"/>
          <w:szCs w:val="18"/>
        </w:rPr>
      </w:pPr>
      <w:r w:rsidRPr="006F3FF7">
        <w:rPr>
          <w:rFonts w:ascii="Verdana" w:hAnsi="Verdana"/>
          <w:sz w:val="18"/>
          <w:szCs w:val="18"/>
        </w:rPr>
        <w:t>Hoe werkt het aanspannen van een claim? Op grond van welke klachten kan een claim worden ingediend? Wie kan een claim indienen?</w:t>
      </w:r>
    </w:p>
    <w:p w:rsidR="00326F21" w:rsidP="00A57CE8" w:rsidRDefault="00326F21" w14:paraId="1F733F12" w14:textId="77777777">
      <w:pPr>
        <w:spacing w:after="0"/>
        <w:rPr>
          <w:rFonts w:ascii="Verdana" w:hAnsi="Verdana"/>
          <w:sz w:val="18"/>
          <w:szCs w:val="18"/>
        </w:rPr>
      </w:pPr>
    </w:p>
    <w:p w:rsidRPr="00871C1B" w:rsidR="00A57CE8" w:rsidP="00A57CE8" w:rsidRDefault="00597095" w14:paraId="032494F8" w14:textId="0F607A5D">
      <w:pPr>
        <w:spacing w:after="0"/>
        <w:rPr>
          <w:rFonts w:ascii="Verdana" w:hAnsi="Verdana"/>
          <w:b/>
          <w:sz w:val="18"/>
          <w:szCs w:val="18"/>
        </w:rPr>
      </w:pPr>
      <w:r>
        <w:rPr>
          <w:rFonts w:ascii="Verdana" w:hAnsi="Verdana"/>
          <w:b/>
          <w:sz w:val="18"/>
          <w:szCs w:val="18"/>
        </w:rPr>
        <w:t>A</w:t>
      </w:r>
      <w:r w:rsidRPr="006F3FF7" w:rsidR="00A57CE8">
        <w:rPr>
          <w:rFonts w:ascii="Verdana" w:hAnsi="Verdana"/>
          <w:b/>
          <w:sz w:val="18"/>
          <w:szCs w:val="18"/>
        </w:rPr>
        <w:t>ntwoord</w:t>
      </w:r>
    </w:p>
    <w:p w:rsidR="00326F21" w:rsidP="00326F21" w:rsidRDefault="00326F21" w14:paraId="2D73B20E" w14:textId="65664F0C">
      <w:pPr>
        <w:spacing w:after="0"/>
        <w:rPr>
          <w:rFonts w:ascii="Verdana" w:hAnsi="Verdana"/>
          <w:sz w:val="18"/>
          <w:szCs w:val="18"/>
        </w:rPr>
      </w:pPr>
      <w:r>
        <w:rPr>
          <w:rFonts w:ascii="Verdana" w:hAnsi="Verdana"/>
          <w:sz w:val="18"/>
          <w:szCs w:val="18"/>
        </w:rPr>
        <w:t>Een Canadese resp. investeerder uit de EU k</w:t>
      </w:r>
      <w:r w:rsidR="00597095">
        <w:rPr>
          <w:rFonts w:ascii="Verdana" w:hAnsi="Verdana"/>
          <w:sz w:val="18"/>
          <w:szCs w:val="18"/>
        </w:rPr>
        <w:t>an</w:t>
      </w:r>
      <w:r>
        <w:rPr>
          <w:rFonts w:ascii="Verdana" w:hAnsi="Verdana"/>
          <w:sz w:val="18"/>
          <w:szCs w:val="18"/>
        </w:rPr>
        <w:t xml:space="preserve"> alleen </w:t>
      </w:r>
      <w:r w:rsidRPr="001C5125">
        <w:rPr>
          <w:rFonts w:ascii="Verdana" w:hAnsi="Verdana"/>
          <w:sz w:val="18"/>
          <w:szCs w:val="18"/>
        </w:rPr>
        <w:t>een claim</w:t>
      </w:r>
      <w:r w:rsidR="004912FB">
        <w:rPr>
          <w:rFonts w:ascii="Verdana" w:hAnsi="Verdana"/>
          <w:sz w:val="18"/>
          <w:szCs w:val="18"/>
        </w:rPr>
        <w:t xml:space="preserve"> onder ICS</w:t>
      </w:r>
      <w:r w:rsidRPr="001C5125">
        <w:rPr>
          <w:rFonts w:ascii="Verdana" w:hAnsi="Verdana"/>
          <w:sz w:val="18"/>
          <w:szCs w:val="18"/>
        </w:rPr>
        <w:t xml:space="preserve"> indienen als </w:t>
      </w:r>
      <w:r w:rsidR="00597095">
        <w:rPr>
          <w:rFonts w:ascii="Verdana" w:hAnsi="Verdana"/>
          <w:sz w:val="18"/>
          <w:szCs w:val="18"/>
        </w:rPr>
        <w:t>die</w:t>
      </w:r>
      <w:r w:rsidRPr="001C5125">
        <w:rPr>
          <w:rFonts w:ascii="Verdana" w:hAnsi="Verdana"/>
          <w:sz w:val="18"/>
          <w:szCs w:val="18"/>
        </w:rPr>
        <w:t xml:space="preserve"> investeerder schade heeft geleden aan zijn gevestigde investering </w:t>
      </w:r>
      <w:r>
        <w:rPr>
          <w:rFonts w:ascii="Verdana" w:hAnsi="Verdana"/>
          <w:sz w:val="18"/>
          <w:szCs w:val="18"/>
        </w:rPr>
        <w:t xml:space="preserve">door schending van afspraken door de EU respectievelijk Canada op het terrein van investeringsbescherming (Afdeling C en D van hoofdstuk 8 CETA). Het gaat hierbij bijvoorbeeld om vermeende onredelijke of </w:t>
      </w:r>
      <w:r w:rsidR="00665B0D">
        <w:rPr>
          <w:rFonts w:ascii="Verdana" w:hAnsi="Verdana"/>
          <w:sz w:val="18"/>
          <w:szCs w:val="18"/>
        </w:rPr>
        <w:t xml:space="preserve">niet </w:t>
      </w:r>
      <w:r>
        <w:rPr>
          <w:rFonts w:ascii="Verdana" w:hAnsi="Verdana"/>
          <w:sz w:val="18"/>
          <w:szCs w:val="18"/>
        </w:rPr>
        <w:t>billijke of discriminatoire behandeling door een overheidsorgaan, of een vermeende schending van de voorwaarden waaronder onteigend mag worden. Hierbij kan geen beroep worden gedaan op d</w:t>
      </w:r>
      <w:r w:rsidRPr="001C5125">
        <w:rPr>
          <w:rFonts w:ascii="Verdana" w:hAnsi="Verdana"/>
          <w:sz w:val="18"/>
          <w:szCs w:val="18"/>
        </w:rPr>
        <w:t>e markttoegangsaspecten.</w:t>
      </w:r>
    </w:p>
    <w:p w:rsidR="00D70F58" w:rsidP="00326F21" w:rsidRDefault="00326F21" w14:paraId="4A829343" w14:textId="77777777">
      <w:pPr>
        <w:spacing w:after="0"/>
        <w:rPr>
          <w:rFonts w:ascii="Verdana" w:hAnsi="Verdana"/>
          <w:sz w:val="18"/>
          <w:szCs w:val="18"/>
        </w:rPr>
      </w:pPr>
      <w:r>
        <w:rPr>
          <w:rFonts w:ascii="Verdana" w:hAnsi="Verdana"/>
          <w:sz w:val="18"/>
          <w:szCs w:val="18"/>
        </w:rPr>
        <w:lastRenderedPageBreak/>
        <w:t>Het betreft hier alleen investeerders die</w:t>
      </w:r>
      <w:r w:rsidRPr="001C5125">
        <w:rPr>
          <w:rFonts w:ascii="Verdana" w:hAnsi="Verdana"/>
          <w:sz w:val="18"/>
          <w:szCs w:val="18"/>
        </w:rPr>
        <w:t xml:space="preserve"> op het grondgebied van die verdragspartij substantiële bedrijfsactiviteiten verricht</w:t>
      </w:r>
      <w:r>
        <w:rPr>
          <w:rFonts w:ascii="Verdana" w:hAnsi="Verdana"/>
          <w:sz w:val="18"/>
          <w:szCs w:val="18"/>
        </w:rPr>
        <w:t>en</w:t>
      </w:r>
      <w:r w:rsidRPr="001C5125">
        <w:rPr>
          <w:rFonts w:ascii="Verdana" w:hAnsi="Verdana"/>
          <w:sz w:val="18"/>
          <w:szCs w:val="18"/>
        </w:rPr>
        <w:t xml:space="preserve"> of direct dan wel indirect eigendom </w:t>
      </w:r>
      <w:r>
        <w:rPr>
          <w:rFonts w:ascii="Verdana" w:hAnsi="Verdana"/>
          <w:sz w:val="18"/>
          <w:szCs w:val="18"/>
        </w:rPr>
        <w:t xml:space="preserve">zijn </w:t>
      </w:r>
      <w:r w:rsidRPr="001C5125">
        <w:rPr>
          <w:rFonts w:ascii="Verdana" w:hAnsi="Verdana"/>
          <w:sz w:val="18"/>
          <w:szCs w:val="18"/>
        </w:rPr>
        <w:t>van of onder zeggenschap staa</w:t>
      </w:r>
      <w:r>
        <w:rPr>
          <w:rFonts w:ascii="Verdana" w:hAnsi="Verdana"/>
          <w:sz w:val="18"/>
          <w:szCs w:val="18"/>
        </w:rPr>
        <w:t>t</w:t>
      </w:r>
      <w:r w:rsidRPr="001C5125">
        <w:rPr>
          <w:rFonts w:ascii="Verdana" w:hAnsi="Verdana"/>
          <w:sz w:val="18"/>
          <w:szCs w:val="18"/>
        </w:rPr>
        <w:t xml:space="preserve"> van een natuurlijke persoon of een onderneming uit die verdragspartij die in die verdragspartij substantiële bedrijfsactiviteiten verricht</w:t>
      </w:r>
      <w:r>
        <w:rPr>
          <w:rFonts w:ascii="Verdana" w:hAnsi="Verdana"/>
          <w:sz w:val="18"/>
          <w:szCs w:val="18"/>
        </w:rPr>
        <w:t>.</w:t>
      </w:r>
    </w:p>
    <w:p w:rsidR="00326F21" w:rsidP="00326F21" w:rsidRDefault="00326F21" w14:paraId="0E584975" w14:textId="77777777">
      <w:pPr>
        <w:spacing w:after="0"/>
        <w:rPr>
          <w:rFonts w:ascii="Verdana" w:hAnsi="Verdana"/>
          <w:sz w:val="18"/>
          <w:szCs w:val="18"/>
        </w:rPr>
      </w:pPr>
      <w:r w:rsidRPr="001C5125">
        <w:rPr>
          <w:rFonts w:ascii="Verdana" w:hAnsi="Verdana"/>
          <w:sz w:val="18"/>
          <w:szCs w:val="18"/>
        </w:rPr>
        <w:t>Er kan geen claim ingediend worden als de investering is verricht door middel van een bedrieglijke onjuiste voorstelling, het achterhouden van informatie, omkoping of gedragingen die misbruik van procedure opleveren.</w:t>
      </w:r>
    </w:p>
    <w:p w:rsidR="00326F21" w:rsidP="00326F21" w:rsidRDefault="00326F21" w14:paraId="6C06D85B" w14:textId="77777777">
      <w:pPr>
        <w:spacing w:after="0"/>
        <w:rPr>
          <w:rFonts w:ascii="Verdana" w:hAnsi="Verdana"/>
          <w:sz w:val="18"/>
          <w:szCs w:val="18"/>
        </w:rPr>
      </w:pPr>
    </w:p>
    <w:p w:rsidR="00D70F58" w:rsidP="00597095" w:rsidRDefault="00326F21" w14:paraId="5DA70681" w14:textId="6465B143">
      <w:pPr>
        <w:spacing w:after="0"/>
        <w:rPr>
          <w:rFonts w:ascii="Verdana" w:hAnsi="Verdana"/>
          <w:sz w:val="18"/>
          <w:szCs w:val="18"/>
        </w:rPr>
      </w:pPr>
      <w:r w:rsidRPr="00597095">
        <w:rPr>
          <w:rFonts w:ascii="Verdana" w:hAnsi="Verdana"/>
          <w:sz w:val="18"/>
          <w:szCs w:val="18"/>
        </w:rPr>
        <w:t>Geschillen moeten, voor zover mogelijk, in der minne geschikt worden. Voordat een verzoek bij het Gerecht wordt ingediend, vinden altijd eerst consultaties tussen partijen bij het geschil plaats</w:t>
      </w:r>
      <w:r w:rsidR="0063170A">
        <w:rPr>
          <w:rFonts w:ascii="Verdana" w:hAnsi="Verdana"/>
          <w:sz w:val="18"/>
          <w:szCs w:val="18"/>
        </w:rPr>
        <w:t>.</w:t>
      </w:r>
      <w:r w:rsidRPr="00597095">
        <w:rPr>
          <w:rFonts w:ascii="Verdana" w:hAnsi="Verdana"/>
          <w:sz w:val="18"/>
          <w:szCs w:val="18"/>
        </w:rPr>
        <w:t xml:space="preserve"> Verzoeken om overleg van Canadese investeerders wegens een vermeende schending van de EU of een EU-lidstaat worden aan de EU gericht. </w:t>
      </w:r>
    </w:p>
    <w:p w:rsidRPr="00597095" w:rsidR="00326F21" w:rsidP="00597095" w:rsidRDefault="00326F21" w14:paraId="6BB16EFC" w14:textId="77777777">
      <w:pPr>
        <w:spacing w:after="0"/>
        <w:rPr>
          <w:rFonts w:ascii="Verdana" w:hAnsi="Verdana"/>
          <w:sz w:val="18"/>
          <w:szCs w:val="18"/>
        </w:rPr>
      </w:pPr>
      <w:r w:rsidRPr="00597095">
        <w:rPr>
          <w:rFonts w:ascii="Verdana" w:hAnsi="Verdana"/>
          <w:sz w:val="18"/>
          <w:szCs w:val="18"/>
        </w:rPr>
        <w:t xml:space="preserve">Los van deze verplichte consultaties kunnen partijen bij het geschil daarnaast te allen tijde een beroep op bemiddeling doen. Bemiddeling is vrijwillig. De bemiddelaar wordt aangewezen met instemming van de partijen bij het geschil. Partijen kunnen ook de secretaris-generaal van het International Centre </w:t>
      </w:r>
      <w:proofErr w:type="spellStart"/>
      <w:r w:rsidRPr="00597095">
        <w:rPr>
          <w:rFonts w:ascii="Verdana" w:hAnsi="Verdana"/>
          <w:sz w:val="18"/>
          <w:szCs w:val="18"/>
        </w:rPr>
        <w:t>for</w:t>
      </w:r>
      <w:proofErr w:type="spellEnd"/>
      <w:r w:rsidRPr="00597095">
        <w:rPr>
          <w:rFonts w:ascii="Verdana" w:hAnsi="Verdana"/>
          <w:sz w:val="18"/>
          <w:szCs w:val="18"/>
        </w:rPr>
        <w:t xml:space="preserve"> </w:t>
      </w:r>
      <w:proofErr w:type="spellStart"/>
      <w:r w:rsidRPr="00597095">
        <w:rPr>
          <w:rFonts w:ascii="Verdana" w:hAnsi="Verdana"/>
          <w:sz w:val="18"/>
          <w:szCs w:val="18"/>
        </w:rPr>
        <w:t>Settlement</w:t>
      </w:r>
      <w:proofErr w:type="spellEnd"/>
      <w:r w:rsidRPr="00597095">
        <w:rPr>
          <w:rFonts w:ascii="Verdana" w:hAnsi="Verdana"/>
          <w:sz w:val="18"/>
          <w:szCs w:val="18"/>
        </w:rPr>
        <w:t xml:space="preserve"> of Investment </w:t>
      </w:r>
      <w:proofErr w:type="spellStart"/>
      <w:r w:rsidRPr="00597095">
        <w:rPr>
          <w:rFonts w:ascii="Verdana" w:hAnsi="Verdana"/>
          <w:sz w:val="18"/>
          <w:szCs w:val="18"/>
        </w:rPr>
        <w:t>Disputes</w:t>
      </w:r>
      <w:proofErr w:type="spellEnd"/>
      <w:r w:rsidRPr="00597095">
        <w:rPr>
          <w:rFonts w:ascii="Verdana" w:hAnsi="Verdana"/>
          <w:sz w:val="18"/>
          <w:szCs w:val="18"/>
        </w:rPr>
        <w:t xml:space="preserve"> (ICSID) verzoeken de bemiddelaar aan te wijzen (artikel 8.20). </w:t>
      </w:r>
      <w:r w:rsidR="00D70F58">
        <w:rPr>
          <w:rFonts w:ascii="Verdana" w:hAnsi="Verdana"/>
          <w:sz w:val="18"/>
          <w:szCs w:val="18"/>
        </w:rPr>
        <w:br/>
      </w:r>
    </w:p>
    <w:p w:rsidRPr="00597095" w:rsidR="00326F21" w:rsidP="00597095" w:rsidRDefault="00D70F58" w14:paraId="10FB9783" w14:textId="77777777">
      <w:pPr>
        <w:spacing w:after="0"/>
        <w:rPr>
          <w:rFonts w:ascii="Verdana" w:hAnsi="Verdana"/>
          <w:sz w:val="18"/>
          <w:szCs w:val="18"/>
        </w:rPr>
      </w:pPr>
      <w:r>
        <w:rPr>
          <w:rFonts w:ascii="Verdana" w:hAnsi="Verdana"/>
          <w:sz w:val="18"/>
          <w:szCs w:val="18"/>
        </w:rPr>
        <w:t xml:space="preserve">Voor een geschil tussen een Canadese investeerder en de EU en/of een EU-lidstaat geldt een specifieke procedure die de verweerder van EU zijde vaststelt. </w:t>
      </w:r>
      <w:r w:rsidRPr="00597095" w:rsidR="00326F21">
        <w:rPr>
          <w:rFonts w:ascii="Verdana" w:hAnsi="Verdana"/>
          <w:sz w:val="18"/>
          <w:szCs w:val="18"/>
        </w:rPr>
        <w:t xml:space="preserve">Indien </w:t>
      </w:r>
      <w:r>
        <w:rPr>
          <w:rFonts w:ascii="Verdana" w:hAnsi="Verdana"/>
          <w:sz w:val="18"/>
          <w:szCs w:val="18"/>
        </w:rPr>
        <w:t xml:space="preserve">in dat geval </w:t>
      </w:r>
      <w:r w:rsidRPr="00597095" w:rsidR="00326F21">
        <w:rPr>
          <w:rFonts w:ascii="Verdana" w:hAnsi="Verdana"/>
          <w:sz w:val="18"/>
          <w:szCs w:val="18"/>
        </w:rPr>
        <w:t xml:space="preserve">consultaties tussen een Canadese investeerder en de EU niet binnen 90 dagen hebben geleid tot een schikking, kan de investeerder de EU verzoeken te bepalen of de EU of de EU-lidstaat aangemerkt moet worden als verweerder in het geschil. De EU stelt, na de verweerder te hebben bepaald, de investeerder in kennis van het feit dat de EU of een EU-lidstaat zal optreden als verweerder. De criteria om de verweerder vast te stellen, zijn in lijn met Verordening 912/2014 van 23 juli 2014 tot vaststelling van een kader voor het regelen van de financiële verantwoordelijkheid in verband met scheidsgerechten voor de beslechting van geschillen tussen investeerders en staten die zijn ingesteld bij internationale overeenkomsten waarbij de Europese Unie partij is. </w:t>
      </w:r>
      <w:r w:rsidR="00597095">
        <w:rPr>
          <w:rFonts w:ascii="Verdana" w:hAnsi="Verdana"/>
          <w:sz w:val="18"/>
          <w:szCs w:val="18"/>
        </w:rPr>
        <w:br/>
      </w:r>
    </w:p>
    <w:p w:rsidRPr="00597095" w:rsidR="00326F21" w:rsidP="00597095" w:rsidRDefault="00326F21" w14:paraId="1EF027AD" w14:textId="77777777">
      <w:pPr>
        <w:spacing w:after="0"/>
        <w:rPr>
          <w:rFonts w:ascii="Verdana" w:hAnsi="Verdana"/>
          <w:sz w:val="18"/>
          <w:szCs w:val="18"/>
        </w:rPr>
      </w:pPr>
      <w:r w:rsidRPr="00597095">
        <w:rPr>
          <w:rFonts w:ascii="Verdana" w:hAnsi="Verdana"/>
          <w:sz w:val="18"/>
          <w:szCs w:val="18"/>
        </w:rPr>
        <w:t xml:space="preserve">In artikel 8.22 worden de procedurele eisen voor het indienen van een verzoek bij het Gerecht door een investeerder uiteengezet. </w:t>
      </w:r>
      <w:r w:rsidR="00D70F58">
        <w:rPr>
          <w:rFonts w:ascii="Verdana" w:hAnsi="Verdana"/>
          <w:sz w:val="18"/>
          <w:szCs w:val="18"/>
        </w:rPr>
        <w:t>Hierbij zijn regels gesteld om p</w:t>
      </w:r>
      <w:r w:rsidRPr="00597095">
        <w:rPr>
          <w:rFonts w:ascii="Verdana" w:hAnsi="Verdana"/>
          <w:sz w:val="18"/>
          <w:szCs w:val="18"/>
        </w:rPr>
        <w:t>arallelle procedures over hetzelfde geschil bij de nationale rechter en het Investeringsgerecht</w:t>
      </w:r>
      <w:r w:rsidR="00D70F58">
        <w:rPr>
          <w:rFonts w:ascii="Verdana" w:hAnsi="Verdana"/>
          <w:sz w:val="18"/>
          <w:szCs w:val="18"/>
        </w:rPr>
        <w:t xml:space="preserve"> te voorkomen (</w:t>
      </w:r>
      <w:r w:rsidRPr="00597095" w:rsidR="00D70F58">
        <w:rPr>
          <w:rFonts w:ascii="Verdana" w:hAnsi="Verdana"/>
          <w:sz w:val="18"/>
          <w:szCs w:val="18"/>
        </w:rPr>
        <w:t>Lid 1, sub f en g</w:t>
      </w:r>
      <w:r w:rsidR="00D70F58">
        <w:rPr>
          <w:rFonts w:ascii="Verdana" w:hAnsi="Verdana"/>
          <w:sz w:val="18"/>
          <w:szCs w:val="18"/>
        </w:rPr>
        <w:t>)</w:t>
      </w:r>
      <w:r w:rsidRPr="00597095">
        <w:rPr>
          <w:rFonts w:ascii="Verdana" w:hAnsi="Verdana"/>
          <w:sz w:val="18"/>
          <w:szCs w:val="18"/>
        </w:rPr>
        <w:t xml:space="preserve">. Ook wordt voorkomen dat een investeerder naar de nationale rechter stapt nadat de procedure bij het Investeringsgerecht is afgerond. </w:t>
      </w:r>
    </w:p>
    <w:p w:rsidRPr="00EB3978" w:rsidR="00326F21" w:rsidP="00597095" w:rsidRDefault="00326F21" w14:paraId="7E2EDC54" w14:textId="77777777">
      <w:pPr>
        <w:spacing w:after="0"/>
        <w:rPr>
          <w:rFonts w:ascii="Verdana" w:hAnsi="Verdana"/>
          <w:sz w:val="18"/>
          <w:szCs w:val="18"/>
        </w:rPr>
      </w:pPr>
      <w:r w:rsidRPr="00597095">
        <w:rPr>
          <w:rFonts w:ascii="Verdana" w:hAnsi="Verdana"/>
          <w:sz w:val="18"/>
          <w:szCs w:val="18"/>
        </w:rPr>
        <w:t>Artikel 8.23 betreft het indienen van een verzoek bij het Gerecht en welke procedures van toepassing zullen zijn. Een verzoek kan worden ingediend op grond van het ICSID-verdrag e</w:t>
      </w:r>
      <w:r w:rsidRPr="00597095" w:rsidR="00597095">
        <w:rPr>
          <w:rFonts w:ascii="Verdana" w:hAnsi="Verdana"/>
          <w:sz w:val="18"/>
          <w:szCs w:val="18"/>
        </w:rPr>
        <w:t>n het regelement voor arbitrage</w:t>
      </w:r>
      <w:r w:rsidR="00597095">
        <w:rPr>
          <w:rFonts w:ascii="Verdana" w:hAnsi="Verdana"/>
          <w:sz w:val="18"/>
          <w:szCs w:val="18"/>
        </w:rPr>
        <w:t xml:space="preserve">; </w:t>
      </w:r>
      <w:r w:rsidRPr="00EB3978">
        <w:rPr>
          <w:rFonts w:ascii="Verdana" w:hAnsi="Verdana"/>
          <w:sz w:val="18"/>
          <w:szCs w:val="18"/>
        </w:rPr>
        <w:t xml:space="preserve">de ICSID-bepalingen betreffende aanvullende mogelijkheden; de arbitrageregels van UNCITRAL (Commissie voor Internationaal Handelsrecht van de Verenigde Naties); of op grond van alle andere voorschriften waarover partijen bij het geschil overeenstemming bereiken. </w:t>
      </w:r>
    </w:p>
    <w:p w:rsidRPr="00EB3978" w:rsidR="00326F21" w:rsidP="00A57CE8" w:rsidRDefault="00326F21" w14:paraId="0F0B5D4D" w14:textId="44FE37DC">
      <w:pPr>
        <w:spacing w:after="0"/>
        <w:rPr>
          <w:rFonts w:ascii="Verdana" w:hAnsi="Verdana"/>
          <w:sz w:val="18"/>
          <w:szCs w:val="18"/>
        </w:rPr>
      </w:pPr>
      <w:r w:rsidRPr="00EB3978">
        <w:rPr>
          <w:rFonts w:ascii="Verdana" w:hAnsi="Verdana"/>
          <w:sz w:val="18"/>
          <w:szCs w:val="18"/>
        </w:rPr>
        <w:t xml:space="preserve">Artikel 8.26 verplicht partijen bij het geschil in het kader van transparantie tot openbaarmaking van eventuele financiering door derde partijen. </w:t>
      </w:r>
    </w:p>
    <w:p w:rsidRPr="00871C1B" w:rsidR="00326F21" w:rsidP="00A57CE8" w:rsidRDefault="00326F21" w14:paraId="42070A1F" w14:textId="77777777">
      <w:pPr>
        <w:spacing w:after="0"/>
        <w:rPr>
          <w:rFonts w:ascii="Verdana" w:hAnsi="Verdana"/>
          <w:b/>
          <w:sz w:val="18"/>
          <w:szCs w:val="18"/>
        </w:rPr>
      </w:pPr>
    </w:p>
    <w:p w:rsidRPr="006F3FF7" w:rsidR="00A57CE8" w:rsidP="00A57CE8" w:rsidRDefault="00A57CE8" w14:paraId="231C151D" w14:textId="77777777">
      <w:pPr>
        <w:spacing w:after="0"/>
        <w:rPr>
          <w:rFonts w:ascii="Verdana" w:hAnsi="Verdana"/>
          <w:sz w:val="18"/>
          <w:szCs w:val="18"/>
        </w:rPr>
      </w:pPr>
      <w:r w:rsidRPr="006F3FF7">
        <w:rPr>
          <w:rFonts w:ascii="Verdana" w:hAnsi="Verdana"/>
          <w:b/>
          <w:sz w:val="18"/>
          <w:szCs w:val="18"/>
        </w:rPr>
        <w:t>Vraag 29</w:t>
      </w:r>
    </w:p>
    <w:p w:rsidRPr="006F3FF7" w:rsidR="00A57CE8" w:rsidP="00A57CE8" w:rsidRDefault="007367FC" w14:paraId="0762C8D0" w14:textId="77777777">
      <w:pPr>
        <w:spacing w:after="0"/>
        <w:rPr>
          <w:rFonts w:ascii="Verdana" w:hAnsi="Verdana"/>
          <w:sz w:val="18"/>
          <w:szCs w:val="18"/>
        </w:rPr>
      </w:pPr>
      <w:r w:rsidRPr="006F3FF7">
        <w:rPr>
          <w:rFonts w:ascii="Verdana" w:hAnsi="Verdana"/>
          <w:sz w:val="18"/>
          <w:szCs w:val="18"/>
        </w:rPr>
        <w:t>Hoe vaak is er tijdens de voorlopige inwerkingtreding van het CETA verdrag een rechtszaak om wat voor reden dan ook geweest waarbij een beroep op het verdrag is gedaan?</w:t>
      </w:r>
      <w:r w:rsidRPr="006F3FF7" w:rsidR="00A57CE8">
        <w:rPr>
          <w:rFonts w:ascii="Verdana" w:hAnsi="Verdana"/>
          <w:sz w:val="18"/>
          <w:szCs w:val="18"/>
        </w:rPr>
        <w:t xml:space="preserve"> </w:t>
      </w:r>
    </w:p>
    <w:p w:rsidRPr="006F3FF7" w:rsidR="00A57CE8" w:rsidP="00A57CE8" w:rsidRDefault="00A57CE8" w14:paraId="73BE8DC7" w14:textId="77777777">
      <w:pPr>
        <w:spacing w:after="0"/>
        <w:rPr>
          <w:rFonts w:ascii="Verdana" w:hAnsi="Verdana"/>
          <w:sz w:val="18"/>
          <w:szCs w:val="18"/>
        </w:rPr>
      </w:pPr>
    </w:p>
    <w:p w:rsidRPr="006F3FF7" w:rsidR="00A57CE8" w:rsidP="00A57CE8" w:rsidRDefault="00A57CE8" w14:paraId="705210AA" w14:textId="77777777">
      <w:pPr>
        <w:spacing w:after="0"/>
        <w:rPr>
          <w:rFonts w:ascii="Verdana" w:hAnsi="Verdana"/>
          <w:b/>
          <w:sz w:val="18"/>
          <w:szCs w:val="18"/>
        </w:rPr>
      </w:pPr>
      <w:r w:rsidRPr="006F3FF7">
        <w:rPr>
          <w:rFonts w:ascii="Verdana" w:hAnsi="Verdana"/>
          <w:b/>
          <w:sz w:val="18"/>
          <w:szCs w:val="18"/>
        </w:rPr>
        <w:t>Antwoord</w:t>
      </w:r>
    </w:p>
    <w:p w:rsidRPr="00871C1B" w:rsidR="00045C7F" w:rsidP="006F3FF7" w:rsidRDefault="00954AFD" w14:paraId="17562FE3" w14:textId="77777777">
      <w:pPr>
        <w:spacing w:after="0"/>
        <w:rPr>
          <w:rFonts w:ascii="Verdana" w:hAnsi="Verdana"/>
          <w:sz w:val="18"/>
          <w:szCs w:val="18"/>
        </w:rPr>
      </w:pPr>
      <w:r>
        <w:rPr>
          <w:rFonts w:ascii="Verdana" w:hAnsi="Verdana"/>
          <w:sz w:val="18"/>
          <w:szCs w:val="18"/>
        </w:rPr>
        <w:t xml:space="preserve">Het Investment Court System valt niet onder voorlopige toepassing van het verdrag en is dus nog niet van kracht. Er kan nog geen beroep worden gedaan </w:t>
      </w:r>
      <w:r w:rsidR="00B002C2">
        <w:rPr>
          <w:rFonts w:ascii="Verdana" w:hAnsi="Verdana"/>
          <w:sz w:val="18"/>
          <w:szCs w:val="18"/>
        </w:rPr>
        <w:t>op</w:t>
      </w:r>
      <w:r>
        <w:rPr>
          <w:rFonts w:ascii="Verdana" w:hAnsi="Verdana"/>
          <w:sz w:val="18"/>
          <w:szCs w:val="18"/>
        </w:rPr>
        <w:t xml:space="preserve"> het geschillenbeslechtingsmechanisme van het Investment Court System</w:t>
      </w:r>
      <w:r w:rsidR="00B002C2">
        <w:rPr>
          <w:rFonts w:ascii="Verdana" w:hAnsi="Verdana"/>
          <w:sz w:val="18"/>
          <w:szCs w:val="18"/>
        </w:rPr>
        <w:t>.</w:t>
      </w:r>
    </w:p>
    <w:p w:rsidRPr="00871C1B" w:rsidR="00A57CE8" w:rsidP="00A57CE8" w:rsidRDefault="00A57CE8" w14:paraId="6077E11E" w14:textId="77777777">
      <w:pPr>
        <w:spacing w:after="0"/>
        <w:rPr>
          <w:rFonts w:ascii="Verdana" w:hAnsi="Verdana"/>
          <w:b/>
          <w:sz w:val="18"/>
          <w:szCs w:val="18"/>
        </w:rPr>
      </w:pPr>
    </w:p>
    <w:p w:rsidRPr="006F3FF7" w:rsidR="007367FC" w:rsidP="00A57CE8" w:rsidRDefault="00A57CE8" w14:paraId="72042AF0" w14:textId="77777777">
      <w:pPr>
        <w:spacing w:after="0"/>
        <w:rPr>
          <w:rFonts w:ascii="Verdana" w:hAnsi="Verdana"/>
          <w:sz w:val="18"/>
          <w:szCs w:val="18"/>
        </w:rPr>
      </w:pPr>
      <w:r w:rsidRPr="006F3FF7">
        <w:rPr>
          <w:rFonts w:ascii="Verdana" w:hAnsi="Verdana"/>
          <w:b/>
          <w:sz w:val="18"/>
          <w:szCs w:val="18"/>
        </w:rPr>
        <w:t>Vraag 30</w:t>
      </w:r>
    </w:p>
    <w:p w:rsidRPr="006F3FF7" w:rsidR="00A57CE8" w:rsidP="00A57CE8" w:rsidRDefault="007367FC" w14:paraId="24F040BC" w14:textId="77777777">
      <w:pPr>
        <w:spacing w:after="0"/>
        <w:rPr>
          <w:rFonts w:ascii="Verdana" w:hAnsi="Verdana"/>
          <w:sz w:val="18"/>
          <w:szCs w:val="18"/>
        </w:rPr>
      </w:pPr>
      <w:r w:rsidRPr="006F3FF7">
        <w:rPr>
          <w:rFonts w:ascii="Verdana" w:hAnsi="Verdana"/>
          <w:sz w:val="18"/>
          <w:szCs w:val="18"/>
        </w:rPr>
        <w:t>Hoe vaak heeft Nederland met Canada een handelsconflict gehad sinds het bestaan van de EU?</w:t>
      </w:r>
      <w:r w:rsidRPr="006F3FF7" w:rsidR="00A57CE8">
        <w:rPr>
          <w:rFonts w:ascii="Verdana" w:hAnsi="Verdana"/>
          <w:sz w:val="18"/>
          <w:szCs w:val="18"/>
        </w:rPr>
        <w:t xml:space="preserve"> </w:t>
      </w:r>
    </w:p>
    <w:p w:rsidRPr="006F3FF7" w:rsidR="00A57CE8" w:rsidP="00A57CE8" w:rsidRDefault="00A57CE8" w14:paraId="2FF03667" w14:textId="77777777">
      <w:pPr>
        <w:spacing w:after="0"/>
        <w:rPr>
          <w:rFonts w:ascii="Verdana" w:hAnsi="Verdana"/>
          <w:sz w:val="18"/>
          <w:szCs w:val="18"/>
        </w:rPr>
      </w:pPr>
    </w:p>
    <w:p w:rsidRPr="006F3FF7" w:rsidR="00A57CE8" w:rsidP="00A57CE8" w:rsidRDefault="00A57CE8" w14:paraId="2D63D98C" w14:textId="77777777">
      <w:pPr>
        <w:spacing w:after="0"/>
        <w:rPr>
          <w:rFonts w:ascii="Verdana" w:hAnsi="Verdana"/>
          <w:b/>
          <w:sz w:val="18"/>
          <w:szCs w:val="18"/>
        </w:rPr>
      </w:pPr>
      <w:r w:rsidRPr="006F3FF7">
        <w:rPr>
          <w:rFonts w:ascii="Verdana" w:hAnsi="Verdana"/>
          <w:b/>
          <w:sz w:val="18"/>
          <w:szCs w:val="18"/>
        </w:rPr>
        <w:lastRenderedPageBreak/>
        <w:t>Antwoord</w:t>
      </w:r>
    </w:p>
    <w:p w:rsidR="007367FC" w:rsidP="00A57CE8" w:rsidRDefault="007367FC" w14:paraId="6A9D9850" w14:textId="77777777">
      <w:pPr>
        <w:spacing w:after="0"/>
        <w:rPr>
          <w:rFonts w:ascii="Verdana" w:hAnsi="Verdana"/>
          <w:sz w:val="18"/>
          <w:szCs w:val="18"/>
        </w:rPr>
      </w:pPr>
      <w:r w:rsidRPr="006F3FF7">
        <w:rPr>
          <w:rFonts w:ascii="Verdana" w:hAnsi="Verdana"/>
          <w:sz w:val="18"/>
          <w:szCs w:val="18"/>
        </w:rPr>
        <w:t>Nederland en Canada hebben een uitstekende handelsrelatie. Toch ontstaan ook met goede handelspartners soms handelsfricties. De Europese Commissie treedt in de WTO op namens de EU. Zo heeft de EU in het verleden zesmaal een WTO-zaak tegen Canada gevoerd. Het komt echter vaker voor dat Canada of de EU zich bij een zaak voegt die één van de partijen tegen een derde land is gestart, omdat Europese en Canadese ondernemers in derde landen tegen dezelfde problemen aanlopen.</w:t>
      </w:r>
      <w:r w:rsidRPr="006F3FF7">
        <w:rPr>
          <w:rStyle w:val="FootnoteReference"/>
          <w:rFonts w:ascii="Verdana" w:hAnsi="Verdana"/>
          <w:sz w:val="18"/>
          <w:szCs w:val="18"/>
        </w:rPr>
        <w:footnoteReference w:id="8"/>
      </w:r>
      <w:r w:rsidRPr="006F3FF7">
        <w:rPr>
          <w:rFonts w:ascii="Verdana" w:hAnsi="Verdana"/>
          <w:sz w:val="18"/>
          <w:szCs w:val="18"/>
        </w:rPr>
        <w:t xml:space="preserve"> Daarnaast worden markttoegangsproblemen veel vaker buiten geschillenbeslechting  besproken en geadresseerd. Een overzicht van markttoegangsproblemen die Europese ondernemers ervaren in Canada en gemeld zijn bij de Commissie is te vinden in de Market Access Database.</w:t>
      </w:r>
      <w:r w:rsidRPr="006F3FF7">
        <w:rPr>
          <w:rStyle w:val="FootnoteReference"/>
          <w:rFonts w:ascii="Verdana" w:hAnsi="Verdana"/>
          <w:sz w:val="18"/>
          <w:szCs w:val="18"/>
        </w:rPr>
        <w:footnoteReference w:id="9"/>
      </w:r>
      <w:r w:rsidRPr="006F3FF7">
        <w:rPr>
          <w:rFonts w:ascii="Verdana" w:hAnsi="Verdana"/>
          <w:sz w:val="18"/>
          <w:szCs w:val="18"/>
        </w:rPr>
        <w:br/>
      </w:r>
    </w:p>
    <w:p w:rsidRPr="006F3FF7" w:rsidR="00A57CE8" w:rsidP="00A57CE8" w:rsidRDefault="00A57CE8" w14:paraId="3AE927B4" w14:textId="77777777">
      <w:pPr>
        <w:spacing w:after="0"/>
        <w:rPr>
          <w:rFonts w:ascii="Verdana" w:hAnsi="Verdana"/>
          <w:sz w:val="18"/>
          <w:szCs w:val="18"/>
        </w:rPr>
      </w:pPr>
      <w:r w:rsidRPr="006F3FF7">
        <w:rPr>
          <w:rFonts w:ascii="Verdana" w:hAnsi="Verdana"/>
          <w:b/>
          <w:sz w:val="18"/>
          <w:szCs w:val="18"/>
        </w:rPr>
        <w:t>Vraag 31</w:t>
      </w:r>
    </w:p>
    <w:p w:rsidRPr="006F3FF7" w:rsidR="007367FC" w:rsidP="00A57CE8" w:rsidRDefault="007367FC" w14:paraId="1DA4FAC9" w14:textId="77777777">
      <w:pPr>
        <w:spacing w:after="0"/>
        <w:rPr>
          <w:rFonts w:ascii="Verdana" w:hAnsi="Verdana"/>
          <w:sz w:val="18"/>
          <w:szCs w:val="18"/>
        </w:rPr>
      </w:pPr>
      <w:r w:rsidRPr="006F3FF7">
        <w:rPr>
          <w:rFonts w:ascii="Verdana" w:hAnsi="Verdana"/>
          <w:sz w:val="18"/>
          <w:szCs w:val="18"/>
        </w:rPr>
        <w:t>Hoe groot zijn de volgende sectoren in Nederland en in Canada?</w:t>
      </w:r>
    </w:p>
    <w:p w:rsidRPr="006F3FF7" w:rsidR="007367FC" w:rsidP="00A57CE8" w:rsidRDefault="007367FC" w14:paraId="5D35B50E" w14:textId="77777777">
      <w:pPr>
        <w:pStyle w:val="ListParagraph"/>
        <w:numPr>
          <w:ilvl w:val="0"/>
          <w:numId w:val="3"/>
        </w:numPr>
        <w:spacing w:after="0"/>
        <w:rPr>
          <w:rFonts w:ascii="Verdana" w:hAnsi="Verdana"/>
          <w:sz w:val="18"/>
          <w:szCs w:val="18"/>
        </w:rPr>
      </w:pPr>
      <w:r w:rsidRPr="006F3FF7">
        <w:rPr>
          <w:rFonts w:ascii="Verdana" w:hAnsi="Verdana"/>
          <w:sz w:val="18"/>
          <w:szCs w:val="18"/>
        </w:rPr>
        <w:t>Melkveehouders</w:t>
      </w:r>
    </w:p>
    <w:p w:rsidRPr="006F3FF7" w:rsidR="007367FC" w:rsidP="00A57CE8" w:rsidRDefault="007367FC" w14:paraId="706FB13A" w14:textId="77777777">
      <w:pPr>
        <w:pStyle w:val="ListParagraph"/>
        <w:numPr>
          <w:ilvl w:val="0"/>
          <w:numId w:val="3"/>
        </w:numPr>
        <w:spacing w:after="0"/>
        <w:rPr>
          <w:rFonts w:ascii="Verdana" w:hAnsi="Verdana"/>
          <w:sz w:val="18"/>
          <w:szCs w:val="18"/>
        </w:rPr>
      </w:pPr>
      <w:r w:rsidRPr="006F3FF7">
        <w:rPr>
          <w:rFonts w:ascii="Verdana" w:hAnsi="Verdana"/>
          <w:sz w:val="18"/>
          <w:szCs w:val="18"/>
        </w:rPr>
        <w:t>Rundvlees</w:t>
      </w:r>
    </w:p>
    <w:p w:rsidRPr="006F3FF7" w:rsidR="007367FC" w:rsidP="00A57CE8" w:rsidRDefault="007367FC" w14:paraId="07EEE16E" w14:textId="77777777">
      <w:pPr>
        <w:pStyle w:val="ListParagraph"/>
        <w:numPr>
          <w:ilvl w:val="0"/>
          <w:numId w:val="3"/>
        </w:numPr>
        <w:spacing w:after="0"/>
        <w:rPr>
          <w:rFonts w:ascii="Verdana" w:hAnsi="Verdana"/>
          <w:sz w:val="18"/>
          <w:szCs w:val="18"/>
        </w:rPr>
      </w:pPr>
      <w:r w:rsidRPr="006F3FF7">
        <w:rPr>
          <w:rFonts w:ascii="Verdana" w:hAnsi="Verdana"/>
          <w:sz w:val="18"/>
          <w:szCs w:val="18"/>
        </w:rPr>
        <w:t>Tuinbouw</w:t>
      </w:r>
    </w:p>
    <w:p w:rsidRPr="006F3FF7" w:rsidR="007367FC" w:rsidP="00A57CE8" w:rsidRDefault="007367FC" w14:paraId="724AE70A" w14:textId="77777777">
      <w:pPr>
        <w:pStyle w:val="ListParagraph"/>
        <w:numPr>
          <w:ilvl w:val="0"/>
          <w:numId w:val="3"/>
        </w:numPr>
        <w:spacing w:after="0"/>
        <w:rPr>
          <w:rFonts w:ascii="Verdana" w:hAnsi="Verdana"/>
          <w:sz w:val="18"/>
          <w:szCs w:val="18"/>
        </w:rPr>
      </w:pPr>
      <w:r w:rsidRPr="006F3FF7">
        <w:rPr>
          <w:rFonts w:ascii="Verdana" w:hAnsi="Verdana"/>
          <w:sz w:val="18"/>
          <w:szCs w:val="18"/>
        </w:rPr>
        <w:t>Machinerie</w:t>
      </w:r>
    </w:p>
    <w:p w:rsidRPr="006F3FF7" w:rsidR="00A57CE8" w:rsidP="00A57CE8" w:rsidRDefault="00A57CE8" w14:paraId="3E8E5FAC" w14:textId="77777777">
      <w:pPr>
        <w:spacing w:after="0"/>
        <w:rPr>
          <w:rFonts w:ascii="Verdana" w:hAnsi="Verdana"/>
          <w:sz w:val="18"/>
          <w:szCs w:val="18"/>
        </w:rPr>
      </w:pPr>
    </w:p>
    <w:p w:rsidR="009D3CB7" w:rsidP="00A57CE8" w:rsidRDefault="00A57CE8" w14:paraId="76F918D5" w14:textId="77777777">
      <w:pPr>
        <w:spacing w:after="0"/>
        <w:rPr>
          <w:rFonts w:ascii="Verdana" w:hAnsi="Verdana"/>
          <w:sz w:val="18"/>
          <w:szCs w:val="18"/>
        </w:rPr>
      </w:pPr>
      <w:r w:rsidRPr="006F3FF7">
        <w:rPr>
          <w:rFonts w:ascii="Verdana" w:hAnsi="Verdana"/>
          <w:b/>
          <w:sz w:val="18"/>
          <w:szCs w:val="18"/>
        </w:rPr>
        <w:t>Antwoord</w:t>
      </w:r>
    </w:p>
    <w:p w:rsidRPr="006F3FF7" w:rsidR="009D3CB7" w:rsidP="00A57CE8" w:rsidRDefault="009D3CB7" w14:paraId="4D3A8AEE" w14:textId="62D6CDEB">
      <w:pPr>
        <w:spacing w:after="0"/>
        <w:rPr>
          <w:rFonts w:ascii="Verdana" w:hAnsi="Verdana"/>
          <w:b/>
          <w:sz w:val="18"/>
          <w:szCs w:val="18"/>
        </w:rPr>
      </w:pPr>
      <w:r>
        <w:rPr>
          <w:rFonts w:ascii="Verdana" w:hAnsi="Verdana"/>
          <w:sz w:val="18"/>
          <w:szCs w:val="18"/>
        </w:rPr>
        <w:t>In internationaal vergelijkbare statistieken is de tuinbouwsector vaak niet afgebakend. Ter illustratie zijn de cijfers van fruit, granen en groente productie gegeven. De oppervlakte van Canada is ruim 240 keer zo groot als Nederland en Canada heeft bijna twee keer zoveel inwoners.</w:t>
      </w:r>
      <w:r w:rsidR="002E38CB">
        <w:rPr>
          <w:rFonts w:ascii="Verdana" w:hAnsi="Verdana"/>
          <w:sz w:val="18"/>
          <w:szCs w:val="18"/>
        </w:rPr>
        <w:t xml:space="preserve"> De cijfers zijn van 2017 behalve voor de sector machines en transportmiddelen</w:t>
      </w:r>
      <w:r w:rsidR="0006563B">
        <w:rPr>
          <w:rFonts w:ascii="Verdana" w:hAnsi="Verdana"/>
          <w:sz w:val="18"/>
          <w:szCs w:val="18"/>
        </w:rPr>
        <w:t>,</w:t>
      </w:r>
      <w:r w:rsidR="002E38CB">
        <w:rPr>
          <w:rFonts w:ascii="Verdana" w:hAnsi="Verdana"/>
          <w:sz w:val="18"/>
          <w:szCs w:val="18"/>
        </w:rPr>
        <w:t xml:space="preserve"> die dateren van 2016.</w:t>
      </w:r>
    </w:p>
    <w:p w:rsidR="009C1442" w:rsidP="00EB3978" w:rsidRDefault="009C1442" w14:paraId="59F0A77F" w14:textId="77777777">
      <w:pPr>
        <w:spacing w:after="0"/>
        <w:rPr>
          <w:rFonts w:ascii="Verdana" w:hAnsi="Verdana"/>
          <w:sz w:val="18"/>
          <w:szCs w:val="18"/>
        </w:rPr>
      </w:pPr>
    </w:p>
    <w:tbl>
      <w:tblPr>
        <w:tblStyle w:val="TableGrid"/>
        <w:tblW w:w="6318" w:type="dxa"/>
        <w:tblLook w:val="04A0" w:firstRow="1" w:lastRow="0" w:firstColumn="1" w:lastColumn="0" w:noHBand="0" w:noVBand="1"/>
      </w:tblPr>
      <w:tblGrid>
        <w:gridCol w:w="3882"/>
        <w:gridCol w:w="1218"/>
        <w:gridCol w:w="1218"/>
      </w:tblGrid>
      <w:tr w:rsidR="00873805" w:rsidTr="006B3975" w14:paraId="72E292D4" w14:textId="77777777">
        <w:tc>
          <w:tcPr>
            <w:tcW w:w="3882" w:type="dxa"/>
          </w:tcPr>
          <w:p w:rsidRPr="00EB3978" w:rsidR="00873805" w:rsidP="006B3975" w:rsidRDefault="002E38CB" w14:paraId="0056A794" w14:textId="77777777">
            <w:pPr>
              <w:rPr>
                <w:i/>
              </w:rPr>
            </w:pPr>
            <w:r w:rsidRPr="00EB3978">
              <w:rPr>
                <w:i/>
              </w:rPr>
              <w:t>Sector</w:t>
            </w:r>
          </w:p>
        </w:tc>
        <w:tc>
          <w:tcPr>
            <w:tcW w:w="1218" w:type="dxa"/>
          </w:tcPr>
          <w:p w:rsidRPr="00EB3978" w:rsidR="00873805" w:rsidP="006B3975" w:rsidRDefault="00873805" w14:paraId="17679696" w14:textId="77777777">
            <w:pPr>
              <w:rPr>
                <w:i/>
              </w:rPr>
            </w:pPr>
            <w:r w:rsidRPr="00EB3978">
              <w:rPr>
                <w:i/>
              </w:rPr>
              <w:t>NED</w:t>
            </w:r>
          </w:p>
        </w:tc>
        <w:tc>
          <w:tcPr>
            <w:tcW w:w="1218" w:type="dxa"/>
          </w:tcPr>
          <w:p w:rsidRPr="00EB3978" w:rsidR="00873805" w:rsidP="006B3975" w:rsidRDefault="00873805" w14:paraId="7C08A659" w14:textId="77777777">
            <w:pPr>
              <w:rPr>
                <w:i/>
              </w:rPr>
            </w:pPr>
            <w:r w:rsidRPr="00EB3978">
              <w:rPr>
                <w:i/>
              </w:rPr>
              <w:t>CAN</w:t>
            </w:r>
          </w:p>
        </w:tc>
      </w:tr>
      <w:tr w:rsidR="00873805" w:rsidTr="006B3975" w14:paraId="7A5D5E6E" w14:textId="77777777">
        <w:tc>
          <w:tcPr>
            <w:tcW w:w="3882" w:type="dxa"/>
          </w:tcPr>
          <w:p w:rsidR="00873805" w:rsidP="006B3975" w:rsidRDefault="00873805" w14:paraId="7927D403" w14:textId="77777777">
            <w:r>
              <w:t>Fruit (tonnen)</w:t>
            </w:r>
          </w:p>
        </w:tc>
        <w:tc>
          <w:tcPr>
            <w:tcW w:w="1218" w:type="dxa"/>
          </w:tcPr>
          <w:p w:rsidR="00873805" w:rsidP="006B3975" w:rsidRDefault="00873805" w14:paraId="07FD60D1" w14:textId="77777777">
            <w:pPr>
              <w:jc w:val="right"/>
            </w:pPr>
            <w:r w:rsidRPr="00FF104D">
              <w:t>649435</w:t>
            </w:r>
          </w:p>
        </w:tc>
        <w:tc>
          <w:tcPr>
            <w:tcW w:w="1218" w:type="dxa"/>
          </w:tcPr>
          <w:p w:rsidR="00873805" w:rsidP="006B3975" w:rsidRDefault="00873805" w14:paraId="1E77F0CB" w14:textId="77777777">
            <w:pPr>
              <w:jc w:val="right"/>
            </w:pPr>
            <w:r w:rsidRPr="00FF104D">
              <w:t>874770</w:t>
            </w:r>
          </w:p>
        </w:tc>
      </w:tr>
      <w:tr w:rsidR="00873805" w:rsidTr="006B3975" w14:paraId="1CD5FCFA" w14:textId="77777777">
        <w:tc>
          <w:tcPr>
            <w:tcW w:w="3882" w:type="dxa"/>
          </w:tcPr>
          <w:p w:rsidR="00873805" w:rsidP="006B3975" w:rsidRDefault="00873805" w14:paraId="6AFC9520" w14:textId="77777777">
            <w:r>
              <w:t>Granen (tonnen)</w:t>
            </w:r>
          </w:p>
        </w:tc>
        <w:tc>
          <w:tcPr>
            <w:tcW w:w="1218" w:type="dxa"/>
          </w:tcPr>
          <w:p w:rsidR="00873805" w:rsidP="006B3975" w:rsidRDefault="00873805" w14:paraId="76F1CD81" w14:textId="77777777">
            <w:pPr>
              <w:jc w:val="right"/>
            </w:pPr>
            <w:r w:rsidRPr="00FF104D">
              <w:t>1393510</w:t>
            </w:r>
          </w:p>
        </w:tc>
        <w:tc>
          <w:tcPr>
            <w:tcW w:w="1218" w:type="dxa"/>
          </w:tcPr>
          <w:p w:rsidR="00873805" w:rsidP="006B3975" w:rsidRDefault="00873805" w14:paraId="3565C8D2" w14:textId="77777777">
            <w:pPr>
              <w:jc w:val="right"/>
            </w:pPr>
            <w:r w:rsidRPr="00FF104D">
              <w:t>56310743</w:t>
            </w:r>
          </w:p>
        </w:tc>
      </w:tr>
      <w:tr w:rsidR="00873805" w:rsidTr="006B3975" w14:paraId="2B28C2AA" w14:textId="77777777">
        <w:tc>
          <w:tcPr>
            <w:tcW w:w="3882" w:type="dxa"/>
          </w:tcPr>
          <w:p w:rsidR="00873805" w:rsidP="006B3975" w:rsidRDefault="00873805" w14:paraId="5856D0BF" w14:textId="77777777">
            <w:r>
              <w:t>Groenten (tonnen)</w:t>
            </w:r>
          </w:p>
        </w:tc>
        <w:tc>
          <w:tcPr>
            <w:tcW w:w="1218" w:type="dxa"/>
          </w:tcPr>
          <w:p w:rsidR="00873805" w:rsidP="006B3975" w:rsidRDefault="00873805" w14:paraId="159305A2" w14:textId="77777777">
            <w:pPr>
              <w:jc w:val="right"/>
            </w:pPr>
            <w:r w:rsidRPr="00FF104D">
              <w:t>5407479</w:t>
            </w:r>
          </w:p>
        </w:tc>
        <w:tc>
          <w:tcPr>
            <w:tcW w:w="1218" w:type="dxa"/>
          </w:tcPr>
          <w:p w:rsidR="00873805" w:rsidP="006B3975" w:rsidRDefault="00873805" w14:paraId="444BCDF3" w14:textId="77777777">
            <w:pPr>
              <w:jc w:val="right"/>
            </w:pPr>
            <w:r w:rsidRPr="00FF104D">
              <w:t>2265902</w:t>
            </w:r>
          </w:p>
        </w:tc>
      </w:tr>
      <w:tr w:rsidR="00873805" w:rsidTr="006B3975" w14:paraId="2DEC077F" w14:textId="77777777">
        <w:tc>
          <w:tcPr>
            <w:tcW w:w="3882" w:type="dxa"/>
          </w:tcPr>
          <w:p w:rsidRPr="00FF104D" w:rsidR="00873805" w:rsidP="006B3975" w:rsidRDefault="00873805" w14:paraId="55C0B000" w14:textId="77777777">
            <w:pPr>
              <w:rPr>
                <w:lang w:val="en-US"/>
              </w:rPr>
            </w:pPr>
            <w:r>
              <w:rPr>
                <w:lang w:val="en-US"/>
              </w:rPr>
              <w:t>Melk (</w:t>
            </w:r>
            <w:proofErr w:type="spellStart"/>
            <w:r>
              <w:rPr>
                <w:lang w:val="en-US"/>
              </w:rPr>
              <w:t>tonnen</w:t>
            </w:r>
            <w:proofErr w:type="spellEnd"/>
            <w:r>
              <w:rPr>
                <w:lang w:val="en-US"/>
              </w:rPr>
              <w:t>)</w:t>
            </w:r>
          </w:p>
        </w:tc>
        <w:tc>
          <w:tcPr>
            <w:tcW w:w="1218" w:type="dxa"/>
          </w:tcPr>
          <w:p w:rsidR="00873805" w:rsidP="006B3975" w:rsidRDefault="00873805" w14:paraId="5C2CCB56" w14:textId="77777777">
            <w:pPr>
              <w:jc w:val="right"/>
            </w:pPr>
            <w:r w:rsidRPr="00F03708">
              <w:t>14543923</w:t>
            </w:r>
          </w:p>
        </w:tc>
        <w:tc>
          <w:tcPr>
            <w:tcW w:w="1218" w:type="dxa"/>
          </w:tcPr>
          <w:p w:rsidR="00873805" w:rsidP="006B3975" w:rsidRDefault="00873805" w14:paraId="3D818C31" w14:textId="77777777">
            <w:pPr>
              <w:jc w:val="right"/>
            </w:pPr>
            <w:r>
              <w:t>8100000</w:t>
            </w:r>
          </w:p>
        </w:tc>
      </w:tr>
      <w:tr w:rsidR="00873805" w:rsidTr="006B3975" w14:paraId="5E837154" w14:textId="77777777">
        <w:tc>
          <w:tcPr>
            <w:tcW w:w="3882" w:type="dxa"/>
          </w:tcPr>
          <w:p w:rsidR="00873805" w:rsidP="006B3975" w:rsidRDefault="00873805" w14:paraId="52E868DB" w14:textId="77777777">
            <w:r>
              <w:t>Rundvlees (tonnen)</w:t>
            </w:r>
          </w:p>
        </w:tc>
        <w:tc>
          <w:tcPr>
            <w:tcW w:w="1218" w:type="dxa"/>
          </w:tcPr>
          <w:p w:rsidR="00873805" w:rsidP="006B3975" w:rsidRDefault="00873805" w14:paraId="390B6B9B" w14:textId="77777777">
            <w:pPr>
              <w:jc w:val="right"/>
            </w:pPr>
            <w:r>
              <w:t>440639</w:t>
            </w:r>
          </w:p>
        </w:tc>
        <w:tc>
          <w:tcPr>
            <w:tcW w:w="1218" w:type="dxa"/>
          </w:tcPr>
          <w:p w:rsidR="00873805" w:rsidP="006B3975" w:rsidRDefault="00873805" w14:paraId="062BEF2E" w14:textId="77777777">
            <w:pPr>
              <w:jc w:val="right"/>
            </w:pPr>
            <w:r>
              <w:t>880039</w:t>
            </w:r>
          </w:p>
        </w:tc>
      </w:tr>
      <w:tr w:rsidR="00873805" w:rsidTr="006B3975" w14:paraId="4746FD03" w14:textId="77777777">
        <w:tc>
          <w:tcPr>
            <w:tcW w:w="3882" w:type="dxa"/>
          </w:tcPr>
          <w:p w:rsidR="00873805" w:rsidP="006B3975" w:rsidRDefault="00873805" w14:paraId="739F9780" w14:textId="77777777">
            <w:r>
              <w:t>Machines en transportmiddelen (Toegevoegde waarde, € mld.)</w:t>
            </w:r>
          </w:p>
        </w:tc>
        <w:tc>
          <w:tcPr>
            <w:tcW w:w="1218" w:type="dxa"/>
          </w:tcPr>
          <w:p w:rsidR="00873805" w:rsidP="006B3975" w:rsidRDefault="00873805" w14:paraId="4C841098" w14:textId="77777777">
            <w:pPr>
              <w:jc w:val="right"/>
            </w:pPr>
            <w:r>
              <w:t>24.9</w:t>
            </w:r>
          </w:p>
        </w:tc>
        <w:tc>
          <w:tcPr>
            <w:tcW w:w="1218" w:type="dxa"/>
          </w:tcPr>
          <w:p w:rsidR="00873805" w:rsidP="006B3975" w:rsidRDefault="00873805" w14:paraId="017D843E" w14:textId="77777777">
            <w:pPr>
              <w:jc w:val="right"/>
            </w:pPr>
            <w:r>
              <w:t>30.9</w:t>
            </w:r>
          </w:p>
        </w:tc>
      </w:tr>
    </w:tbl>
    <w:p w:rsidR="00873805" w:rsidP="00873805" w:rsidRDefault="00873805" w14:paraId="096548AA" w14:textId="77777777">
      <w:r>
        <w:t>Bron: FAOSTAT, World Bank</w:t>
      </w:r>
    </w:p>
    <w:p w:rsidRPr="006F3FF7" w:rsidR="00A57CE8" w:rsidP="00A57CE8" w:rsidRDefault="00A57CE8" w14:paraId="0429CFA0" w14:textId="77777777">
      <w:pPr>
        <w:spacing w:after="0"/>
        <w:rPr>
          <w:rFonts w:ascii="Verdana" w:hAnsi="Verdana"/>
          <w:b/>
          <w:sz w:val="18"/>
          <w:szCs w:val="18"/>
        </w:rPr>
      </w:pPr>
      <w:r w:rsidRPr="006F3FF7">
        <w:rPr>
          <w:rFonts w:ascii="Verdana" w:hAnsi="Verdana"/>
          <w:b/>
          <w:sz w:val="18"/>
          <w:szCs w:val="18"/>
        </w:rPr>
        <w:t>Vraag 32</w:t>
      </w:r>
    </w:p>
    <w:p w:rsidRPr="006F3FF7" w:rsidR="00A57CE8" w:rsidP="00A57CE8" w:rsidRDefault="007367FC" w14:paraId="530ED536" w14:textId="77777777">
      <w:pPr>
        <w:spacing w:after="0"/>
        <w:rPr>
          <w:rFonts w:ascii="Verdana" w:hAnsi="Verdana"/>
          <w:sz w:val="18"/>
          <w:szCs w:val="18"/>
        </w:rPr>
      </w:pPr>
      <w:r w:rsidRPr="006F3FF7">
        <w:rPr>
          <w:rFonts w:ascii="Verdana" w:hAnsi="Verdana"/>
          <w:sz w:val="18"/>
          <w:szCs w:val="18"/>
        </w:rPr>
        <w:t>Op welke manier stelt het CETA verdrag eisen aan het productieproces?</w:t>
      </w:r>
      <w:r w:rsidRPr="006F3FF7" w:rsidR="00A57CE8">
        <w:rPr>
          <w:rFonts w:ascii="Verdana" w:hAnsi="Verdana"/>
          <w:sz w:val="18"/>
          <w:szCs w:val="18"/>
        </w:rPr>
        <w:t xml:space="preserve"> </w:t>
      </w:r>
    </w:p>
    <w:p w:rsidRPr="006F3FF7" w:rsidR="00A57CE8" w:rsidP="00A57CE8" w:rsidRDefault="00A57CE8" w14:paraId="7B165945" w14:textId="77777777">
      <w:pPr>
        <w:spacing w:after="0"/>
        <w:rPr>
          <w:rFonts w:ascii="Verdana" w:hAnsi="Verdana"/>
          <w:sz w:val="18"/>
          <w:szCs w:val="18"/>
        </w:rPr>
      </w:pPr>
    </w:p>
    <w:p w:rsidRPr="006F3FF7" w:rsidR="00A57CE8" w:rsidP="00A57CE8" w:rsidRDefault="00A57CE8" w14:paraId="236BB869" w14:textId="77777777">
      <w:pPr>
        <w:spacing w:after="0"/>
        <w:rPr>
          <w:rFonts w:ascii="Verdana" w:hAnsi="Verdana"/>
          <w:b/>
          <w:sz w:val="18"/>
          <w:szCs w:val="18"/>
        </w:rPr>
      </w:pPr>
      <w:r w:rsidRPr="006F3FF7">
        <w:rPr>
          <w:rFonts w:ascii="Verdana" w:hAnsi="Verdana"/>
          <w:b/>
          <w:sz w:val="18"/>
          <w:szCs w:val="18"/>
        </w:rPr>
        <w:t>Antwoord</w:t>
      </w:r>
    </w:p>
    <w:p w:rsidRPr="002330FD" w:rsidR="002330FD" w:rsidP="002330FD" w:rsidRDefault="002330FD" w14:paraId="448085E8" w14:textId="30201F6F">
      <w:pPr>
        <w:spacing w:after="0"/>
        <w:rPr>
          <w:rFonts w:ascii="Verdana" w:hAnsi="Verdana"/>
          <w:bCs/>
          <w:sz w:val="18"/>
          <w:szCs w:val="18"/>
        </w:rPr>
      </w:pPr>
      <w:r w:rsidRPr="002330FD">
        <w:rPr>
          <w:rFonts w:ascii="Verdana" w:hAnsi="Verdana"/>
          <w:sz w:val="18"/>
          <w:szCs w:val="18"/>
        </w:rPr>
        <w:t>Alle naar de EU geëxporteerde producten moeten voor toelating op de EU-markt voldoen aan Europese standaarden op het gebied van plant- en diergezondheid, voedselveiligheid en etikettering. Het stellen van importeisen aan producten die gerelateerd zijn aan de wijze waarop of omstandigheden waaronder deze producten geproduceerd zijn op het grondgebied van derde landen is zeer beperkt mogelijk binnen het stelsel van WTO-verdragen, zeker bij het ontbreken van internationale erkende standaarden met betrekking tot productiemethoden. Ieder land produceert op eigen wijze, in grote mate bepaald door lokale context. CETA verandert niets aan deze beginselen. De Europese standaarden voor dierenwelzijn en gewasbeschermingsmiddelengebruik hebben tot doel mens, plant, dier en milieu binnen de Europese Unie hetzelfde niveau van bescherming te bieden en daarmee binnen de Europese Unie tot een gelijk speelveld te komen. In de voortgangsbrief dierenwelzijn</w:t>
      </w:r>
      <w:r w:rsidRPr="002330FD">
        <w:rPr>
          <w:rFonts w:ascii="Verdana" w:hAnsi="Verdana"/>
          <w:sz w:val="18"/>
          <w:szCs w:val="18"/>
          <w:vertAlign w:val="superscript"/>
        </w:rPr>
        <w:footnoteReference w:id="10"/>
      </w:r>
      <w:r w:rsidRPr="002330FD">
        <w:rPr>
          <w:rFonts w:ascii="Verdana" w:hAnsi="Verdana"/>
          <w:sz w:val="18"/>
          <w:szCs w:val="18"/>
        </w:rPr>
        <w:t xml:space="preserve"> van 4 september 2019 is uiteengezet hoe het kabinet ook internationaal wil komen tot een meer gelijk speelveld in relatie tot dierenwelzijnsstandaarden.</w:t>
      </w:r>
    </w:p>
    <w:p w:rsidR="00A57CE8" w:rsidP="00A57CE8" w:rsidRDefault="00A57CE8" w14:paraId="4C9AA235" w14:textId="77777777">
      <w:pPr>
        <w:spacing w:after="0"/>
        <w:rPr>
          <w:rFonts w:ascii="Verdana" w:hAnsi="Verdana"/>
          <w:b/>
          <w:sz w:val="18"/>
          <w:szCs w:val="18"/>
        </w:rPr>
      </w:pPr>
    </w:p>
    <w:p w:rsidRPr="006F3FF7" w:rsidR="00A57CE8" w:rsidP="00A57CE8" w:rsidRDefault="00A57CE8" w14:paraId="35C05003" w14:textId="77777777">
      <w:pPr>
        <w:spacing w:after="0"/>
        <w:rPr>
          <w:rFonts w:ascii="Verdana" w:hAnsi="Verdana"/>
          <w:b/>
          <w:sz w:val="18"/>
          <w:szCs w:val="18"/>
        </w:rPr>
      </w:pPr>
      <w:r w:rsidRPr="006F3FF7">
        <w:rPr>
          <w:rFonts w:ascii="Verdana" w:hAnsi="Verdana"/>
          <w:b/>
          <w:sz w:val="18"/>
          <w:szCs w:val="18"/>
        </w:rPr>
        <w:t>Vraag 33</w:t>
      </w:r>
    </w:p>
    <w:p w:rsidRPr="006F3FF7" w:rsidR="007367FC" w:rsidP="00A57CE8" w:rsidRDefault="007367FC" w14:paraId="2DCA4B19" w14:textId="77777777">
      <w:pPr>
        <w:spacing w:after="0"/>
        <w:rPr>
          <w:rFonts w:ascii="Verdana" w:hAnsi="Verdana"/>
          <w:sz w:val="18"/>
          <w:szCs w:val="18"/>
        </w:rPr>
      </w:pPr>
      <w:r w:rsidRPr="006F3FF7">
        <w:rPr>
          <w:rFonts w:ascii="Verdana" w:hAnsi="Verdana"/>
          <w:sz w:val="18"/>
          <w:szCs w:val="18"/>
        </w:rPr>
        <w:t>In hoeverre vereist het verdrag de vermelding van product origine en in hoeverre is het toegestaan om een product als Canadees te exporteren naar de EU?</w:t>
      </w:r>
      <w:r w:rsidRPr="006F3FF7">
        <w:rPr>
          <w:rFonts w:ascii="Verdana" w:hAnsi="Verdana"/>
          <w:sz w:val="18"/>
          <w:szCs w:val="18"/>
        </w:rPr>
        <w:br/>
      </w:r>
    </w:p>
    <w:p w:rsidRPr="006F3FF7" w:rsidR="00A57CE8" w:rsidP="00A57CE8" w:rsidRDefault="00A57CE8" w14:paraId="44AFC6EA" w14:textId="77777777">
      <w:pPr>
        <w:spacing w:after="0"/>
        <w:rPr>
          <w:rFonts w:ascii="Verdana" w:hAnsi="Verdana"/>
          <w:b/>
          <w:sz w:val="18"/>
          <w:szCs w:val="18"/>
        </w:rPr>
      </w:pPr>
      <w:r w:rsidRPr="006F3FF7">
        <w:rPr>
          <w:rFonts w:ascii="Verdana" w:hAnsi="Verdana"/>
          <w:b/>
          <w:sz w:val="18"/>
          <w:szCs w:val="18"/>
        </w:rPr>
        <w:t>Antwoord</w:t>
      </w:r>
    </w:p>
    <w:p w:rsidR="007367FC" w:rsidP="00A57CE8" w:rsidRDefault="007367FC" w14:paraId="02F26BFF" w14:textId="0D0779F5">
      <w:pPr>
        <w:spacing w:after="0"/>
        <w:rPr>
          <w:rFonts w:ascii="Verdana" w:hAnsi="Verdana"/>
          <w:sz w:val="18"/>
          <w:szCs w:val="18"/>
        </w:rPr>
      </w:pPr>
      <w:r w:rsidRPr="006F3FF7">
        <w:rPr>
          <w:rFonts w:ascii="Verdana" w:hAnsi="Verdana"/>
          <w:sz w:val="18"/>
          <w:szCs w:val="18"/>
        </w:rPr>
        <w:t xml:space="preserve">Om gebruik te kunnen maken van </w:t>
      </w:r>
      <w:proofErr w:type="spellStart"/>
      <w:r w:rsidRPr="006F3FF7">
        <w:rPr>
          <w:rFonts w:ascii="Verdana" w:hAnsi="Verdana"/>
          <w:sz w:val="18"/>
          <w:szCs w:val="18"/>
        </w:rPr>
        <w:t>nulrechten</w:t>
      </w:r>
      <w:proofErr w:type="spellEnd"/>
      <w:r w:rsidRPr="006F3FF7">
        <w:rPr>
          <w:rFonts w:ascii="Verdana" w:hAnsi="Verdana"/>
          <w:sz w:val="18"/>
          <w:szCs w:val="18"/>
        </w:rPr>
        <w:t xml:space="preserve"> of verlaagde invoerrechten onder CETA moeten  producten voldoen aan regels van oorsprong</w:t>
      </w:r>
      <w:r w:rsidR="002940C4">
        <w:rPr>
          <w:rFonts w:ascii="Verdana" w:hAnsi="Verdana"/>
          <w:sz w:val="18"/>
          <w:szCs w:val="18"/>
        </w:rPr>
        <w:t xml:space="preserve">. Dit zijn </w:t>
      </w:r>
      <w:r w:rsidRPr="006F3FF7">
        <w:rPr>
          <w:rFonts w:ascii="Verdana" w:hAnsi="Verdana"/>
          <w:sz w:val="18"/>
          <w:szCs w:val="18"/>
        </w:rPr>
        <w:t xml:space="preserve">regels die de ‘economische nationaliteit’ van een product bepalen. Producten moeten volledig zijn verkregen of een toereikende productie hebben ondergaan in Canada of de EU. De oorsprongsregels verschillen per product en zijn te vinden </w:t>
      </w:r>
      <w:r w:rsidR="0006563B">
        <w:rPr>
          <w:rFonts w:ascii="Verdana" w:hAnsi="Verdana"/>
          <w:sz w:val="18"/>
          <w:szCs w:val="18"/>
        </w:rPr>
        <w:t>in</w:t>
      </w:r>
      <w:r w:rsidRPr="006F3FF7">
        <w:rPr>
          <w:rFonts w:ascii="Verdana" w:hAnsi="Verdana"/>
          <w:sz w:val="18"/>
          <w:szCs w:val="18"/>
        </w:rPr>
        <w:t xml:space="preserve"> de Market Access Database van de Commissie. Voor export van Canada naar de EU kunnen ondernemers als bewijsstuk een zogenaamde oorsprongsverklaring opstellen op een door de exporteur opgemaakte verkoopfactuur of op een ander handelsdocument. Nadere informatie is te vinden op de website van de Douane.</w:t>
      </w:r>
      <w:r w:rsidRPr="006F3FF7">
        <w:rPr>
          <w:rStyle w:val="FootnoteReference"/>
          <w:rFonts w:ascii="Verdana" w:hAnsi="Verdana"/>
          <w:sz w:val="18"/>
          <w:szCs w:val="18"/>
        </w:rPr>
        <w:footnoteReference w:id="11"/>
      </w:r>
      <w:r w:rsidR="00BC4473">
        <w:rPr>
          <w:rFonts w:ascii="Verdana" w:hAnsi="Verdana"/>
          <w:sz w:val="18"/>
          <w:szCs w:val="18"/>
        </w:rPr>
        <w:t xml:space="preserve"> </w:t>
      </w:r>
      <w:r w:rsidRPr="006F3FF7">
        <w:rPr>
          <w:rFonts w:ascii="Verdana" w:hAnsi="Verdana"/>
          <w:sz w:val="18"/>
          <w:szCs w:val="18"/>
        </w:rPr>
        <w:t>Regels over herkomstaanduiding in de vorm van etikettering staan los van CETA. Hier geldt de relevante EU-wetgeving waar de Nederlandse Voedsel en Warenautoriteit (NVWA) op handhaaft.</w:t>
      </w:r>
    </w:p>
    <w:p w:rsidRPr="006F3FF7" w:rsidR="00BC4473" w:rsidP="00A57CE8" w:rsidRDefault="00BC4473" w14:paraId="2925B52F" w14:textId="77777777">
      <w:pPr>
        <w:spacing w:after="0"/>
        <w:rPr>
          <w:rFonts w:ascii="Verdana" w:hAnsi="Verdana"/>
          <w:sz w:val="18"/>
          <w:szCs w:val="18"/>
        </w:rPr>
      </w:pPr>
    </w:p>
    <w:p w:rsidRPr="006F3FF7" w:rsidR="007367FC" w:rsidP="00A57CE8" w:rsidRDefault="007367FC" w14:paraId="26A4919D" w14:textId="35D34A90">
      <w:pPr>
        <w:spacing w:after="0"/>
        <w:rPr>
          <w:rFonts w:ascii="Verdana" w:hAnsi="Verdana"/>
          <w:b/>
          <w:sz w:val="18"/>
          <w:szCs w:val="18"/>
          <w:u w:val="single"/>
        </w:rPr>
      </w:pPr>
      <w:r w:rsidRPr="006F3FF7">
        <w:rPr>
          <w:rFonts w:ascii="Verdana" w:hAnsi="Verdana"/>
          <w:b/>
          <w:sz w:val="18"/>
          <w:szCs w:val="18"/>
          <w:u w:val="single"/>
        </w:rPr>
        <w:t>Vragen GroenLinks:</w:t>
      </w:r>
    </w:p>
    <w:p w:rsidRPr="006F3FF7" w:rsidR="008105BE" w:rsidP="00A57CE8" w:rsidRDefault="008105BE" w14:paraId="05E049A4" w14:textId="77777777">
      <w:pPr>
        <w:spacing w:after="0"/>
        <w:rPr>
          <w:rFonts w:ascii="Verdana" w:hAnsi="Verdana"/>
          <w:b/>
          <w:sz w:val="18"/>
          <w:szCs w:val="18"/>
          <w:u w:val="single"/>
        </w:rPr>
      </w:pPr>
    </w:p>
    <w:p w:rsidRPr="006F3FF7" w:rsidR="00A57CE8" w:rsidP="00A57CE8" w:rsidRDefault="00A57CE8" w14:paraId="1272EDBC" w14:textId="77777777">
      <w:pPr>
        <w:spacing w:after="0"/>
        <w:rPr>
          <w:rFonts w:ascii="Verdana" w:hAnsi="Verdana"/>
          <w:b/>
          <w:sz w:val="18"/>
          <w:szCs w:val="18"/>
        </w:rPr>
      </w:pPr>
      <w:r w:rsidRPr="006F3FF7">
        <w:rPr>
          <w:rFonts w:ascii="Verdana" w:hAnsi="Verdana"/>
          <w:b/>
          <w:sz w:val="18"/>
          <w:szCs w:val="18"/>
        </w:rPr>
        <w:t>Vraag 34</w:t>
      </w:r>
    </w:p>
    <w:p w:rsidRPr="006F3FF7" w:rsidR="007367FC" w:rsidP="00A57CE8" w:rsidRDefault="007367FC" w14:paraId="5E16F387" w14:textId="77777777">
      <w:pPr>
        <w:spacing w:after="0"/>
        <w:rPr>
          <w:rFonts w:ascii="Verdana" w:hAnsi="Verdana"/>
          <w:sz w:val="18"/>
          <w:szCs w:val="18"/>
        </w:rPr>
      </w:pPr>
      <w:r w:rsidRPr="006F3FF7">
        <w:rPr>
          <w:rFonts w:ascii="Verdana" w:hAnsi="Verdana"/>
          <w:sz w:val="18"/>
          <w:szCs w:val="18"/>
        </w:rPr>
        <w:t xml:space="preserve">Welke bezwaren heeft Canada naar voren gebracht als het gaat om sanitaire en fytosanitaire standaarden en wat is de laatste stand van zaken hieromtrent? </w:t>
      </w:r>
    </w:p>
    <w:p w:rsidRPr="006F3FF7" w:rsidR="007367FC" w:rsidP="00A57CE8" w:rsidRDefault="007367FC" w14:paraId="31895EA8" w14:textId="77777777">
      <w:pPr>
        <w:spacing w:after="0"/>
        <w:rPr>
          <w:rFonts w:ascii="Verdana" w:hAnsi="Verdana"/>
          <w:sz w:val="18"/>
          <w:szCs w:val="18"/>
        </w:rPr>
      </w:pPr>
    </w:p>
    <w:p w:rsidRPr="006F3FF7" w:rsidR="00A57CE8" w:rsidP="00A57CE8" w:rsidRDefault="00A57CE8" w14:paraId="7E0119FC" w14:textId="77777777">
      <w:pPr>
        <w:spacing w:after="0"/>
        <w:rPr>
          <w:rFonts w:ascii="Verdana" w:hAnsi="Verdana"/>
          <w:b/>
          <w:sz w:val="18"/>
          <w:szCs w:val="18"/>
        </w:rPr>
      </w:pPr>
      <w:r w:rsidRPr="006F3FF7">
        <w:rPr>
          <w:rFonts w:ascii="Verdana" w:hAnsi="Verdana"/>
          <w:b/>
          <w:sz w:val="18"/>
          <w:szCs w:val="18"/>
        </w:rPr>
        <w:t>Antwoord</w:t>
      </w:r>
    </w:p>
    <w:p w:rsidRPr="001D192D" w:rsidR="00EA4675" w:rsidP="00EA4675" w:rsidRDefault="00EA4675" w14:paraId="0B4ED947" w14:textId="77777777">
      <w:pPr>
        <w:pStyle w:val="NoSpacing"/>
        <w:rPr>
          <w:rFonts w:ascii="Verdana" w:hAnsi="Verdana"/>
          <w:sz w:val="18"/>
        </w:rPr>
      </w:pPr>
      <w:r w:rsidRPr="001D192D">
        <w:rPr>
          <w:rFonts w:ascii="Verdana" w:hAnsi="Verdana"/>
          <w:sz w:val="18"/>
        </w:rPr>
        <w:t>Op de website van de Europese Commissie staan verslagen van vergaderingen en andere documenten</w:t>
      </w:r>
      <w:r>
        <w:rPr>
          <w:rFonts w:ascii="Verdana" w:hAnsi="Verdana"/>
          <w:sz w:val="18"/>
        </w:rPr>
        <w:t xml:space="preserve">, </w:t>
      </w:r>
      <w:proofErr w:type="spellStart"/>
      <w:r>
        <w:rPr>
          <w:rFonts w:ascii="Verdana" w:hAnsi="Verdana"/>
          <w:sz w:val="18"/>
        </w:rPr>
        <w:t>ondermeer</w:t>
      </w:r>
      <w:proofErr w:type="spellEnd"/>
      <w:r>
        <w:rPr>
          <w:rFonts w:ascii="Verdana" w:hAnsi="Verdana"/>
          <w:sz w:val="18"/>
        </w:rPr>
        <w:t xml:space="preserve"> van het </w:t>
      </w:r>
      <w:r w:rsidRPr="00DC60E1">
        <w:rPr>
          <w:rFonts w:ascii="Verdana" w:hAnsi="Verdana"/>
          <w:i/>
          <w:iCs/>
          <w:sz w:val="18"/>
        </w:rPr>
        <w:t xml:space="preserve">Joint Management </w:t>
      </w:r>
      <w:proofErr w:type="spellStart"/>
      <w:r w:rsidRPr="00DC60E1">
        <w:rPr>
          <w:rFonts w:ascii="Verdana" w:hAnsi="Verdana"/>
          <w:i/>
          <w:iCs/>
          <w:sz w:val="18"/>
        </w:rPr>
        <w:t>Committee</w:t>
      </w:r>
      <w:proofErr w:type="spellEnd"/>
      <w:r w:rsidRPr="00DC60E1">
        <w:rPr>
          <w:rFonts w:ascii="Verdana" w:hAnsi="Verdana"/>
          <w:i/>
          <w:iCs/>
          <w:sz w:val="18"/>
        </w:rPr>
        <w:t xml:space="preserve"> on </w:t>
      </w:r>
      <w:proofErr w:type="spellStart"/>
      <w:r w:rsidRPr="00DC60E1">
        <w:rPr>
          <w:rFonts w:ascii="Verdana" w:hAnsi="Verdana"/>
          <w:i/>
          <w:iCs/>
          <w:sz w:val="18"/>
        </w:rPr>
        <w:t>Sanitary</w:t>
      </w:r>
      <w:proofErr w:type="spellEnd"/>
      <w:r w:rsidRPr="00DC60E1">
        <w:rPr>
          <w:rFonts w:ascii="Verdana" w:hAnsi="Verdana"/>
          <w:i/>
          <w:iCs/>
          <w:sz w:val="18"/>
        </w:rPr>
        <w:t xml:space="preserve"> </w:t>
      </w:r>
      <w:proofErr w:type="spellStart"/>
      <w:r w:rsidRPr="00DC60E1">
        <w:rPr>
          <w:rFonts w:ascii="Verdana" w:hAnsi="Verdana"/>
          <w:i/>
          <w:iCs/>
          <w:sz w:val="18"/>
        </w:rPr>
        <w:t>and</w:t>
      </w:r>
      <w:proofErr w:type="spellEnd"/>
      <w:r w:rsidRPr="00DC60E1">
        <w:rPr>
          <w:rFonts w:ascii="Verdana" w:hAnsi="Verdana"/>
          <w:i/>
          <w:iCs/>
          <w:sz w:val="18"/>
        </w:rPr>
        <w:t xml:space="preserve"> </w:t>
      </w:r>
      <w:proofErr w:type="spellStart"/>
      <w:r w:rsidRPr="00DC60E1">
        <w:rPr>
          <w:rFonts w:ascii="Verdana" w:hAnsi="Verdana"/>
          <w:i/>
          <w:iCs/>
          <w:sz w:val="18"/>
        </w:rPr>
        <w:t>Phytosanitary</w:t>
      </w:r>
      <w:proofErr w:type="spellEnd"/>
      <w:r w:rsidRPr="00DC60E1">
        <w:rPr>
          <w:rFonts w:ascii="Verdana" w:hAnsi="Verdana"/>
          <w:i/>
          <w:iCs/>
          <w:sz w:val="18"/>
        </w:rPr>
        <w:t xml:space="preserve"> </w:t>
      </w:r>
      <w:proofErr w:type="spellStart"/>
      <w:r w:rsidRPr="00DC60E1">
        <w:rPr>
          <w:rFonts w:ascii="Verdana" w:hAnsi="Verdana"/>
          <w:i/>
          <w:iCs/>
          <w:sz w:val="18"/>
        </w:rPr>
        <w:t>Measures</w:t>
      </w:r>
      <w:proofErr w:type="spellEnd"/>
      <w:r w:rsidRPr="00DC60E1">
        <w:rPr>
          <w:rFonts w:ascii="Verdana" w:hAnsi="Verdana"/>
          <w:sz w:val="18"/>
        </w:rPr>
        <w:t xml:space="preserve"> (JMC-SPS)</w:t>
      </w:r>
      <w:r>
        <w:rPr>
          <w:rFonts w:ascii="Verdana" w:hAnsi="Verdana"/>
          <w:sz w:val="18"/>
        </w:rPr>
        <w:t>. Hierbij worden ook de genomen besluiten opgenomen.</w:t>
      </w:r>
      <w:r>
        <w:rPr>
          <w:rStyle w:val="FootnoteReference"/>
          <w:rFonts w:ascii="Verdana" w:hAnsi="Verdana"/>
          <w:sz w:val="18"/>
        </w:rPr>
        <w:footnoteReference w:id="12"/>
      </w:r>
      <w:r w:rsidRPr="001D192D">
        <w:rPr>
          <w:rFonts w:ascii="Verdana" w:hAnsi="Verdana"/>
          <w:sz w:val="18"/>
        </w:rPr>
        <w:t xml:space="preserve"> </w:t>
      </w:r>
    </w:p>
    <w:p w:rsidRPr="006F3FF7" w:rsidR="00A57CE8" w:rsidP="00A57CE8" w:rsidRDefault="00A57CE8" w14:paraId="6AF22EAA" w14:textId="77777777">
      <w:pPr>
        <w:spacing w:after="0"/>
        <w:rPr>
          <w:rFonts w:ascii="Verdana" w:hAnsi="Verdana"/>
          <w:b/>
          <w:sz w:val="18"/>
          <w:szCs w:val="18"/>
        </w:rPr>
      </w:pPr>
    </w:p>
    <w:p w:rsidRPr="006F3FF7" w:rsidR="007367FC" w:rsidP="00A57CE8" w:rsidRDefault="007367FC" w14:paraId="67F52099" w14:textId="77777777">
      <w:pPr>
        <w:spacing w:after="0"/>
        <w:rPr>
          <w:rFonts w:ascii="Verdana" w:hAnsi="Verdana"/>
          <w:b/>
          <w:sz w:val="18"/>
          <w:szCs w:val="18"/>
          <w:u w:val="single"/>
        </w:rPr>
      </w:pPr>
      <w:r w:rsidRPr="006F3FF7">
        <w:rPr>
          <w:rFonts w:ascii="Verdana" w:hAnsi="Verdana"/>
          <w:b/>
          <w:sz w:val="18"/>
          <w:szCs w:val="18"/>
          <w:u w:val="single"/>
        </w:rPr>
        <w:t>Vragen SP:</w:t>
      </w:r>
    </w:p>
    <w:p w:rsidR="00C846C9" w:rsidP="00A57CE8" w:rsidRDefault="00C846C9" w14:paraId="6FDD3F09" w14:textId="77777777">
      <w:pPr>
        <w:spacing w:after="0"/>
        <w:rPr>
          <w:rFonts w:ascii="Verdana" w:hAnsi="Verdana"/>
          <w:b/>
          <w:sz w:val="18"/>
          <w:szCs w:val="18"/>
        </w:rPr>
      </w:pPr>
    </w:p>
    <w:p w:rsidRPr="006F3FF7" w:rsidR="00A57CE8" w:rsidP="00A57CE8" w:rsidRDefault="00A57CE8" w14:paraId="41F07CB3" w14:textId="48D6B4A7">
      <w:pPr>
        <w:spacing w:after="0"/>
        <w:rPr>
          <w:rFonts w:ascii="Verdana" w:hAnsi="Verdana"/>
          <w:b/>
          <w:sz w:val="18"/>
          <w:szCs w:val="18"/>
        </w:rPr>
      </w:pPr>
      <w:r w:rsidRPr="006F3FF7">
        <w:rPr>
          <w:rFonts w:ascii="Verdana" w:hAnsi="Verdana"/>
          <w:b/>
          <w:sz w:val="18"/>
          <w:szCs w:val="18"/>
        </w:rPr>
        <w:t>Vraag 35</w:t>
      </w:r>
    </w:p>
    <w:p w:rsidRPr="006F3FF7" w:rsidR="007367FC" w:rsidP="00A57CE8" w:rsidRDefault="007367FC" w14:paraId="41ECC72E" w14:textId="77777777">
      <w:pPr>
        <w:spacing w:after="0"/>
        <w:rPr>
          <w:rFonts w:ascii="Verdana" w:hAnsi="Verdana"/>
          <w:sz w:val="18"/>
          <w:szCs w:val="18"/>
        </w:rPr>
      </w:pPr>
      <w:r w:rsidRPr="006F3FF7">
        <w:rPr>
          <w:rFonts w:ascii="Verdana" w:hAnsi="Verdana"/>
          <w:sz w:val="18"/>
          <w:szCs w:val="18"/>
        </w:rPr>
        <w:t>Een uitsplitsing van de sectoren en specifieke goederen en diensten die verantwoordelijk zijn voor de toename van export uit Nederland/Europese Unie, alsmede voor de toegenomen import.</w:t>
      </w:r>
    </w:p>
    <w:p w:rsidRPr="006F3FF7" w:rsidR="007367FC" w:rsidP="00A57CE8" w:rsidRDefault="007367FC" w14:paraId="33A1F59F" w14:textId="77777777">
      <w:pPr>
        <w:spacing w:after="0"/>
        <w:rPr>
          <w:rFonts w:ascii="Verdana" w:hAnsi="Verdana"/>
          <w:sz w:val="18"/>
          <w:szCs w:val="18"/>
        </w:rPr>
      </w:pPr>
    </w:p>
    <w:p w:rsidRPr="006F3FF7" w:rsidR="00A57CE8" w:rsidP="00A57CE8" w:rsidRDefault="00A57CE8" w14:paraId="67589A4B" w14:textId="77777777">
      <w:pPr>
        <w:spacing w:after="0"/>
        <w:rPr>
          <w:rFonts w:ascii="Verdana" w:hAnsi="Verdana"/>
          <w:b/>
          <w:sz w:val="18"/>
          <w:szCs w:val="18"/>
        </w:rPr>
      </w:pPr>
      <w:r w:rsidRPr="006F3FF7">
        <w:rPr>
          <w:rFonts w:ascii="Verdana" w:hAnsi="Verdana"/>
          <w:b/>
          <w:sz w:val="18"/>
          <w:szCs w:val="18"/>
        </w:rPr>
        <w:t>Antwoord</w:t>
      </w:r>
    </w:p>
    <w:p w:rsidRPr="006E5BA3" w:rsidR="00871C1B" w:rsidP="00871C1B" w:rsidRDefault="009B23FF" w14:paraId="4D241EAA" w14:textId="3B552BEA">
      <w:pPr>
        <w:rPr>
          <w:rFonts w:ascii="Verdana" w:hAnsi="Verdana"/>
          <w:sz w:val="18"/>
          <w:szCs w:val="18"/>
        </w:rPr>
      </w:pPr>
      <w:r w:rsidRPr="004912FB">
        <w:rPr>
          <w:rFonts w:ascii="Verdana" w:hAnsi="Verdana"/>
          <w:sz w:val="18"/>
          <w:szCs w:val="18"/>
        </w:rPr>
        <w:t xml:space="preserve">Uitgaande van de toegenomen handel tussen Nederland en Canada in het afgelopen jaar vindt u in onderstaand overzicht een </w:t>
      </w:r>
      <w:r>
        <w:rPr>
          <w:rFonts w:ascii="Verdana" w:hAnsi="Verdana"/>
          <w:sz w:val="18"/>
          <w:szCs w:val="18"/>
        </w:rPr>
        <w:t>i</w:t>
      </w:r>
      <w:r w:rsidR="00871C1B">
        <w:rPr>
          <w:rFonts w:ascii="Verdana" w:hAnsi="Verdana"/>
          <w:sz w:val="18"/>
          <w:szCs w:val="18"/>
        </w:rPr>
        <w:t>ndeling goederen naar sectoren volgens de SITC</w:t>
      </w:r>
      <w:r>
        <w:rPr>
          <w:rFonts w:ascii="Verdana" w:hAnsi="Verdana"/>
          <w:sz w:val="18"/>
          <w:szCs w:val="18"/>
        </w:rPr>
        <w:t>-</w:t>
      </w:r>
      <w:r w:rsidR="00871C1B">
        <w:rPr>
          <w:rFonts w:ascii="Verdana" w:hAnsi="Verdana"/>
          <w:sz w:val="18"/>
          <w:szCs w:val="18"/>
        </w:rPr>
        <w:t xml:space="preserve">classificatie. </w:t>
      </w:r>
      <w:r>
        <w:rPr>
          <w:rFonts w:ascii="Verdana" w:hAnsi="Verdana"/>
          <w:sz w:val="18"/>
          <w:szCs w:val="18"/>
        </w:rPr>
        <w:t>Voor de i</w:t>
      </w:r>
      <w:r w:rsidR="00871C1B">
        <w:rPr>
          <w:rFonts w:ascii="Verdana" w:hAnsi="Verdana"/>
          <w:sz w:val="18"/>
          <w:szCs w:val="18"/>
        </w:rPr>
        <w:t xml:space="preserve">ndeling </w:t>
      </w:r>
      <w:r>
        <w:rPr>
          <w:rFonts w:ascii="Verdana" w:hAnsi="Verdana"/>
          <w:sz w:val="18"/>
          <w:szCs w:val="18"/>
        </w:rPr>
        <w:t>van</w:t>
      </w:r>
      <w:r w:rsidR="00871C1B">
        <w:rPr>
          <w:rFonts w:ascii="Verdana" w:hAnsi="Verdana"/>
          <w:sz w:val="18"/>
          <w:szCs w:val="18"/>
        </w:rPr>
        <w:t xml:space="preserve"> diensten naar sectoren </w:t>
      </w:r>
      <w:r>
        <w:rPr>
          <w:rFonts w:ascii="Verdana" w:hAnsi="Verdana"/>
          <w:sz w:val="18"/>
          <w:szCs w:val="18"/>
        </w:rPr>
        <w:t xml:space="preserve">is gebruik gemaakt van de </w:t>
      </w:r>
      <w:proofErr w:type="spellStart"/>
      <w:r w:rsidR="00871C1B">
        <w:rPr>
          <w:rFonts w:ascii="Verdana" w:hAnsi="Verdana"/>
          <w:i/>
          <w:sz w:val="18"/>
          <w:szCs w:val="18"/>
        </w:rPr>
        <w:t>balance</w:t>
      </w:r>
      <w:proofErr w:type="spellEnd"/>
      <w:r w:rsidR="00871C1B">
        <w:rPr>
          <w:rFonts w:ascii="Verdana" w:hAnsi="Verdana"/>
          <w:i/>
          <w:sz w:val="18"/>
          <w:szCs w:val="18"/>
        </w:rPr>
        <w:t xml:space="preserve"> of </w:t>
      </w:r>
      <w:proofErr w:type="spellStart"/>
      <w:r w:rsidR="00871C1B">
        <w:rPr>
          <w:rFonts w:ascii="Verdana" w:hAnsi="Verdana"/>
          <w:i/>
          <w:sz w:val="18"/>
          <w:szCs w:val="18"/>
        </w:rPr>
        <w:t>payments</w:t>
      </w:r>
      <w:proofErr w:type="spellEnd"/>
      <w:r w:rsidR="00871C1B">
        <w:rPr>
          <w:rFonts w:ascii="Verdana" w:hAnsi="Verdana"/>
          <w:i/>
          <w:sz w:val="18"/>
          <w:szCs w:val="18"/>
        </w:rPr>
        <w:t xml:space="preserve"> manual 6 </w:t>
      </w:r>
      <w:r w:rsidR="00871C1B">
        <w:rPr>
          <w:rFonts w:ascii="Verdana" w:hAnsi="Verdana"/>
          <w:sz w:val="18"/>
          <w:szCs w:val="18"/>
        </w:rPr>
        <w:t xml:space="preserve">van het </w:t>
      </w:r>
      <w:r>
        <w:rPr>
          <w:rFonts w:ascii="Verdana" w:hAnsi="Verdana"/>
          <w:sz w:val="18"/>
          <w:szCs w:val="18"/>
        </w:rPr>
        <w:t xml:space="preserve">Internationaal Monetair Fonds. </w:t>
      </w:r>
    </w:p>
    <w:p w:rsidR="00871C1B" w:rsidP="00871C1B" w:rsidRDefault="00871C1B" w14:paraId="7DB93D6A" w14:textId="77777777">
      <w:pPr>
        <w:rPr>
          <w:rFonts w:ascii="Verdana" w:hAnsi="Verdana"/>
          <w:sz w:val="18"/>
          <w:szCs w:val="18"/>
        </w:rPr>
      </w:pPr>
      <w:r>
        <w:rPr>
          <w:rFonts w:ascii="Verdana" w:hAnsi="Verdana"/>
          <w:b/>
          <w:sz w:val="18"/>
          <w:szCs w:val="18"/>
        </w:rPr>
        <w:t>Goederen</w:t>
      </w:r>
    </w:p>
    <w:tbl>
      <w:tblPr>
        <w:tblStyle w:val="TableGrid"/>
        <w:tblW w:w="0" w:type="auto"/>
        <w:tblLook w:val="04A0" w:firstRow="1" w:lastRow="0" w:firstColumn="1" w:lastColumn="0" w:noHBand="0" w:noVBand="1"/>
      </w:tblPr>
      <w:tblGrid>
        <w:gridCol w:w="1758"/>
        <w:gridCol w:w="1341"/>
        <w:gridCol w:w="1341"/>
        <w:gridCol w:w="1301"/>
        <w:gridCol w:w="1104"/>
        <w:gridCol w:w="1104"/>
        <w:gridCol w:w="1301"/>
      </w:tblGrid>
      <w:tr w:rsidR="00871C1B" w:rsidTr="00C84417" w14:paraId="2AE89D7E" w14:textId="77777777">
        <w:tc>
          <w:tcPr>
            <w:tcW w:w="1758" w:type="dxa"/>
          </w:tcPr>
          <w:p w:rsidRPr="00C25387" w:rsidR="00871C1B" w:rsidP="00C84417" w:rsidRDefault="00871C1B" w14:paraId="46760DA8" w14:textId="77777777">
            <w:pPr>
              <w:rPr>
                <w:rFonts w:ascii="Verdana" w:hAnsi="Verdana"/>
                <w:i/>
                <w:sz w:val="18"/>
                <w:szCs w:val="18"/>
              </w:rPr>
            </w:pPr>
            <w:r>
              <w:rPr>
                <w:rFonts w:ascii="Verdana" w:hAnsi="Verdana"/>
                <w:i/>
                <w:sz w:val="18"/>
                <w:szCs w:val="18"/>
              </w:rPr>
              <w:t>Sector</w:t>
            </w:r>
          </w:p>
        </w:tc>
        <w:tc>
          <w:tcPr>
            <w:tcW w:w="1341" w:type="dxa"/>
          </w:tcPr>
          <w:p w:rsidRPr="00C25387" w:rsidR="00871C1B" w:rsidP="00C84417" w:rsidRDefault="00871C1B" w14:paraId="39F6D381" w14:textId="77777777">
            <w:pPr>
              <w:rPr>
                <w:rFonts w:ascii="Verdana" w:hAnsi="Verdana"/>
                <w:i/>
                <w:sz w:val="18"/>
                <w:szCs w:val="18"/>
              </w:rPr>
            </w:pPr>
            <w:r>
              <w:rPr>
                <w:rFonts w:ascii="Verdana" w:hAnsi="Verdana"/>
                <w:i/>
                <w:sz w:val="18"/>
                <w:szCs w:val="18"/>
              </w:rPr>
              <w:t xml:space="preserve">Uitvoer 2017 (€ </w:t>
            </w:r>
            <w:proofErr w:type="spellStart"/>
            <w:r>
              <w:rPr>
                <w:rFonts w:ascii="Verdana" w:hAnsi="Verdana"/>
                <w:i/>
                <w:sz w:val="18"/>
                <w:szCs w:val="18"/>
              </w:rPr>
              <w:t>mln</w:t>
            </w:r>
            <w:proofErr w:type="spellEnd"/>
            <w:r>
              <w:rPr>
                <w:rFonts w:ascii="Verdana" w:hAnsi="Verdana"/>
                <w:i/>
                <w:sz w:val="18"/>
                <w:szCs w:val="18"/>
              </w:rPr>
              <w:t>)</w:t>
            </w:r>
          </w:p>
        </w:tc>
        <w:tc>
          <w:tcPr>
            <w:tcW w:w="1341" w:type="dxa"/>
          </w:tcPr>
          <w:p w:rsidRPr="00C25387" w:rsidR="00871C1B" w:rsidP="00C84417" w:rsidRDefault="00871C1B" w14:paraId="4D1CBDCD" w14:textId="77777777">
            <w:pPr>
              <w:rPr>
                <w:rFonts w:ascii="Verdana" w:hAnsi="Verdana"/>
                <w:i/>
                <w:sz w:val="18"/>
                <w:szCs w:val="18"/>
              </w:rPr>
            </w:pPr>
            <w:r>
              <w:rPr>
                <w:rFonts w:ascii="Verdana" w:hAnsi="Verdana"/>
                <w:i/>
                <w:sz w:val="18"/>
                <w:szCs w:val="18"/>
              </w:rPr>
              <w:t xml:space="preserve">Uitvoer 2018 (€ </w:t>
            </w:r>
            <w:proofErr w:type="spellStart"/>
            <w:r>
              <w:rPr>
                <w:rFonts w:ascii="Verdana" w:hAnsi="Verdana"/>
                <w:i/>
                <w:sz w:val="18"/>
                <w:szCs w:val="18"/>
              </w:rPr>
              <w:t>mln</w:t>
            </w:r>
            <w:proofErr w:type="spellEnd"/>
            <w:r>
              <w:rPr>
                <w:rFonts w:ascii="Verdana" w:hAnsi="Verdana"/>
                <w:i/>
                <w:sz w:val="18"/>
                <w:szCs w:val="18"/>
              </w:rPr>
              <w:t>)</w:t>
            </w:r>
          </w:p>
        </w:tc>
        <w:tc>
          <w:tcPr>
            <w:tcW w:w="1268" w:type="dxa"/>
          </w:tcPr>
          <w:p w:rsidR="00871C1B" w:rsidP="00C84417" w:rsidRDefault="00871C1B" w14:paraId="62AA3551" w14:textId="77777777">
            <w:pPr>
              <w:rPr>
                <w:rFonts w:ascii="Verdana" w:hAnsi="Verdana"/>
                <w:sz w:val="18"/>
                <w:szCs w:val="18"/>
              </w:rPr>
            </w:pPr>
            <w:r>
              <w:rPr>
                <w:rFonts w:ascii="Verdana" w:hAnsi="Verdana"/>
                <w:sz w:val="18"/>
                <w:szCs w:val="18"/>
              </w:rPr>
              <w:t>% verandering uitvoer</w:t>
            </w:r>
          </w:p>
        </w:tc>
        <w:tc>
          <w:tcPr>
            <w:tcW w:w="1104" w:type="dxa"/>
          </w:tcPr>
          <w:p w:rsidR="00871C1B" w:rsidP="00C84417" w:rsidRDefault="00871C1B" w14:paraId="36CC4815" w14:textId="77777777">
            <w:pPr>
              <w:rPr>
                <w:rFonts w:ascii="Verdana" w:hAnsi="Verdana"/>
                <w:sz w:val="18"/>
                <w:szCs w:val="18"/>
              </w:rPr>
            </w:pPr>
            <w:r>
              <w:rPr>
                <w:rFonts w:ascii="Verdana" w:hAnsi="Verdana"/>
                <w:sz w:val="18"/>
                <w:szCs w:val="18"/>
              </w:rPr>
              <w:t xml:space="preserve">Invoer 2017 </w:t>
            </w:r>
            <w:r>
              <w:rPr>
                <w:rFonts w:ascii="Verdana" w:hAnsi="Verdana"/>
                <w:i/>
                <w:sz w:val="18"/>
                <w:szCs w:val="18"/>
              </w:rPr>
              <w:t xml:space="preserve">(€ </w:t>
            </w:r>
            <w:proofErr w:type="spellStart"/>
            <w:r>
              <w:rPr>
                <w:rFonts w:ascii="Verdana" w:hAnsi="Verdana"/>
                <w:i/>
                <w:sz w:val="18"/>
                <w:szCs w:val="18"/>
              </w:rPr>
              <w:t>mln</w:t>
            </w:r>
            <w:proofErr w:type="spellEnd"/>
            <w:r>
              <w:rPr>
                <w:rFonts w:ascii="Verdana" w:hAnsi="Verdana"/>
                <w:i/>
                <w:sz w:val="18"/>
                <w:szCs w:val="18"/>
              </w:rPr>
              <w:t>)</w:t>
            </w:r>
          </w:p>
        </w:tc>
        <w:tc>
          <w:tcPr>
            <w:tcW w:w="1104" w:type="dxa"/>
          </w:tcPr>
          <w:p w:rsidR="00871C1B" w:rsidP="00C84417" w:rsidRDefault="00871C1B" w14:paraId="55F6176F" w14:textId="77777777">
            <w:pPr>
              <w:rPr>
                <w:rFonts w:ascii="Verdana" w:hAnsi="Verdana"/>
                <w:sz w:val="18"/>
                <w:szCs w:val="18"/>
              </w:rPr>
            </w:pPr>
            <w:r>
              <w:rPr>
                <w:rFonts w:ascii="Verdana" w:hAnsi="Verdana"/>
                <w:sz w:val="18"/>
                <w:szCs w:val="18"/>
              </w:rPr>
              <w:t xml:space="preserve">Invoer 2018 </w:t>
            </w:r>
            <w:r>
              <w:rPr>
                <w:rFonts w:ascii="Verdana" w:hAnsi="Verdana"/>
                <w:i/>
                <w:sz w:val="18"/>
                <w:szCs w:val="18"/>
              </w:rPr>
              <w:t xml:space="preserve">(€ </w:t>
            </w:r>
            <w:proofErr w:type="spellStart"/>
            <w:r>
              <w:rPr>
                <w:rFonts w:ascii="Verdana" w:hAnsi="Verdana"/>
                <w:i/>
                <w:sz w:val="18"/>
                <w:szCs w:val="18"/>
              </w:rPr>
              <w:t>mln</w:t>
            </w:r>
            <w:proofErr w:type="spellEnd"/>
            <w:r>
              <w:rPr>
                <w:rFonts w:ascii="Verdana" w:hAnsi="Verdana"/>
                <w:i/>
                <w:sz w:val="18"/>
                <w:szCs w:val="18"/>
              </w:rPr>
              <w:t>)</w:t>
            </w:r>
          </w:p>
        </w:tc>
        <w:tc>
          <w:tcPr>
            <w:tcW w:w="1100" w:type="dxa"/>
          </w:tcPr>
          <w:p w:rsidR="00871C1B" w:rsidP="00C84417" w:rsidRDefault="00871C1B" w14:paraId="5CEDD3F1" w14:textId="77777777">
            <w:pPr>
              <w:rPr>
                <w:rFonts w:ascii="Verdana" w:hAnsi="Verdana"/>
                <w:sz w:val="18"/>
                <w:szCs w:val="18"/>
              </w:rPr>
            </w:pPr>
            <w:r>
              <w:rPr>
                <w:rFonts w:ascii="Verdana" w:hAnsi="Verdana"/>
                <w:sz w:val="18"/>
                <w:szCs w:val="18"/>
              </w:rPr>
              <w:t>% verandering invoer</w:t>
            </w:r>
          </w:p>
        </w:tc>
      </w:tr>
      <w:tr w:rsidR="00871C1B" w:rsidTr="00C84417" w14:paraId="755E4D2A" w14:textId="77777777">
        <w:tc>
          <w:tcPr>
            <w:tcW w:w="1758" w:type="dxa"/>
          </w:tcPr>
          <w:p w:rsidR="00871C1B" w:rsidP="00C84417" w:rsidRDefault="00871C1B" w14:paraId="38EEB58D" w14:textId="77777777">
            <w:pPr>
              <w:rPr>
                <w:rFonts w:ascii="Verdana" w:hAnsi="Verdana"/>
                <w:color w:val="000000"/>
                <w:sz w:val="18"/>
                <w:szCs w:val="18"/>
              </w:rPr>
            </w:pPr>
            <w:r>
              <w:rPr>
                <w:rFonts w:ascii="Verdana" w:hAnsi="Verdana"/>
                <w:color w:val="000000"/>
                <w:sz w:val="18"/>
                <w:szCs w:val="18"/>
              </w:rPr>
              <w:t>Totaal goederen</w:t>
            </w:r>
          </w:p>
          <w:p w:rsidR="00871C1B" w:rsidP="00C84417" w:rsidRDefault="00871C1B" w14:paraId="38B7C6B4" w14:textId="77777777">
            <w:pPr>
              <w:rPr>
                <w:rFonts w:ascii="Verdana" w:hAnsi="Verdana"/>
                <w:sz w:val="18"/>
                <w:szCs w:val="18"/>
              </w:rPr>
            </w:pPr>
          </w:p>
        </w:tc>
        <w:tc>
          <w:tcPr>
            <w:tcW w:w="1341" w:type="dxa"/>
            <w:vAlign w:val="bottom"/>
          </w:tcPr>
          <w:p w:rsidR="00871C1B" w:rsidP="00C84417" w:rsidRDefault="00871C1B" w14:paraId="7D4EB11E" w14:textId="77777777">
            <w:pPr>
              <w:jc w:val="right"/>
              <w:rPr>
                <w:rFonts w:ascii="Verdana" w:hAnsi="Verdana"/>
                <w:color w:val="000000"/>
                <w:sz w:val="18"/>
                <w:szCs w:val="18"/>
              </w:rPr>
            </w:pPr>
            <w:r>
              <w:rPr>
                <w:rFonts w:ascii="Verdana" w:hAnsi="Verdana"/>
                <w:color w:val="000000"/>
                <w:sz w:val="18"/>
                <w:szCs w:val="18"/>
              </w:rPr>
              <w:t>3380</w:t>
            </w:r>
          </w:p>
        </w:tc>
        <w:tc>
          <w:tcPr>
            <w:tcW w:w="1341" w:type="dxa"/>
            <w:vAlign w:val="bottom"/>
          </w:tcPr>
          <w:p w:rsidR="00871C1B" w:rsidP="00C84417" w:rsidRDefault="00871C1B" w14:paraId="4EEDC1E9" w14:textId="77777777">
            <w:pPr>
              <w:jc w:val="right"/>
              <w:rPr>
                <w:rFonts w:ascii="Verdana" w:hAnsi="Verdana"/>
                <w:color w:val="000000"/>
                <w:sz w:val="18"/>
                <w:szCs w:val="18"/>
              </w:rPr>
            </w:pPr>
            <w:r>
              <w:rPr>
                <w:rFonts w:ascii="Verdana" w:hAnsi="Verdana"/>
                <w:color w:val="000000"/>
                <w:sz w:val="18"/>
                <w:szCs w:val="18"/>
              </w:rPr>
              <w:t>3913</w:t>
            </w:r>
          </w:p>
        </w:tc>
        <w:tc>
          <w:tcPr>
            <w:tcW w:w="1268" w:type="dxa"/>
            <w:vAlign w:val="bottom"/>
          </w:tcPr>
          <w:p w:rsidR="00871C1B" w:rsidP="00C84417" w:rsidRDefault="00871C1B" w14:paraId="1234E4C9" w14:textId="77777777">
            <w:pPr>
              <w:jc w:val="right"/>
              <w:rPr>
                <w:rFonts w:ascii="Verdana" w:hAnsi="Verdana"/>
                <w:color w:val="000000"/>
                <w:sz w:val="18"/>
                <w:szCs w:val="18"/>
              </w:rPr>
            </w:pPr>
            <w:r>
              <w:rPr>
                <w:rFonts w:ascii="Verdana" w:hAnsi="Verdana"/>
                <w:color w:val="000000"/>
                <w:sz w:val="18"/>
                <w:szCs w:val="18"/>
              </w:rPr>
              <w:t>15,8%</w:t>
            </w:r>
          </w:p>
        </w:tc>
        <w:tc>
          <w:tcPr>
            <w:tcW w:w="1104" w:type="dxa"/>
            <w:vAlign w:val="bottom"/>
          </w:tcPr>
          <w:p w:rsidR="00871C1B" w:rsidP="00C84417" w:rsidRDefault="00871C1B" w14:paraId="12399E08" w14:textId="77777777">
            <w:pPr>
              <w:jc w:val="right"/>
              <w:rPr>
                <w:rFonts w:ascii="Verdana" w:hAnsi="Verdana"/>
                <w:color w:val="000000"/>
                <w:sz w:val="18"/>
                <w:szCs w:val="18"/>
              </w:rPr>
            </w:pPr>
            <w:r>
              <w:rPr>
                <w:rFonts w:ascii="Verdana" w:hAnsi="Verdana"/>
                <w:color w:val="000000"/>
                <w:sz w:val="18"/>
                <w:szCs w:val="18"/>
              </w:rPr>
              <w:t>1503</w:t>
            </w:r>
          </w:p>
        </w:tc>
        <w:tc>
          <w:tcPr>
            <w:tcW w:w="1104" w:type="dxa"/>
            <w:vAlign w:val="bottom"/>
          </w:tcPr>
          <w:p w:rsidR="00871C1B" w:rsidP="00C84417" w:rsidRDefault="00871C1B" w14:paraId="4770566C" w14:textId="77777777">
            <w:pPr>
              <w:jc w:val="right"/>
              <w:rPr>
                <w:rFonts w:ascii="Verdana" w:hAnsi="Verdana"/>
                <w:color w:val="000000"/>
                <w:sz w:val="18"/>
                <w:szCs w:val="18"/>
              </w:rPr>
            </w:pPr>
            <w:r>
              <w:rPr>
                <w:rFonts w:ascii="Verdana" w:hAnsi="Verdana"/>
                <w:color w:val="000000"/>
                <w:sz w:val="18"/>
                <w:szCs w:val="18"/>
              </w:rPr>
              <w:t>1704</w:t>
            </w:r>
          </w:p>
        </w:tc>
        <w:tc>
          <w:tcPr>
            <w:tcW w:w="1100" w:type="dxa"/>
            <w:vAlign w:val="bottom"/>
          </w:tcPr>
          <w:p w:rsidR="00871C1B" w:rsidP="00C84417" w:rsidRDefault="00871C1B" w14:paraId="3BB04BF2" w14:textId="77777777">
            <w:pPr>
              <w:jc w:val="right"/>
              <w:rPr>
                <w:rFonts w:ascii="Verdana" w:hAnsi="Verdana"/>
                <w:color w:val="000000"/>
                <w:sz w:val="18"/>
                <w:szCs w:val="18"/>
              </w:rPr>
            </w:pPr>
            <w:r>
              <w:rPr>
                <w:rFonts w:ascii="Verdana" w:hAnsi="Verdana"/>
                <w:color w:val="000000"/>
                <w:sz w:val="18"/>
                <w:szCs w:val="18"/>
              </w:rPr>
              <w:t>13,4%</w:t>
            </w:r>
          </w:p>
        </w:tc>
      </w:tr>
      <w:tr w:rsidR="00871C1B" w:rsidTr="00C84417" w14:paraId="7DD86DF2" w14:textId="77777777">
        <w:tc>
          <w:tcPr>
            <w:tcW w:w="1758" w:type="dxa"/>
          </w:tcPr>
          <w:p w:rsidR="00871C1B" w:rsidP="00C84417" w:rsidRDefault="00871C1B" w14:paraId="3DC344AF" w14:textId="77777777">
            <w:pPr>
              <w:rPr>
                <w:rFonts w:ascii="Verdana" w:hAnsi="Verdana"/>
                <w:color w:val="000000"/>
                <w:sz w:val="18"/>
                <w:szCs w:val="18"/>
              </w:rPr>
            </w:pPr>
            <w:r>
              <w:rPr>
                <w:rFonts w:ascii="Verdana" w:hAnsi="Verdana"/>
                <w:color w:val="000000"/>
                <w:sz w:val="18"/>
                <w:szCs w:val="18"/>
              </w:rPr>
              <w:t>0 Voeding en levende dieren</w:t>
            </w:r>
          </w:p>
          <w:p w:rsidR="00871C1B" w:rsidP="00C84417" w:rsidRDefault="00871C1B" w14:paraId="072ED44E" w14:textId="77777777">
            <w:pPr>
              <w:rPr>
                <w:rFonts w:ascii="Verdana" w:hAnsi="Verdana"/>
                <w:sz w:val="18"/>
                <w:szCs w:val="18"/>
              </w:rPr>
            </w:pPr>
          </w:p>
        </w:tc>
        <w:tc>
          <w:tcPr>
            <w:tcW w:w="1341" w:type="dxa"/>
            <w:vAlign w:val="bottom"/>
          </w:tcPr>
          <w:p w:rsidR="00871C1B" w:rsidP="00C84417" w:rsidRDefault="00871C1B" w14:paraId="2A9368F0" w14:textId="77777777">
            <w:pPr>
              <w:jc w:val="right"/>
              <w:rPr>
                <w:rFonts w:ascii="Verdana" w:hAnsi="Verdana"/>
                <w:color w:val="000000"/>
                <w:sz w:val="18"/>
                <w:szCs w:val="18"/>
              </w:rPr>
            </w:pPr>
            <w:r>
              <w:rPr>
                <w:rFonts w:ascii="Verdana" w:hAnsi="Verdana"/>
                <w:color w:val="000000"/>
                <w:sz w:val="18"/>
                <w:szCs w:val="18"/>
              </w:rPr>
              <w:t>108</w:t>
            </w:r>
          </w:p>
        </w:tc>
        <w:tc>
          <w:tcPr>
            <w:tcW w:w="1341" w:type="dxa"/>
            <w:vAlign w:val="bottom"/>
          </w:tcPr>
          <w:p w:rsidR="00871C1B" w:rsidP="00C84417" w:rsidRDefault="00871C1B" w14:paraId="742D864B" w14:textId="77777777">
            <w:pPr>
              <w:jc w:val="right"/>
              <w:rPr>
                <w:rFonts w:ascii="Verdana" w:hAnsi="Verdana"/>
                <w:color w:val="000000"/>
                <w:sz w:val="18"/>
                <w:szCs w:val="18"/>
              </w:rPr>
            </w:pPr>
            <w:r>
              <w:rPr>
                <w:rFonts w:ascii="Verdana" w:hAnsi="Verdana"/>
                <w:color w:val="000000"/>
                <w:sz w:val="18"/>
                <w:szCs w:val="18"/>
              </w:rPr>
              <w:t>119</w:t>
            </w:r>
          </w:p>
        </w:tc>
        <w:tc>
          <w:tcPr>
            <w:tcW w:w="1268" w:type="dxa"/>
            <w:vAlign w:val="bottom"/>
          </w:tcPr>
          <w:p w:rsidR="00871C1B" w:rsidP="00C84417" w:rsidRDefault="00871C1B" w14:paraId="1185D38D" w14:textId="77777777">
            <w:pPr>
              <w:jc w:val="right"/>
              <w:rPr>
                <w:rFonts w:ascii="Verdana" w:hAnsi="Verdana"/>
                <w:color w:val="000000"/>
                <w:sz w:val="18"/>
                <w:szCs w:val="18"/>
              </w:rPr>
            </w:pPr>
            <w:r>
              <w:rPr>
                <w:rFonts w:ascii="Verdana" w:hAnsi="Verdana"/>
                <w:color w:val="000000"/>
                <w:sz w:val="18"/>
                <w:szCs w:val="18"/>
              </w:rPr>
              <w:t>10,5%</w:t>
            </w:r>
          </w:p>
        </w:tc>
        <w:tc>
          <w:tcPr>
            <w:tcW w:w="1104" w:type="dxa"/>
            <w:vAlign w:val="bottom"/>
          </w:tcPr>
          <w:p w:rsidR="00871C1B" w:rsidP="00C84417" w:rsidRDefault="00871C1B" w14:paraId="561175B4" w14:textId="77777777">
            <w:pPr>
              <w:jc w:val="right"/>
              <w:rPr>
                <w:rFonts w:ascii="Verdana" w:hAnsi="Verdana"/>
                <w:color w:val="000000"/>
                <w:sz w:val="18"/>
                <w:szCs w:val="18"/>
              </w:rPr>
            </w:pPr>
            <w:r>
              <w:rPr>
                <w:rFonts w:ascii="Verdana" w:hAnsi="Verdana"/>
                <w:color w:val="000000"/>
                <w:sz w:val="18"/>
                <w:szCs w:val="18"/>
              </w:rPr>
              <w:t>110</w:t>
            </w:r>
          </w:p>
        </w:tc>
        <w:tc>
          <w:tcPr>
            <w:tcW w:w="1104" w:type="dxa"/>
            <w:vAlign w:val="bottom"/>
          </w:tcPr>
          <w:p w:rsidR="00871C1B" w:rsidP="00C84417" w:rsidRDefault="00871C1B" w14:paraId="76DD5E0B" w14:textId="77777777">
            <w:pPr>
              <w:jc w:val="right"/>
              <w:rPr>
                <w:rFonts w:ascii="Verdana" w:hAnsi="Verdana"/>
                <w:color w:val="000000"/>
                <w:sz w:val="18"/>
                <w:szCs w:val="18"/>
              </w:rPr>
            </w:pPr>
            <w:r>
              <w:rPr>
                <w:rFonts w:ascii="Verdana" w:hAnsi="Verdana"/>
                <w:color w:val="000000"/>
                <w:sz w:val="18"/>
                <w:szCs w:val="18"/>
              </w:rPr>
              <w:t>109</w:t>
            </w:r>
          </w:p>
        </w:tc>
        <w:tc>
          <w:tcPr>
            <w:tcW w:w="1100" w:type="dxa"/>
            <w:vAlign w:val="bottom"/>
          </w:tcPr>
          <w:p w:rsidR="00871C1B" w:rsidP="00C84417" w:rsidRDefault="00871C1B" w14:paraId="256DBC2A" w14:textId="77777777">
            <w:pPr>
              <w:jc w:val="right"/>
              <w:rPr>
                <w:rFonts w:ascii="Verdana" w:hAnsi="Verdana"/>
                <w:color w:val="000000"/>
                <w:sz w:val="18"/>
                <w:szCs w:val="18"/>
              </w:rPr>
            </w:pPr>
            <w:r>
              <w:rPr>
                <w:rFonts w:ascii="Verdana" w:hAnsi="Verdana"/>
                <w:color w:val="000000"/>
                <w:sz w:val="18"/>
                <w:szCs w:val="18"/>
              </w:rPr>
              <w:t>-0,6%</w:t>
            </w:r>
          </w:p>
        </w:tc>
      </w:tr>
      <w:tr w:rsidR="00871C1B" w:rsidTr="00C84417" w14:paraId="54708C8B" w14:textId="77777777">
        <w:tc>
          <w:tcPr>
            <w:tcW w:w="1758" w:type="dxa"/>
            <w:tcBorders>
              <w:top w:val="nil"/>
              <w:left w:val="single" w:color="auto" w:sz="4" w:space="0"/>
              <w:bottom w:val="single" w:color="auto" w:sz="4" w:space="0"/>
              <w:right w:val="nil"/>
            </w:tcBorders>
            <w:shd w:val="clear" w:color="auto" w:fill="auto"/>
            <w:vAlign w:val="bottom"/>
          </w:tcPr>
          <w:p w:rsidR="00871C1B" w:rsidP="00C84417" w:rsidRDefault="00871C1B" w14:paraId="72FEE32F" w14:textId="77777777">
            <w:pPr>
              <w:rPr>
                <w:rFonts w:ascii="Verdana" w:hAnsi="Verdana"/>
                <w:color w:val="000000"/>
                <w:sz w:val="18"/>
                <w:szCs w:val="18"/>
              </w:rPr>
            </w:pPr>
            <w:r>
              <w:rPr>
                <w:rFonts w:ascii="Verdana" w:hAnsi="Verdana"/>
                <w:color w:val="000000"/>
                <w:sz w:val="18"/>
                <w:szCs w:val="18"/>
              </w:rPr>
              <w:t>1 Dranken en tabak</w:t>
            </w:r>
          </w:p>
        </w:tc>
        <w:tc>
          <w:tcPr>
            <w:tcW w:w="1341" w:type="dxa"/>
            <w:vAlign w:val="bottom"/>
          </w:tcPr>
          <w:p w:rsidR="00871C1B" w:rsidP="00C84417" w:rsidRDefault="00871C1B" w14:paraId="375E6F19" w14:textId="77777777">
            <w:pPr>
              <w:jc w:val="right"/>
              <w:rPr>
                <w:rFonts w:ascii="Verdana" w:hAnsi="Verdana"/>
                <w:color w:val="000000"/>
                <w:sz w:val="18"/>
                <w:szCs w:val="18"/>
              </w:rPr>
            </w:pPr>
            <w:r>
              <w:rPr>
                <w:rFonts w:ascii="Verdana" w:hAnsi="Verdana"/>
                <w:color w:val="000000"/>
                <w:sz w:val="18"/>
                <w:szCs w:val="18"/>
              </w:rPr>
              <w:t>80</w:t>
            </w:r>
          </w:p>
        </w:tc>
        <w:tc>
          <w:tcPr>
            <w:tcW w:w="1341" w:type="dxa"/>
            <w:vAlign w:val="bottom"/>
          </w:tcPr>
          <w:p w:rsidR="00871C1B" w:rsidP="00C84417" w:rsidRDefault="00871C1B" w14:paraId="3CD8D0A6" w14:textId="77777777">
            <w:pPr>
              <w:jc w:val="right"/>
              <w:rPr>
                <w:rFonts w:ascii="Verdana" w:hAnsi="Verdana"/>
                <w:color w:val="000000"/>
                <w:sz w:val="18"/>
                <w:szCs w:val="18"/>
              </w:rPr>
            </w:pPr>
            <w:r>
              <w:rPr>
                <w:rFonts w:ascii="Verdana" w:hAnsi="Verdana"/>
                <w:color w:val="000000"/>
                <w:sz w:val="18"/>
                <w:szCs w:val="18"/>
              </w:rPr>
              <w:t>88</w:t>
            </w:r>
          </w:p>
        </w:tc>
        <w:tc>
          <w:tcPr>
            <w:tcW w:w="1268" w:type="dxa"/>
            <w:vAlign w:val="bottom"/>
          </w:tcPr>
          <w:p w:rsidR="00871C1B" w:rsidP="00C84417" w:rsidRDefault="00871C1B" w14:paraId="64C93D7B" w14:textId="77777777">
            <w:pPr>
              <w:jc w:val="right"/>
              <w:rPr>
                <w:rFonts w:ascii="Verdana" w:hAnsi="Verdana"/>
                <w:color w:val="000000"/>
                <w:sz w:val="18"/>
                <w:szCs w:val="18"/>
              </w:rPr>
            </w:pPr>
            <w:r>
              <w:rPr>
                <w:rFonts w:ascii="Verdana" w:hAnsi="Verdana"/>
                <w:color w:val="000000"/>
                <w:sz w:val="18"/>
                <w:szCs w:val="18"/>
              </w:rPr>
              <w:t>10,4%</w:t>
            </w:r>
          </w:p>
        </w:tc>
        <w:tc>
          <w:tcPr>
            <w:tcW w:w="1104" w:type="dxa"/>
            <w:vAlign w:val="bottom"/>
          </w:tcPr>
          <w:p w:rsidR="00871C1B" w:rsidP="00C84417" w:rsidRDefault="00871C1B" w14:paraId="174874F9" w14:textId="77777777">
            <w:pPr>
              <w:jc w:val="right"/>
              <w:rPr>
                <w:rFonts w:ascii="Verdana" w:hAnsi="Verdana"/>
                <w:color w:val="000000"/>
                <w:sz w:val="18"/>
                <w:szCs w:val="18"/>
              </w:rPr>
            </w:pPr>
            <w:r>
              <w:rPr>
                <w:rFonts w:ascii="Verdana" w:hAnsi="Verdana"/>
                <w:color w:val="000000"/>
                <w:sz w:val="18"/>
                <w:szCs w:val="18"/>
              </w:rPr>
              <w:t>4</w:t>
            </w:r>
          </w:p>
        </w:tc>
        <w:tc>
          <w:tcPr>
            <w:tcW w:w="1104" w:type="dxa"/>
            <w:vAlign w:val="bottom"/>
          </w:tcPr>
          <w:p w:rsidR="00871C1B" w:rsidP="00C84417" w:rsidRDefault="00871C1B" w14:paraId="51BC2D67" w14:textId="77777777">
            <w:pPr>
              <w:rPr>
                <w:rFonts w:ascii="Verdana" w:hAnsi="Verdana"/>
                <w:color w:val="000000"/>
                <w:sz w:val="18"/>
                <w:szCs w:val="18"/>
              </w:rPr>
            </w:pPr>
            <w:r>
              <w:rPr>
                <w:rFonts w:ascii="Verdana" w:hAnsi="Verdana"/>
                <w:color w:val="000000"/>
                <w:sz w:val="18"/>
                <w:szCs w:val="18"/>
              </w:rPr>
              <w:t>.</w:t>
            </w:r>
          </w:p>
        </w:tc>
        <w:tc>
          <w:tcPr>
            <w:tcW w:w="1100" w:type="dxa"/>
            <w:vAlign w:val="bottom"/>
          </w:tcPr>
          <w:p w:rsidR="00871C1B" w:rsidP="00C84417" w:rsidRDefault="00871C1B" w14:paraId="3B26A40E" w14:textId="77777777">
            <w:pPr>
              <w:rPr>
                <w:rFonts w:ascii="Verdana" w:hAnsi="Verdana"/>
                <w:color w:val="000000"/>
                <w:sz w:val="18"/>
                <w:szCs w:val="18"/>
              </w:rPr>
            </w:pPr>
            <w:r>
              <w:rPr>
                <w:rFonts w:ascii="Verdana" w:hAnsi="Verdana"/>
                <w:color w:val="000000"/>
                <w:sz w:val="18"/>
                <w:szCs w:val="18"/>
              </w:rPr>
              <w:t>.</w:t>
            </w:r>
          </w:p>
        </w:tc>
      </w:tr>
      <w:tr w:rsidR="00871C1B" w:rsidTr="00C84417" w14:paraId="3943EA50" w14:textId="77777777">
        <w:tc>
          <w:tcPr>
            <w:tcW w:w="1758" w:type="dxa"/>
            <w:tcBorders>
              <w:top w:val="single" w:color="auto" w:sz="4" w:space="0"/>
              <w:left w:val="single" w:color="auto" w:sz="4" w:space="0"/>
              <w:bottom w:val="single" w:color="auto" w:sz="4" w:space="0"/>
              <w:right w:val="nil"/>
            </w:tcBorders>
            <w:shd w:val="clear" w:color="auto" w:fill="auto"/>
            <w:vAlign w:val="bottom"/>
          </w:tcPr>
          <w:p w:rsidR="00871C1B" w:rsidP="00C84417" w:rsidRDefault="00871C1B" w14:paraId="7CCC9A11" w14:textId="77777777">
            <w:pPr>
              <w:rPr>
                <w:rFonts w:ascii="Verdana" w:hAnsi="Verdana"/>
                <w:color w:val="000000"/>
                <w:sz w:val="18"/>
                <w:szCs w:val="18"/>
              </w:rPr>
            </w:pPr>
            <w:r>
              <w:rPr>
                <w:rFonts w:ascii="Verdana" w:hAnsi="Verdana"/>
                <w:color w:val="000000"/>
                <w:sz w:val="18"/>
                <w:szCs w:val="18"/>
              </w:rPr>
              <w:lastRenderedPageBreak/>
              <w:t>2 Grondstoffen, niet eetbaar, behalve brandstoffen</w:t>
            </w:r>
          </w:p>
        </w:tc>
        <w:tc>
          <w:tcPr>
            <w:tcW w:w="1341" w:type="dxa"/>
            <w:vAlign w:val="bottom"/>
          </w:tcPr>
          <w:p w:rsidR="00871C1B" w:rsidP="00C84417" w:rsidRDefault="00871C1B" w14:paraId="503F7BC1" w14:textId="77777777">
            <w:pPr>
              <w:jc w:val="right"/>
              <w:rPr>
                <w:rFonts w:ascii="Verdana" w:hAnsi="Verdana"/>
                <w:color w:val="000000"/>
                <w:sz w:val="18"/>
                <w:szCs w:val="18"/>
              </w:rPr>
            </w:pPr>
            <w:r>
              <w:rPr>
                <w:rFonts w:ascii="Verdana" w:hAnsi="Verdana"/>
                <w:color w:val="000000"/>
                <w:sz w:val="18"/>
                <w:szCs w:val="18"/>
              </w:rPr>
              <w:t>93</w:t>
            </w:r>
          </w:p>
        </w:tc>
        <w:tc>
          <w:tcPr>
            <w:tcW w:w="1341" w:type="dxa"/>
            <w:vAlign w:val="bottom"/>
          </w:tcPr>
          <w:p w:rsidR="00871C1B" w:rsidP="00C84417" w:rsidRDefault="00871C1B" w14:paraId="2E7B8570" w14:textId="77777777">
            <w:pPr>
              <w:jc w:val="right"/>
              <w:rPr>
                <w:rFonts w:ascii="Verdana" w:hAnsi="Verdana"/>
                <w:color w:val="000000"/>
                <w:sz w:val="18"/>
                <w:szCs w:val="18"/>
              </w:rPr>
            </w:pPr>
            <w:r>
              <w:rPr>
                <w:rFonts w:ascii="Verdana" w:hAnsi="Verdana"/>
                <w:color w:val="000000"/>
                <w:sz w:val="18"/>
                <w:szCs w:val="18"/>
              </w:rPr>
              <w:t>98</w:t>
            </w:r>
          </w:p>
        </w:tc>
        <w:tc>
          <w:tcPr>
            <w:tcW w:w="1268" w:type="dxa"/>
            <w:vAlign w:val="bottom"/>
          </w:tcPr>
          <w:p w:rsidR="00871C1B" w:rsidP="00C84417" w:rsidRDefault="00871C1B" w14:paraId="53BAE9DC" w14:textId="77777777">
            <w:pPr>
              <w:jc w:val="right"/>
              <w:rPr>
                <w:rFonts w:ascii="Verdana" w:hAnsi="Verdana"/>
                <w:color w:val="000000"/>
                <w:sz w:val="18"/>
                <w:szCs w:val="18"/>
              </w:rPr>
            </w:pPr>
            <w:r>
              <w:rPr>
                <w:rFonts w:ascii="Verdana" w:hAnsi="Verdana"/>
                <w:color w:val="000000"/>
                <w:sz w:val="18"/>
                <w:szCs w:val="18"/>
              </w:rPr>
              <w:t>5,2%</w:t>
            </w:r>
          </w:p>
        </w:tc>
        <w:tc>
          <w:tcPr>
            <w:tcW w:w="1104" w:type="dxa"/>
            <w:vAlign w:val="bottom"/>
          </w:tcPr>
          <w:p w:rsidR="00871C1B" w:rsidP="00C84417" w:rsidRDefault="00871C1B" w14:paraId="44AA8466" w14:textId="77777777">
            <w:pPr>
              <w:jc w:val="right"/>
              <w:rPr>
                <w:rFonts w:ascii="Verdana" w:hAnsi="Verdana"/>
                <w:color w:val="000000"/>
                <w:sz w:val="18"/>
                <w:szCs w:val="18"/>
              </w:rPr>
            </w:pPr>
            <w:r>
              <w:rPr>
                <w:rFonts w:ascii="Verdana" w:hAnsi="Verdana"/>
                <w:color w:val="000000"/>
                <w:sz w:val="18"/>
                <w:szCs w:val="18"/>
              </w:rPr>
              <w:t>140</w:t>
            </w:r>
          </w:p>
        </w:tc>
        <w:tc>
          <w:tcPr>
            <w:tcW w:w="1104" w:type="dxa"/>
            <w:vAlign w:val="bottom"/>
          </w:tcPr>
          <w:p w:rsidR="00871C1B" w:rsidP="00C84417" w:rsidRDefault="00871C1B" w14:paraId="5CA610F9" w14:textId="77777777">
            <w:pPr>
              <w:jc w:val="right"/>
              <w:rPr>
                <w:rFonts w:ascii="Verdana" w:hAnsi="Verdana"/>
                <w:color w:val="000000"/>
                <w:sz w:val="18"/>
                <w:szCs w:val="18"/>
              </w:rPr>
            </w:pPr>
            <w:r>
              <w:rPr>
                <w:rFonts w:ascii="Verdana" w:hAnsi="Verdana"/>
                <w:color w:val="000000"/>
                <w:sz w:val="18"/>
                <w:szCs w:val="18"/>
              </w:rPr>
              <w:t>157</w:t>
            </w:r>
          </w:p>
        </w:tc>
        <w:tc>
          <w:tcPr>
            <w:tcW w:w="1100" w:type="dxa"/>
            <w:vAlign w:val="bottom"/>
          </w:tcPr>
          <w:p w:rsidR="00871C1B" w:rsidP="00C84417" w:rsidRDefault="00871C1B" w14:paraId="69E60B14" w14:textId="77777777">
            <w:pPr>
              <w:jc w:val="right"/>
              <w:rPr>
                <w:rFonts w:ascii="Verdana" w:hAnsi="Verdana"/>
                <w:color w:val="000000"/>
                <w:sz w:val="18"/>
                <w:szCs w:val="18"/>
              </w:rPr>
            </w:pPr>
            <w:r>
              <w:rPr>
                <w:rFonts w:ascii="Verdana" w:hAnsi="Verdana"/>
                <w:color w:val="000000"/>
                <w:sz w:val="18"/>
                <w:szCs w:val="18"/>
              </w:rPr>
              <w:t>12%</w:t>
            </w:r>
          </w:p>
        </w:tc>
      </w:tr>
      <w:tr w:rsidR="00871C1B" w:rsidTr="00C84417" w14:paraId="3D3636AF" w14:textId="77777777">
        <w:tc>
          <w:tcPr>
            <w:tcW w:w="1758" w:type="dxa"/>
            <w:tcBorders>
              <w:top w:val="single" w:color="auto" w:sz="4" w:space="0"/>
              <w:left w:val="single" w:color="auto" w:sz="4" w:space="0"/>
              <w:bottom w:val="single" w:color="auto" w:sz="4" w:space="0"/>
              <w:right w:val="nil"/>
            </w:tcBorders>
            <w:shd w:val="clear" w:color="auto" w:fill="auto"/>
            <w:vAlign w:val="bottom"/>
          </w:tcPr>
          <w:p w:rsidR="00871C1B" w:rsidP="00C84417" w:rsidRDefault="00871C1B" w14:paraId="7D80D60D" w14:textId="77777777">
            <w:pPr>
              <w:rPr>
                <w:rFonts w:ascii="Verdana" w:hAnsi="Verdana"/>
                <w:color w:val="000000"/>
                <w:sz w:val="18"/>
                <w:szCs w:val="18"/>
              </w:rPr>
            </w:pPr>
            <w:r>
              <w:rPr>
                <w:rFonts w:ascii="Verdana" w:hAnsi="Verdana"/>
                <w:color w:val="000000"/>
                <w:sz w:val="18"/>
                <w:szCs w:val="18"/>
              </w:rPr>
              <w:t>3 Minerale brandstoffen, smeermiddelen en dergelijke producten</w:t>
            </w:r>
          </w:p>
        </w:tc>
        <w:tc>
          <w:tcPr>
            <w:tcW w:w="1341" w:type="dxa"/>
            <w:vAlign w:val="bottom"/>
          </w:tcPr>
          <w:p w:rsidR="00871C1B" w:rsidP="00C84417" w:rsidRDefault="00871C1B" w14:paraId="52A0AC81" w14:textId="77777777">
            <w:pPr>
              <w:jc w:val="right"/>
              <w:rPr>
                <w:rFonts w:ascii="Verdana" w:hAnsi="Verdana"/>
                <w:color w:val="000000"/>
                <w:sz w:val="18"/>
                <w:szCs w:val="18"/>
              </w:rPr>
            </w:pPr>
            <w:r>
              <w:rPr>
                <w:rFonts w:ascii="Verdana" w:hAnsi="Verdana"/>
                <w:color w:val="000000"/>
                <w:sz w:val="18"/>
                <w:szCs w:val="18"/>
              </w:rPr>
              <w:t>1213</w:t>
            </w:r>
          </w:p>
        </w:tc>
        <w:tc>
          <w:tcPr>
            <w:tcW w:w="1341" w:type="dxa"/>
            <w:vAlign w:val="bottom"/>
          </w:tcPr>
          <w:p w:rsidR="00871C1B" w:rsidP="00C84417" w:rsidRDefault="00871C1B" w14:paraId="7906AD66" w14:textId="77777777">
            <w:pPr>
              <w:jc w:val="right"/>
              <w:rPr>
                <w:rFonts w:ascii="Verdana" w:hAnsi="Verdana"/>
                <w:color w:val="000000"/>
                <w:sz w:val="18"/>
                <w:szCs w:val="18"/>
              </w:rPr>
            </w:pPr>
            <w:r>
              <w:rPr>
                <w:rFonts w:ascii="Verdana" w:hAnsi="Verdana"/>
                <w:color w:val="000000"/>
                <w:sz w:val="18"/>
                <w:szCs w:val="18"/>
              </w:rPr>
              <w:t>1608</w:t>
            </w:r>
          </w:p>
        </w:tc>
        <w:tc>
          <w:tcPr>
            <w:tcW w:w="1268" w:type="dxa"/>
            <w:vAlign w:val="bottom"/>
          </w:tcPr>
          <w:p w:rsidR="00871C1B" w:rsidP="00C84417" w:rsidRDefault="00871C1B" w14:paraId="10370869" w14:textId="77777777">
            <w:pPr>
              <w:jc w:val="right"/>
              <w:rPr>
                <w:rFonts w:ascii="Verdana" w:hAnsi="Verdana"/>
                <w:color w:val="000000"/>
                <w:sz w:val="18"/>
                <w:szCs w:val="18"/>
              </w:rPr>
            </w:pPr>
            <w:r>
              <w:rPr>
                <w:rFonts w:ascii="Verdana" w:hAnsi="Verdana"/>
                <w:color w:val="000000"/>
                <w:sz w:val="18"/>
                <w:szCs w:val="18"/>
              </w:rPr>
              <w:t>32,6%</w:t>
            </w:r>
          </w:p>
        </w:tc>
        <w:tc>
          <w:tcPr>
            <w:tcW w:w="1104" w:type="dxa"/>
            <w:vAlign w:val="bottom"/>
          </w:tcPr>
          <w:p w:rsidR="00871C1B" w:rsidP="00C84417" w:rsidRDefault="00871C1B" w14:paraId="2A4A5C6B" w14:textId="77777777">
            <w:pPr>
              <w:jc w:val="right"/>
              <w:rPr>
                <w:rFonts w:ascii="Verdana" w:hAnsi="Verdana"/>
                <w:color w:val="000000"/>
                <w:sz w:val="18"/>
                <w:szCs w:val="18"/>
              </w:rPr>
            </w:pPr>
            <w:r>
              <w:rPr>
                <w:rFonts w:ascii="Verdana" w:hAnsi="Verdana"/>
                <w:color w:val="000000"/>
                <w:sz w:val="18"/>
                <w:szCs w:val="18"/>
              </w:rPr>
              <w:t>247</w:t>
            </w:r>
          </w:p>
        </w:tc>
        <w:tc>
          <w:tcPr>
            <w:tcW w:w="1104" w:type="dxa"/>
            <w:vAlign w:val="bottom"/>
          </w:tcPr>
          <w:p w:rsidR="00871C1B" w:rsidP="00C84417" w:rsidRDefault="00871C1B" w14:paraId="01C83829" w14:textId="77777777">
            <w:pPr>
              <w:jc w:val="right"/>
              <w:rPr>
                <w:rFonts w:ascii="Verdana" w:hAnsi="Verdana"/>
                <w:color w:val="000000"/>
                <w:sz w:val="18"/>
                <w:szCs w:val="18"/>
              </w:rPr>
            </w:pPr>
            <w:r>
              <w:rPr>
                <w:rFonts w:ascii="Verdana" w:hAnsi="Verdana"/>
                <w:color w:val="000000"/>
                <w:sz w:val="18"/>
                <w:szCs w:val="18"/>
              </w:rPr>
              <w:t>288</w:t>
            </w:r>
          </w:p>
        </w:tc>
        <w:tc>
          <w:tcPr>
            <w:tcW w:w="1100" w:type="dxa"/>
            <w:vAlign w:val="bottom"/>
          </w:tcPr>
          <w:p w:rsidR="00871C1B" w:rsidP="00C84417" w:rsidRDefault="00871C1B" w14:paraId="791F34B7" w14:textId="77777777">
            <w:pPr>
              <w:jc w:val="right"/>
              <w:rPr>
                <w:rFonts w:ascii="Verdana" w:hAnsi="Verdana"/>
                <w:color w:val="000000"/>
                <w:sz w:val="18"/>
                <w:szCs w:val="18"/>
              </w:rPr>
            </w:pPr>
            <w:r>
              <w:rPr>
                <w:rFonts w:ascii="Verdana" w:hAnsi="Verdana"/>
                <w:color w:val="000000"/>
                <w:sz w:val="18"/>
                <w:szCs w:val="18"/>
              </w:rPr>
              <w:t>16,5%</w:t>
            </w:r>
          </w:p>
        </w:tc>
      </w:tr>
      <w:tr w:rsidR="00871C1B" w:rsidTr="00C84417" w14:paraId="480EBB07" w14:textId="77777777">
        <w:tc>
          <w:tcPr>
            <w:tcW w:w="1758" w:type="dxa"/>
            <w:tcBorders>
              <w:top w:val="single" w:color="auto" w:sz="4" w:space="0"/>
              <w:left w:val="single" w:color="auto" w:sz="4" w:space="0"/>
              <w:bottom w:val="single" w:color="auto" w:sz="4" w:space="0"/>
              <w:right w:val="nil"/>
            </w:tcBorders>
            <w:shd w:val="clear" w:color="auto" w:fill="auto"/>
            <w:vAlign w:val="bottom"/>
          </w:tcPr>
          <w:p w:rsidR="00871C1B" w:rsidP="00C84417" w:rsidRDefault="00871C1B" w14:paraId="63DCBF33" w14:textId="77777777">
            <w:pPr>
              <w:rPr>
                <w:rFonts w:ascii="Verdana" w:hAnsi="Verdana"/>
                <w:color w:val="000000"/>
                <w:sz w:val="18"/>
                <w:szCs w:val="18"/>
              </w:rPr>
            </w:pPr>
            <w:r>
              <w:rPr>
                <w:rFonts w:ascii="Verdana" w:hAnsi="Verdana"/>
                <w:color w:val="000000"/>
                <w:sz w:val="18"/>
                <w:szCs w:val="18"/>
              </w:rPr>
              <w:t>4 Dierlijke en plantaardige oliën en vetten</w:t>
            </w:r>
          </w:p>
        </w:tc>
        <w:tc>
          <w:tcPr>
            <w:tcW w:w="1341" w:type="dxa"/>
            <w:vAlign w:val="bottom"/>
          </w:tcPr>
          <w:p w:rsidR="00871C1B" w:rsidP="00C84417" w:rsidRDefault="00871C1B" w14:paraId="269FE963" w14:textId="77777777">
            <w:pPr>
              <w:jc w:val="right"/>
              <w:rPr>
                <w:rFonts w:ascii="Verdana" w:hAnsi="Verdana"/>
                <w:color w:val="000000"/>
                <w:sz w:val="18"/>
                <w:szCs w:val="18"/>
              </w:rPr>
            </w:pPr>
            <w:r>
              <w:rPr>
                <w:rFonts w:ascii="Verdana" w:hAnsi="Verdana"/>
                <w:color w:val="000000"/>
                <w:sz w:val="18"/>
                <w:szCs w:val="18"/>
              </w:rPr>
              <w:t>3</w:t>
            </w:r>
          </w:p>
        </w:tc>
        <w:tc>
          <w:tcPr>
            <w:tcW w:w="1341" w:type="dxa"/>
            <w:vAlign w:val="bottom"/>
          </w:tcPr>
          <w:p w:rsidR="00871C1B" w:rsidP="00C84417" w:rsidRDefault="00871C1B" w14:paraId="5FC936FB" w14:textId="77777777">
            <w:pPr>
              <w:jc w:val="right"/>
              <w:rPr>
                <w:rFonts w:ascii="Verdana" w:hAnsi="Verdana"/>
                <w:color w:val="000000"/>
                <w:sz w:val="18"/>
                <w:szCs w:val="18"/>
              </w:rPr>
            </w:pPr>
            <w:r>
              <w:rPr>
                <w:rFonts w:ascii="Verdana" w:hAnsi="Verdana"/>
                <w:color w:val="000000"/>
                <w:sz w:val="18"/>
                <w:szCs w:val="18"/>
              </w:rPr>
              <w:t>3</w:t>
            </w:r>
          </w:p>
        </w:tc>
        <w:tc>
          <w:tcPr>
            <w:tcW w:w="1268" w:type="dxa"/>
            <w:vAlign w:val="bottom"/>
          </w:tcPr>
          <w:p w:rsidR="00871C1B" w:rsidP="00C84417" w:rsidRDefault="00871C1B" w14:paraId="454F27FB" w14:textId="77777777">
            <w:pPr>
              <w:jc w:val="right"/>
              <w:rPr>
                <w:rFonts w:ascii="Verdana" w:hAnsi="Verdana"/>
                <w:color w:val="000000"/>
                <w:sz w:val="18"/>
                <w:szCs w:val="18"/>
              </w:rPr>
            </w:pPr>
            <w:r>
              <w:rPr>
                <w:rFonts w:ascii="Verdana" w:hAnsi="Verdana"/>
                <w:color w:val="000000"/>
                <w:sz w:val="18"/>
                <w:szCs w:val="18"/>
              </w:rPr>
              <w:t>-5,6%</w:t>
            </w:r>
          </w:p>
        </w:tc>
        <w:tc>
          <w:tcPr>
            <w:tcW w:w="1104" w:type="dxa"/>
            <w:vAlign w:val="bottom"/>
          </w:tcPr>
          <w:p w:rsidR="00871C1B" w:rsidP="00C84417" w:rsidRDefault="00871C1B" w14:paraId="08BD9823" w14:textId="77777777">
            <w:pPr>
              <w:jc w:val="right"/>
              <w:rPr>
                <w:rFonts w:ascii="Verdana" w:hAnsi="Verdana"/>
                <w:color w:val="000000"/>
                <w:sz w:val="18"/>
                <w:szCs w:val="18"/>
              </w:rPr>
            </w:pPr>
            <w:r>
              <w:rPr>
                <w:rFonts w:ascii="Verdana" w:hAnsi="Verdana"/>
                <w:color w:val="000000"/>
                <w:sz w:val="18"/>
                <w:szCs w:val="18"/>
              </w:rPr>
              <w:t>3</w:t>
            </w:r>
          </w:p>
        </w:tc>
        <w:tc>
          <w:tcPr>
            <w:tcW w:w="1104" w:type="dxa"/>
            <w:vAlign w:val="bottom"/>
          </w:tcPr>
          <w:p w:rsidR="00871C1B" w:rsidP="00C84417" w:rsidRDefault="00871C1B" w14:paraId="6C8222EC" w14:textId="77777777">
            <w:pPr>
              <w:jc w:val="right"/>
              <w:rPr>
                <w:rFonts w:ascii="Verdana" w:hAnsi="Verdana"/>
                <w:color w:val="000000"/>
                <w:sz w:val="18"/>
                <w:szCs w:val="18"/>
              </w:rPr>
            </w:pPr>
            <w:r>
              <w:rPr>
                <w:rFonts w:ascii="Verdana" w:hAnsi="Verdana"/>
                <w:color w:val="000000"/>
                <w:sz w:val="18"/>
                <w:szCs w:val="18"/>
              </w:rPr>
              <w:t>2</w:t>
            </w:r>
          </w:p>
        </w:tc>
        <w:tc>
          <w:tcPr>
            <w:tcW w:w="1100" w:type="dxa"/>
            <w:vAlign w:val="bottom"/>
          </w:tcPr>
          <w:p w:rsidR="00871C1B" w:rsidP="00C84417" w:rsidRDefault="00871C1B" w14:paraId="57829804" w14:textId="77777777">
            <w:pPr>
              <w:jc w:val="right"/>
              <w:rPr>
                <w:rFonts w:ascii="Verdana" w:hAnsi="Verdana"/>
                <w:color w:val="000000"/>
                <w:sz w:val="18"/>
                <w:szCs w:val="18"/>
              </w:rPr>
            </w:pPr>
            <w:r>
              <w:rPr>
                <w:rFonts w:ascii="Verdana" w:hAnsi="Verdana"/>
                <w:color w:val="000000"/>
                <w:sz w:val="18"/>
                <w:szCs w:val="18"/>
              </w:rPr>
              <w:t>-47,5%</w:t>
            </w:r>
          </w:p>
        </w:tc>
      </w:tr>
      <w:tr w:rsidR="00871C1B" w:rsidTr="00C84417" w14:paraId="0D1A626A" w14:textId="77777777">
        <w:tc>
          <w:tcPr>
            <w:tcW w:w="1758" w:type="dxa"/>
            <w:tcBorders>
              <w:top w:val="single" w:color="auto" w:sz="4" w:space="0"/>
              <w:left w:val="single" w:color="auto" w:sz="4" w:space="0"/>
              <w:bottom w:val="single" w:color="auto" w:sz="4" w:space="0"/>
              <w:right w:val="nil"/>
            </w:tcBorders>
            <w:shd w:val="clear" w:color="auto" w:fill="auto"/>
            <w:vAlign w:val="bottom"/>
          </w:tcPr>
          <w:p w:rsidR="00871C1B" w:rsidP="00C84417" w:rsidRDefault="00871C1B" w14:paraId="7829D2C2" w14:textId="77777777">
            <w:pPr>
              <w:rPr>
                <w:rFonts w:ascii="Verdana" w:hAnsi="Verdana"/>
                <w:color w:val="000000"/>
                <w:sz w:val="18"/>
                <w:szCs w:val="18"/>
              </w:rPr>
            </w:pPr>
            <w:r>
              <w:rPr>
                <w:rFonts w:ascii="Verdana" w:hAnsi="Verdana"/>
                <w:color w:val="000000"/>
                <w:sz w:val="18"/>
                <w:szCs w:val="18"/>
              </w:rPr>
              <w:t>5 Chemische producten</w:t>
            </w:r>
          </w:p>
        </w:tc>
        <w:tc>
          <w:tcPr>
            <w:tcW w:w="1341" w:type="dxa"/>
            <w:vAlign w:val="bottom"/>
          </w:tcPr>
          <w:p w:rsidR="00871C1B" w:rsidP="00C84417" w:rsidRDefault="00871C1B" w14:paraId="778746CC" w14:textId="77777777">
            <w:pPr>
              <w:jc w:val="right"/>
              <w:rPr>
                <w:rFonts w:ascii="Verdana" w:hAnsi="Verdana"/>
                <w:color w:val="000000"/>
                <w:sz w:val="18"/>
                <w:szCs w:val="18"/>
              </w:rPr>
            </w:pPr>
            <w:r>
              <w:rPr>
                <w:rFonts w:ascii="Verdana" w:hAnsi="Verdana"/>
                <w:color w:val="000000"/>
                <w:sz w:val="18"/>
                <w:szCs w:val="18"/>
              </w:rPr>
              <w:t>657</w:t>
            </w:r>
          </w:p>
        </w:tc>
        <w:tc>
          <w:tcPr>
            <w:tcW w:w="1341" w:type="dxa"/>
            <w:vAlign w:val="bottom"/>
          </w:tcPr>
          <w:p w:rsidR="00871C1B" w:rsidP="00C84417" w:rsidRDefault="00871C1B" w14:paraId="1BB3F6B9" w14:textId="77777777">
            <w:pPr>
              <w:jc w:val="right"/>
              <w:rPr>
                <w:rFonts w:ascii="Verdana" w:hAnsi="Verdana"/>
                <w:color w:val="000000"/>
                <w:sz w:val="18"/>
                <w:szCs w:val="18"/>
              </w:rPr>
            </w:pPr>
            <w:r>
              <w:rPr>
                <w:rFonts w:ascii="Verdana" w:hAnsi="Verdana"/>
                <w:color w:val="000000"/>
                <w:sz w:val="18"/>
                <w:szCs w:val="18"/>
              </w:rPr>
              <w:t>622</w:t>
            </w:r>
          </w:p>
        </w:tc>
        <w:tc>
          <w:tcPr>
            <w:tcW w:w="1268" w:type="dxa"/>
            <w:vAlign w:val="bottom"/>
          </w:tcPr>
          <w:p w:rsidR="00871C1B" w:rsidP="00C84417" w:rsidRDefault="00871C1B" w14:paraId="620CDF5C" w14:textId="77777777">
            <w:pPr>
              <w:jc w:val="right"/>
              <w:rPr>
                <w:rFonts w:ascii="Verdana" w:hAnsi="Verdana"/>
                <w:color w:val="000000"/>
                <w:sz w:val="18"/>
                <w:szCs w:val="18"/>
              </w:rPr>
            </w:pPr>
            <w:r>
              <w:rPr>
                <w:rFonts w:ascii="Verdana" w:hAnsi="Verdana"/>
                <w:color w:val="000000"/>
                <w:sz w:val="18"/>
                <w:szCs w:val="18"/>
              </w:rPr>
              <w:t>-5,3%</w:t>
            </w:r>
          </w:p>
        </w:tc>
        <w:tc>
          <w:tcPr>
            <w:tcW w:w="1104" w:type="dxa"/>
            <w:vAlign w:val="bottom"/>
          </w:tcPr>
          <w:p w:rsidR="00871C1B" w:rsidP="00C84417" w:rsidRDefault="00871C1B" w14:paraId="22E1C98E" w14:textId="77777777">
            <w:pPr>
              <w:jc w:val="right"/>
              <w:rPr>
                <w:rFonts w:ascii="Verdana" w:hAnsi="Verdana"/>
                <w:color w:val="000000"/>
                <w:sz w:val="18"/>
                <w:szCs w:val="18"/>
              </w:rPr>
            </w:pPr>
            <w:r>
              <w:rPr>
                <w:rFonts w:ascii="Verdana" w:hAnsi="Verdana"/>
                <w:color w:val="000000"/>
                <w:sz w:val="18"/>
                <w:szCs w:val="18"/>
              </w:rPr>
              <w:t>205</w:t>
            </w:r>
          </w:p>
        </w:tc>
        <w:tc>
          <w:tcPr>
            <w:tcW w:w="1104" w:type="dxa"/>
            <w:vAlign w:val="bottom"/>
          </w:tcPr>
          <w:p w:rsidR="00871C1B" w:rsidP="00C84417" w:rsidRDefault="00871C1B" w14:paraId="4AFE0D19" w14:textId="77777777">
            <w:pPr>
              <w:jc w:val="right"/>
              <w:rPr>
                <w:rFonts w:ascii="Verdana" w:hAnsi="Verdana"/>
                <w:color w:val="000000"/>
                <w:sz w:val="18"/>
                <w:szCs w:val="18"/>
              </w:rPr>
            </w:pPr>
            <w:r>
              <w:rPr>
                <w:rFonts w:ascii="Verdana" w:hAnsi="Verdana"/>
                <w:color w:val="000000"/>
                <w:sz w:val="18"/>
                <w:szCs w:val="18"/>
              </w:rPr>
              <w:t>258</w:t>
            </w:r>
          </w:p>
        </w:tc>
        <w:tc>
          <w:tcPr>
            <w:tcW w:w="1100" w:type="dxa"/>
            <w:vAlign w:val="bottom"/>
          </w:tcPr>
          <w:p w:rsidR="00871C1B" w:rsidP="00C84417" w:rsidRDefault="00871C1B" w14:paraId="0F4960FC" w14:textId="77777777">
            <w:pPr>
              <w:jc w:val="right"/>
              <w:rPr>
                <w:rFonts w:ascii="Verdana" w:hAnsi="Verdana"/>
                <w:color w:val="000000"/>
                <w:sz w:val="18"/>
                <w:szCs w:val="18"/>
              </w:rPr>
            </w:pPr>
            <w:r>
              <w:rPr>
                <w:rFonts w:ascii="Verdana" w:hAnsi="Verdana"/>
                <w:color w:val="000000"/>
                <w:sz w:val="18"/>
                <w:szCs w:val="18"/>
              </w:rPr>
              <w:t>25,7%</w:t>
            </w:r>
          </w:p>
        </w:tc>
      </w:tr>
      <w:tr w:rsidR="00871C1B" w:rsidTr="00C84417" w14:paraId="5749E06A" w14:textId="77777777">
        <w:tc>
          <w:tcPr>
            <w:tcW w:w="1758" w:type="dxa"/>
            <w:tcBorders>
              <w:top w:val="single" w:color="auto" w:sz="4" w:space="0"/>
              <w:left w:val="single" w:color="auto" w:sz="4" w:space="0"/>
              <w:bottom w:val="single" w:color="auto" w:sz="4" w:space="0"/>
              <w:right w:val="nil"/>
            </w:tcBorders>
            <w:shd w:val="clear" w:color="auto" w:fill="auto"/>
            <w:vAlign w:val="bottom"/>
          </w:tcPr>
          <w:p w:rsidR="00871C1B" w:rsidP="00C84417" w:rsidRDefault="00871C1B" w14:paraId="483E3F32" w14:textId="77777777">
            <w:pPr>
              <w:rPr>
                <w:rFonts w:ascii="Verdana" w:hAnsi="Verdana"/>
                <w:color w:val="000000"/>
                <w:sz w:val="18"/>
                <w:szCs w:val="18"/>
              </w:rPr>
            </w:pPr>
            <w:r>
              <w:rPr>
                <w:rFonts w:ascii="Verdana" w:hAnsi="Verdana"/>
                <w:color w:val="000000"/>
                <w:sz w:val="18"/>
                <w:szCs w:val="18"/>
              </w:rPr>
              <w:t>6 Fabricaten hoofdzakelijk gerangschikt volgens grondstoffen</w:t>
            </w:r>
          </w:p>
        </w:tc>
        <w:tc>
          <w:tcPr>
            <w:tcW w:w="1341" w:type="dxa"/>
            <w:vAlign w:val="bottom"/>
          </w:tcPr>
          <w:p w:rsidR="00871C1B" w:rsidP="00C84417" w:rsidRDefault="00871C1B" w14:paraId="170B2DF8" w14:textId="77777777">
            <w:pPr>
              <w:jc w:val="right"/>
              <w:rPr>
                <w:rFonts w:ascii="Verdana" w:hAnsi="Verdana"/>
                <w:color w:val="000000"/>
                <w:sz w:val="18"/>
                <w:szCs w:val="18"/>
              </w:rPr>
            </w:pPr>
            <w:r>
              <w:rPr>
                <w:rFonts w:ascii="Verdana" w:hAnsi="Verdana"/>
                <w:color w:val="000000"/>
                <w:sz w:val="18"/>
                <w:szCs w:val="18"/>
              </w:rPr>
              <w:t>169</w:t>
            </w:r>
          </w:p>
        </w:tc>
        <w:tc>
          <w:tcPr>
            <w:tcW w:w="1341" w:type="dxa"/>
            <w:vAlign w:val="bottom"/>
          </w:tcPr>
          <w:p w:rsidR="00871C1B" w:rsidP="00C84417" w:rsidRDefault="00871C1B" w14:paraId="22EF3D8A" w14:textId="77777777">
            <w:pPr>
              <w:jc w:val="right"/>
              <w:rPr>
                <w:rFonts w:ascii="Verdana" w:hAnsi="Verdana"/>
                <w:color w:val="000000"/>
                <w:sz w:val="18"/>
                <w:szCs w:val="18"/>
              </w:rPr>
            </w:pPr>
            <w:r>
              <w:rPr>
                <w:rFonts w:ascii="Verdana" w:hAnsi="Verdana"/>
                <w:color w:val="000000"/>
                <w:sz w:val="18"/>
                <w:szCs w:val="18"/>
              </w:rPr>
              <w:t>245</w:t>
            </w:r>
          </w:p>
        </w:tc>
        <w:tc>
          <w:tcPr>
            <w:tcW w:w="1268" w:type="dxa"/>
            <w:vAlign w:val="bottom"/>
          </w:tcPr>
          <w:p w:rsidR="00871C1B" w:rsidP="00C84417" w:rsidRDefault="00871C1B" w14:paraId="4F18A4AF" w14:textId="77777777">
            <w:pPr>
              <w:jc w:val="right"/>
              <w:rPr>
                <w:rFonts w:ascii="Verdana" w:hAnsi="Verdana"/>
                <w:color w:val="000000"/>
                <w:sz w:val="18"/>
                <w:szCs w:val="18"/>
              </w:rPr>
            </w:pPr>
            <w:r>
              <w:rPr>
                <w:rFonts w:ascii="Verdana" w:hAnsi="Verdana"/>
                <w:color w:val="000000"/>
                <w:sz w:val="18"/>
                <w:szCs w:val="18"/>
              </w:rPr>
              <w:t>44,5%</w:t>
            </w:r>
          </w:p>
        </w:tc>
        <w:tc>
          <w:tcPr>
            <w:tcW w:w="1104" w:type="dxa"/>
            <w:vAlign w:val="bottom"/>
          </w:tcPr>
          <w:p w:rsidR="00871C1B" w:rsidP="00C84417" w:rsidRDefault="00871C1B" w14:paraId="7F72A756" w14:textId="77777777">
            <w:pPr>
              <w:jc w:val="right"/>
              <w:rPr>
                <w:rFonts w:ascii="Verdana" w:hAnsi="Verdana"/>
                <w:color w:val="000000"/>
                <w:sz w:val="18"/>
                <w:szCs w:val="18"/>
              </w:rPr>
            </w:pPr>
            <w:r>
              <w:rPr>
                <w:rFonts w:ascii="Verdana" w:hAnsi="Verdana"/>
                <w:color w:val="000000"/>
                <w:sz w:val="18"/>
                <w:szCs w:val="18"/>
              </w:rPr>
              <w:t>97</w:t>
            </w:r>
          </w:p>
        </w:tc>
        <w:tc>
          <w:tcPr>
            <w:tcW w:w="1104" w:type="dxa"/>
            <w:vAlign w:val="bottom"/>
          </w:tcPr>
          <w:p w:rsidR="00871C1B" w:rsidP="00C84417" w:rsidRDefault="00871C1B" w14:paraId="6C8A7F4E" w14:textId="77777777">
            <w:pPr>
              <w:jc w:val="right"/>
              <w:rPr>
                <w:rFonts w:ascii="Verdana" w:hAnsi="Verdana"/>
                <w:color w:val="000000"/>
                <w:sz w:val="18"/>
                <w:szCs w:val="18"/>
              </w:rPr>
            </w:pPr>
            <w:r>
              <w:rPr>
                <w:rFonts w:ascii="Verdana" w:hAnsi="Verdana"/>
                <w:color w:val="000000"/>
                <w:sz w:val="18"/>
                <w:szCs w:val="18"/>
              </w:rPr>
              <w:t>169</w:t>
            </w:r>
          </w:p>
        </w:tc>
        <w:tc>
          <w:tcPr>
            <w:tcW w:w="1100" w:type="dxa"/>
            <w:vAlign w:val="bottom"/>
          </w:tcPr>
          <w:p w:rsidR="00871C1B" w:rsidP="00C84417" w:rsidRDefault="00871C1B" w14:paraId="1842D74A" w14:textId="77777777">
            <w:pPr>
              <w:jc w:val="right"/>
              <w:rPr>
                <w:rFonts w:ascii="Verdana" w:hAnsi="Verdana"/>
                <w:color w:val="000000"/>
                <w:sz w:val="18"/>
                <w:szCs w:val="18"/>
              </w:rPr>
            </w:pPr>
            <w:r>
              <w:rPr>
                <w:rFonts w:ascii="Verdana" w:hAnsi="Verdana"/>
                <w:color w:val="000000"/>
                <w:sz w:val="18"/>
                <w:szCs w:val="18"/>
              </w:rPr>
              <w:t>73,9%</w:t>
            </w:r>
          </w:p>
        </w:tc>
      </w:tr>
      <w:tr w:rsidR="00871C1B" w:rsidTr="00C84417" w14:paraId="461264C7" w14:textId="77777777">
        <w:tc>
          <w:tcPr>
            <w:tcW w:w="1758" w:type="dxa"/>
            <w:tcBorders>
              <w:top w:val="single" w:color="auto" w:sz="4" w:space="0"/>
              <w:left w:val="single" w:color="auto" w:sz="4" w:space="0"/>
              <w:bottom w:val="single" w:color="auto" w:sz="4" w:space="0"/>
              <w:right w:val="nil"/>
            </w:tcBorders>
            <w:shd w:val="clear" w:color="auto" w:fill="auto"/>
            <w:vAlign w:val="bottom"/>
          </w:tcPr>
          <w:p w:rsidR="00871C1B" w:rsidP="00C84417" w:rsidRDefault="00871C1B" w14:paraId="483314A1" w14:textId="77777777">
            <w:pPr>
              <w:rPr>
                <w:rFonts w:ascii="Verdana" w:hAnsi="Verdana"/>
                <w:color w:val="000000"/>
                <w:sz w:val="18"/>
                <w:szCs w:val="18"/>
              </w:rPr>
            </w:pPr>
            <w:r>
              <w:rPr>
                <w:rFonts w:ascii="Verdana" w:hAnsi="Verdana"/>
                <w:color w:val="000000"/>
                <w:sz w:val="18"/>
                <w:szCs w:val="18"/>
              </w:rPr>
              <w:t>7 Machines en vervoermaterieel</w:t>
            </w:r>
          </w:p>
        </w:tc>
        <w:tc>
          <w:tcPr>
            <w:tcW w:w="1341" w:type="dxa"/>
            <w:vAlign w:val="bottom"/>
          </w:tcPr>
          <w:p w:rsidR="00871C1B" w:rsidP="00C84417" w:rsidRDefault="00871C1B" w14:paraId="6AAB4152" w14:textId="77777777">
            <w:pPr>
              <w:jc w:val="right"/>
              <w:rPr>
                <w:rFonts w:ascii="Verdana" w:hAnsi="Verdana"/>
                <w:color w:val="000000"/>
                <w:sz w:val="18"/>
                <w:szCs w:val="18"/>
              </w:rPr>
            </w:pPr>
            <w:r>
              <w:rPr>
                <w:rFonts w:ascii="Verdana" w:hAnsi="Verdana"/>
                <w:color w:val="000000"/>
                <w:sz w:val="18"/>
                <w:szCs w:val="18"/>
              </w:rPr>
              <w:t>757</w:t>
            </w:r>
          </w:p>
        </w:tc>
        <w:tc>
          <w:tcPr>
            <w:tcW w:w="1341" w:type="dxa"/>
            <w:vAlign w:val="bottom"/>
          </w:tcPr>
          <w:p w:rsidR="00871C1B" w:rsidP="00C84417" w:rsidRDefault="00871C1B" w14:paraId="46F5E904" w14:textId="77777777">
            <w:pPr>
              <w:jc w:val="right"/>
              <w:rPr>
                <w:rFonts w:ascii="Verdana" w:hAnsi="Verdana"/>
                <w:color w:val="000000"/>
                <w:sz w:val="18"/>
                <w:szCs w:val="18"/>
              </w:rPr>
            </w:pPr>
            <w:r>
              <w:rPr>
                <w:rFonts w:ascii="Verdana" w:hAnsi="Verdana"/>
                <w:color w:val="000000"/>
                <w:sz w:val="18"/>
                <w:szCs w:val="18"/>
              </w:rPr>
              <w:t>840</w:t>
            </w:r>
          </w:p>
        </w:tc>
        <w:tc>
          <w:tcPr>
            <w:tcW w:w="1268" w:type="dxa"/>
            <w:vAlign w:val="bottom"/>
          </w:tcPr>
          <w:p w:rsidR="00871C1B" w:rsidP="00C84417" w:rsidRDefault="00871C1B" w14:paraId="62F90C74" w14:textId="77777777">
            <w:pPr>
              <w:jc w:val="right"/>
              <w:rPr>
                <w:rFonts w:ascii="Verdana" w:hAnsi="Verdana"/>
                <w:color w:val="000000"/>
                <w:sz w:val="18"/>
                <w:szCs w:val="18"/>
              </w:rPr>
            </w:pPr>
            <w:r>
              <w:rPr>
                <w:rFonts w:ascii="Verdana" w:hAnsi="Verdana"/>
                <w:color w:val="000000"/>
                <w:sz w:val="18"/>
                <w:szCs w:val="18"/>
              </w:rPr>
              <w:t>10,9%</w:t>
            </w:r>
          </w:p>
        </w:tc>
        <w:tc>
          <w:tcPr>
            <w:tcW w:w="1104" w:type="dxa"/>
            <w:vAlign w:val="bottom"/>
          </w:tcPr>
          <w:p w:rsidR="00871C1B" w:rsidP="00C84417" w:rsidRDefault="00871C1B" w14:paraId="075F9B5B" w14:textId="77777777">
            <w:pPr>
              <w:jc w:val="right"/>
              <w:rPr>
                <w:rFonts w:ascii="Verdana" w:hAnsi="Verdana"/>
                <w:color w:val="000000"/>
                <w:sz w:val="18"/>
                <w:szCs w:val="18"/>
              </w:rPr>
            </w:pPr>
            <w:r>
              <w:rPr>
                <w:rFonts w:ascii="Verdana" w:hAnsi="Verdana"/>
                <w:color w:val="000000"/>
                <w:sz w:val="18"/>
                <w:szCs w:val="18"/>
              </w:rPr>
              <w:t>457</w:t>
            </w:r>
          </w:p>
        </w:tc>
        <w:tc>
          <w:tcPr>
            <w:tcW w:w="1104" w:type="dxa"/>
            <w:vAlign w:val="bottom"/>
          </w:tcPr>
          <w:p w:rsidR="00871C1B" w:rsidP="00C84417" w:rsidRDefault="00871C1B" w14:paraId="79D7A408" w14:textId="77777777">
            <w:pPr>
              <w:jc w:val="right"/>
              <w:rPr>
                <w:rFonts w:ascii="Verdana" w:hAnsi="Verdana"/>
                <w:color w:val="000000"/>
                <w:sz w:val="18"/>
                <w:szCs w:val="18"/>
              </w:rPr>
            </w:pPr>
            <w:r>
              <w:rPr>
                <w:rFonts w:ascii="Verdana" w:hAnsi="Verdana"/>
                <w:color w:val="000000"/>
                <w:sz w:val="18"/>
                <w:szCs w:val="18"/>
              </w:rPr>
              <w:t>460</w:t>
            </w:r>
          </w:p>
        </w:tc>
        <w:tc>
          <w:tcPr>
            <w:tcW w:w="1100" w:type="dxa"/>
            <w:vAlign w:val="bottom"/>
          </w:tcPr>
          <w:p w:rsidR="00871C1B" w:rsidP="00C84417" w:rsidRDefault="00871C1B" w14:paraId="60BCCD07" w14:textId="77777777">
            <w:pPr>
              <w:jc w:val="right"/>
              <w:rPr>
                <w:rFonts w:ascii="Verdana" w:hAnsi="Verdana"/>
                <w:color w:val="000000"/>
                <w:sz w:val="18"/>
                <w:szCs w:val="18"/>
              </w:rPr>
            </w:pPr>
            <w:r>
              <w:rPr>
                <w:rFonts w:ascii="Verdana" w:hAnsi="Verdana"/>
                <w:color w:val="000000"/>
                <w:sz w:val="18"/>
                <w:szCs w:val="18"/>
              </w:rPr>
              <w:t>0,7%</w:t>
            </w:r>
          </w:p>
        </w:tc>
      </w:tr>
      <w:tr w:rsidR="00871C1B" w:rsidTr="00C84417" w14:paraId="55CA40C0" w14:textId="77777777">
        <w:tc>
          <w:tcPr>
            <w:tcW w:w="1758" w:type="dxa"/>
            <w:tcBorders>
              <w:top w:val="single" w:color="auto" w:sz="4" w:space="0"/>
              <w:left w:val="single" w:color="auto" w:sz="4" w:space="0"/>
              <w:bottom w:val="single" w:color="auto" w:sz="4" w:space="0"/>
              <w:right w:val="nil"/>
            </w:tcBorders>
            <w:shd w:val="clear" w:color="auto" w:fill="auto"/>
            <w:vAlign w:val="bottom"/>
          </w:tcPr>
          <w:p w:rsidR="00871C1B" w:rsidP="00C84417" w:rsidRDefault="00871C1B" w14:paraId="4AB0FAF6" w14:textId="77777777">
            <w:pPr>
              <w:rPr>
                <w:rFonts w:ascii="Verdana" w:hAnsi="Verdana"/>
                <w:color w:val="000000"/>
                <w:sz w:val="18"/>
                <w:szCs w:val="18"/>
              </w:rPr>
            </w:pPr>
            <w:r>
              <w:rPr>
                <w:rFonts w:ascii="Verdana" w:hAnsi="Verdana"/>
                <w:color w:val="000000"/>
                <w:sz w:val="18"/>
                <w:szCs w:val="18"/>
              </w:rPr>
              <w:t>8 Diverse gefabriceerde goederen</w:t>
            </w:r>
          </w:p>
        </w:tc>
        <w:tc>
          <w:tcPr>
            <w:tcW w:w="1341" w:type="dxa"/>
            <w:vAlign w:val="bottom"/>
          </w:tcPr>
          <w:p w:rsidR="00871C1B" w:rsidP="00C84417" w:rsidRDefault="00871C1B" w14:paraId="029892F3" w14:textId="77777777">
            <w:pPr>
              <w:jc w:val="right"/>
              <w:rPr>
                <w:rFonts w:ascii="Verdana" w:hAnsi="Verdana"/>
                <w:color w:val="000000"/>
                <w:sz w:val="18"/>
                <w:szCs w:val="18"/>
              </w:rPr>
            </w:pPr>
            <w:r>
              <w:rPr>
                <w:rFonts w:ascii="Verdana" w:hAnsi="Verdana"/>
                <w:color w:val="000000"/>
                <w:sz w:val="18"/>
                <w:szCs w:val="18"/>
              </w:rPr>
              <w:t>295</w:t>
            </w:r>
          </w:p>
        </w:tc>
        <w:tc>
          <w:tcPr>
            <w:tcW w:w="1341" w:type="dxa"/>
            <w:vAlign w:val="bottom"/>
          </w:tcPr>
          <w:p w:rsidR="00871C1B" w:rsidP="00C84417" w:rsidRDefault="00871C1B" w14:paraId="324A371D" w14:textId="77777777">
            <w:pPr>
              <w:jc w:val="right"/>
              <w:rPr>
                <w:rFonts w:ascii="Verdana" w:hAnsi="Verdana"/>
                <w:color w:val="000000"/>
                <w:sz w:val="18"/>
                <w:szCs w:val="18"/>
              </w:rPr>
            </w:pPr>
            <w:r>
              <w:rPr>
                <w:rFonts w:ascii="Verdana" w:hAnsi="Verdana"/>
                <w:color w:val="000000"/>
                <w:sz w:val="18"/>
                <w:szCs w:val="18"/>
              </w:rPr>
              <w:t>285</w:t>
            </w:r>
          </w:p>
        </w:tc>
        <w:tc>
          <w:tcPr>
            <w:tcW w:w="1268" w:type="dxa"/>
            <w:vAlign w:val="bottom"/>
          </w:tcPr>
          <w:p w:rsidR="00871C1B" w:rsidP="00C84417" w:rsidRDefault="00871C1B" w14:paraId="64312E46" w14:textId="77777777">
            <w:pPr>
              <w:jc w:val="right"/>
              <w:rPr>
                <w:rFonts w:ascii="Verdana" w:hAnsi="Verdana"/>
                <w:color w:val="000000"/>
                <w:sz w:val="18"/>
                <w:szCs w:val="18"/>
              </w:rPr>
            </w:pPr>
            <w:r>
              <w:rPr>
                <w:rFonts w:ascii="Verdana" w:hAnsi="Verdana"/>
                <w:color w:val="000000"/>
                <w:sz w:val="18"/>
                <w:szCs w:val="18"/>
              </w:rPr>
              <w:t>-3,4%</w:t>
            </w:r>
          </w:p>
        </w:tc>
        <w:tc>
          <w:tcPr>
            <w:tcW w:w="1104" w:type="dxa"/>
            <w:vAlign w:val="bottom"/>
          </w:tcPr>
          <w:p w:rsidR="00871C1B" w:rsidP="00C84417" w:rsidRDefault="00871C1B" w14:paraId="4DC922FF" w14:textId="77777777">
            <w:pPr>
              <w:jc w:val="right"/>
              <w:rPr>
                <w:rFonts w:ascii="Verdana" w:hAnsi="Verdana"/>
                <w:color w:val="000000"/>
                <w:sz w:val="18"/>
                <w:szCs w:val="18"/>
              </w:rPr>
            </w:pPr>
            <w:r>
              <w:rPr>
                <w:rFonts w:ascii="Verdana" w:hAnsi="Verdana"/>
                <w:color w:val="000000"/>
                <w:sz w:val="18"/>
                <w:szCs w:val="18"/>
              </w:rPr>
              <w:t>239</w:t>
            </w:r>
          </w:p>
        </w:tc>
        <w:tc>
          <w:tcPr>
            <w:tcW w:w="1104" w:type="dxa"/>
            <w:vAlign w:val="bottom"/>
          </w:tcPr>
          <w:p w:rsidR="00871C1B" w:rsidP="00C84417" w:rsidRDefault="00871C1B" w14:paraId="38507C3C" w14:textId="77777777">
            <w:pPr>
              <w:jc w:val="right"/>
              <w:rPr>
                <w:rFonts w:ascii="Verdana" w:hAnsi="Verdana"/>
                <w:color w:val="000000"/>
                <w:sz w:val="18"/>
                <w:szCs w:val="18"/>
              </w:rPr>
            </w:pPr>
            <w:r>
              <w:rPr>
                <w:rFonts w:ascii="Verdana" w:hAnsi="Verdana"/>
                <w:color w:val="000000"/>
                <w:sz w:val="18"/>
                <w:szCs w:val="18"/>
              </w:rPr>
              <w:t>257</w:t>
            </w:r>
          </w:p>
        </w:tc>
        <w:tc>
          <w:tcPr>
            <w:tcW w:w="1100" w:type="dxa"/>
            <w:vAlign w:val="bottom"/>
          </w:tcPr>
          <w:p w:rsidR="00871C1B" w:rsidP="00C84417" w:rsidRDefault="00871C1B" w14:paraId="02BADD59" w14:textId="77777777">
            <w:pPr>
              <w:jc w:val="right"/>
              <w:rPr>
                <w:rFonts w:ascii="Verdana" w:hAnsi="Verdana"/>
                <w:color w:val="000000"/>
                <w:sz w:val="18"/>
                <w:szCs w:val="18"/>
              </w:rPr>
            </w:pPr>
            <w:r>
              <w:rPr>
                <w:rFonts w:ascii="Verdana" w:hAnsi="Verdana"/>
                <w:color w:val="000000"/>
                <w:sz w:val="18"/>
                <w:szCs w:val="18"/>
              </w:rPr>
              <w:t>7,2%</w:t>
            </w:r>
          </w:p>
        </w:tc>
      </w:tr>
      <w:tr w:rsidR="00871C1B" w:rsidTr="00C84417" w14:paraId="20D901F5" w14:textId="77777777">
        <w:tc>
          <w:tcPr>
            <w:tcW w:w="1758" w:type="dxa"/>
            <w:tcBorders>
              <w:top w:val="single" w:color="auto" w:sz="4" w:space="0"/>
              <w:left w:val="single" w:color="auto" w:sz="4" w:space="0"/>
              <w:bottom w:val="single" w:color="auto" w:sz="4" w:space="0"/>
              <w:right w:val="nil"/>
            </w:tcBorders>
            <w:shd w:val="clear" w:color="auto" w:fill="auto"/>
            <w:vAlign w:val="bottom"/>
          </w:tcPr>
          <w:p w:rsidR="00871C1B" w:rsidP="00C84417" w:rsidRDefault="00871C1B" w14:paraId="4B22E00A" w14:textId="77777777">
            <w:pPr>
              <w:rPr>
                <w:rFonts w:ascii="Verdana" w:hAnsi="Verdana"/>
                <w:color w:val="000000"/>
                <w:sz w:val="18"/>
                <w:szCs w:val="18"/>
              </w:rPr>
            </w:pPr>
            <w:r>
              <w:rPr>
                <w:rFonts w:ascii="Verdana" w:hAnsi="Verdana"/>
                <w:color w:val="000000"/>
                <w:sz w:val="18"/>
                <w:szCs w:val="18"/>
              </w:rPr>
              <w:t>9 Niet afzonderlijk genoemde goederen</w:t>
            </w:r>
          </w:p>
        </w:tc>
        <w:tc>
          <w:tcPr>
            <w:tcW w:w="1341" w:type="dxa"/>
            <w:vAlign w:val="bottom"/>
          </w:tcPr>
          <w:p w:rsidR="00871C1B" w:rsidP="00C84417" w:rsidRDefault="00871C1B" w14:paraId="13F9CBC2" w14:textId="77777777">
            <w:pPr>
              <w:jc w:val="right"/>
              <w:rPr>
                <w:rFonts w:ascii="Verdana" w:hAnsi="Verdana"/>
                <w:color w:val="000000"/>
                <w:sz w:val="18"/>
                <w:szCs w:val="18"/>
              </w:rPr>
            </w:pPr>
            <w:r>
              <w:rPr>
                <w:rFonts w:ascii="Verdana" w:hAnsi="Verdana"/>
                <w:color w:val="000000"/>
                <w:sz w:val="18"/>
                <w:szCs w:val="18"/>
              </w:rPr>
              <w:t>6</w:t>
            </w:r>
          </w:p>
        </w:tc>
        <w:tc>
          <w:tcPr>
            <w:tcW w:w="1341" w:type="dxa"/>
            <w:vAlign w:val="bottom"/>
          </w:tcPr>
          <w:p w:rsidR="00871C1B" w:rsidP="00C84417" w:rsidRDefault="00871C1B" w14:paraId="710A8912" w14:textId="77777777">
            <w:pPr>
              <w:jc w:val="right"/>
              <w:rPr>
                <w:rFonts w:ascii="Verdana" w:hAnsi="Verdana"/>
                <w:color w:val="000000"/>
                <w:sz w:val="18"/>
                <w:szCs w:val="18"/>
              </w:rPr>
            </w:pPr>
            <w:r>
              <w:rPr>
                <w:rFonts w:ascii="Verdana" w:hAnsi="Verdana"/>
                <w:color w:val="000000"/>
                <w:sz w:val="18"/>
                <w:szCs w:val="18"/>
              </w:rPr>
              <w:t>6</w:t>
            </w:r>
          </w:p>
        </w:tc>
        <w:tc>
          <w:tcPr>
            <w:tcW w:w="1268" w:type="dxa"/>
            <w:vAlign w:val="bottom"/>
          </w:tcPr>
          <w:p w:rsidR="00871C1B" w:rsidP="00C84417" w:rsidRDefault="00871C1B" w14:paraId="3C396F33" w14:textId="77777777">
            <w:pPr>
              <w:jc w:val="right"/>
              <w:rPr>
                <w:rFonts w:ascii="Verdana" w:hAnsi="Verdana"/>
                <w:color w:val="000000"/>
                <w:sz w:val="18"/>
                <w:szCs w:val="18"/>
              </w:rPr>
            </w:pPr>
            <w:r>
              <w:rPr>
                <w:rFonts w:ascii="Verdana" w:hAnsi="Verdana"/>
                <w:color w:val="000000"/>
                <w:sz w:val="18"/>
                <w:szCs w:val="18"/>
              </w:rPr>
              <w:t>13,8%</w:t>
            </w:r>
          </w:p>
        </w:tc>
        <w:tc>
          <w:tcPr>
            <w:tcW w:w="1104" w:type="dxa"/>
            <w:vAlign w:val="bottom"/>
          </w:tcPr>
          <w:p w:rsidR="00871C1B" w:rsidP="00C84417" w:rsidRDefault="00871C1B" w14:paraId="026BD484" w14:textId="77777777">
            <w:pPr>
              <w:jc w:val="right"/>
              <w:rPr>
                <w:rFonts w:ascii="Verdana" w:hAnsi="Verdana"/>
                <w:color w:val="000000"/>
                <w:sz w:val="18"/>
                <w:szCs w:val="18"/>
              </w:rPr>
            </w:pPr>
            <w:r>
              <w:rPr>
                <w:rFonts w:ascii="Verdana" w:hAnsi="Verdana"/>
                <w:color w:val="000000"/>
                <w:sz w:val="18"/>
                <w:szCs w:val="18"/>
              </w:rPr>
              <w:t>0</w:t>
            </w:r>
          </w:p>
        </w:tc>
        <w:tc>
          <w:tcPr>
            <w:tcW w:w="1104" w:type="dxa"/>
            <w:vAlign w:val="bottom"/>
          </w:tcPr>
          <w:p w:rsidR="00871C1B" w:rsidP="00C84417" w:rsidRDefault="00871C1B" w14:paraId="7DC48F63" w14:textId="77777777">
            <w:pPr>
              <w:rPr>
                <w:rFonts w:ascii="Verdana" w:hAnsi="Verdana"/>
                <w:color w:val="000000"/>
                <w:sz w:val="18"/>
                <w:szCs w:val="18"/>
              </w:rPr>
            </w:pPr>
            <w:r>
              <w:rPr>
                <w:rFonts w:ascii="Verdana" w:hAnsi="Verdana"/>
                <w:color w:val="000000"/>
                <w:sz w:val="18"/>
                <w:szCs w:val="18"/>
              </w:rPr>
              <w:t>.</w:t>
            </w:r>
          </w:p>
        </w:tc>
        <w:tc>
          <w:tcPr>
            <w:tcW w:w="1100" w:type="dxa"/>
            <w:vAlign w:val="bottom"/>
          </w:tcPr>
          <w:p w:rsidR="00871C1B" w:rsidP="00C84417" w:rsidRDefault="00871C1B" w14:paraId="78BDB516" w14:textId="77777777">
            <w:pPr>
              <w:rPr>
                <w:rFonts w:ascii="Verdana" w:hAnsi="Verdana"/>
                <w:color w:val="000000"/>
                <w:sz w:val="18"/>
                <w:szCs w:val="18"/>
              </w:rPr>
            </w:pPr>
            <w:r>
              <w:rPr>
                <w:rFonts w:ascii="Verdana" w:hAnsi="Verdana"/>
                <w:color w:val="000000"/>
                <w:sz w:val="18"/>
                <w:szCs w:val="18"/>
              </w:rPr>
              <w:t>.</w:t>
            </w:r>
          </w:p>
        </w:tc>
      </w:tr>
    </w:tbl>
    <w:p w:rsidR="00871C1B" w:rsidP="00871C1B" w:rsidRDefault="00871C1B" w14:paraId="402CDC4F" w14:textId="77777777">
      <w:pPr>
        <w:rPr>
          <w:rFonts w:ascii="Verdana" w:hAnsi="Verdana"/>
          <w:sz w:val="18"/>
          <w:szCs w:val="18"/>
        </w:rPr>
      </w:pPr>
      <w:r>
        <w:rPr>
          <w:rFonts w:ascii="Verdana" w:hAnsi="Verdana"/>
          <w:sz w:val="18"/>
          <w:szCs w:val="18"/>
        </w:rPr>
        <w:t>Bron: CBS</w:t>
      </w:r>
    </w:p>
    <w:p w:rsidR="00871C1B" w:rsidP="00871C1B" w:rsidRDefault="00871C1B" w14:paraId="140CA768" w14:textId="77777777">
      <w:pPr>
        <w:rPr>
          <w:rFonts w:ascii="Verdana" w:hAnsi="Verdana"/>
          <w:sz w:val="18"/>
          <w:szCs w:val="18"/>
        </w:rPr>
      </w:pPr>
      <w:r>
        <w:rPr>
          <w:rFonts w:ascii="Verdana" w:hAnsi="Verdana"/>
          <w:b/>
          <w:sz w:val="18"/>
          <w:szCs w:val="18"/>
        </w:rPr>
        <w:t>Diensten</w:t>
      </w:r>
    </w:p>
    <w:tbl>
      <w:tblPr>
        <w:tblStyle w:val="TableGrid"/>
        <w:tblW w:w="0" w:type="auto"/>
        <w:tblLook w:val="04A0" w:firstRow="1" w:lastRow="0" w:firstColumn="1" w:lastColumn="0" w:noHBand="0" w:noVBand="1"/>
      </w:tblPr>
      <w:tblGrid>
        <w:gridCol w:w="2154"/>
        <w:gridCol w:w="1080"/>
        <w:gridCol w:w="1080"/>
        <w:gridCol w:w="1301"/>
        <w:gridCol w:w="1050"/>
        <w:gridCol w:w="1050"/>
        <w:gridCol w:w="1301"/>
      </w:tblGrid>
      <w:tr w:rsidR="00871C1B" w:rsidTr="00C84417" w14:paraId="1CA5CFE7" w14:textId="77777777">
        <w:tc>
          <w:tcPr>
            <w:tcW w:w="2154" w:type="dxa"/>
          </w:tcPr>
          <w:p w:rsidRPr="006E5BA3" w:rsidR="00871C1B" w:rsidP="00C84417" w:rsidRDefault="00871C1B" w14:paraId="447EF90D" w14:textId="77777777">
            <w:pPr>
              <w:rPr>
                <w:rFonts w:ascii="Verdana" w:hAnsi="Verdana"/>
                <w:i/>
                <w:sz w:val="18"/>
                <w:szCs w:val="18"/>
              </w:rPr>
            </w:pPr>
            <w:r>
              <w:rPr>
                <w:rFonts w:ascii="Verdana" w:hAnsi="Verdana"/>
                <w:i/>
                <w:sz w:val="18"/>
                <w:szCs w:val="18"/>
              </w:rPr>
              <w:t>Sector</w:t>
            </w:r>
          </w:p>
        </w:tc>
        <w:tc>
          <w:tcPr>
            <w:tcW w:w="1080" w:type="dxa"/>
          </w:tcPr>
          <w:p w:rsidRPr="006E5BA3" w:rsidR="00871C1B" w:rsidP="00C84417" w:rsidRDefault="00871C1B" w14:paraId="5625515F" w14:textId="77777777">
            <w:pPr>
              <w:rPr>
                <w:rFonts w:ascii="Verdana" w:hAnsi="Verdana"/>
                <w:i/>
                <w:sz w:val="18"/>
                <w:szCs w:val="18"/>
                <w:lang w:val="en-US"/>
              </w:rPr>
            </w:pPr>
            <w:r>
              <w:rPr>
                <w:rFonts w:ascii="Verdana" w:hAnsi="Verdana"/>
                <w:i/>
                <w:sz w:val="18"/>
                <w:szCs w:val="18"/>
              </w:rPr>
              <w:t>Uitvoer 2017 (</w:t>
            </w:r>
            <w:r>
              <w:rPr>
                <w:rFonts w:ascii="Verdana" w:hAnsi="Verdana"/>
                <w:i/>
                <w:sz w:val="18"/>
                <w:szCs w:val="18"/>
                <w:lang w:val="en-US"/>
              </w:rPr>
              <w:t xml:space="preserve">€ </w:t>
            </w:r>
            <w:proofErr w:type="spellStart"/>
            <w:r>
              <w:rPr>
                <w:rFonts w:ascii="Verdana" w:hAnsi="Verdana"/>
                <w:i/>
                <w:sz w:val="18"/>
                <w:szCs w:val="18"/>
                <w:lang w:val="en-US"/>
              </w:rPr>
              <w:t>mln</w:t>
            </w:r>
            <w:proofErr w:type="spellEnd"/>
            <w:r>
              <w:rPr>
                <w:rFonts w:ascii="Verdana" w:hAnsi="Verdana"/>
                <w:i/>
                <w:sz w:val="18"/>
                <w:szCs w:val="18"/>
                <w:lang w:val="en-US"/>
              </w:rPr>
              <w:t>)</w:t>
            </w:r>
          </w:p>
        </w:tc>
        <w:tc>
          <w:tcPr>
            <w:tcW w:w="1080" w:type="dxa"/>
          </w:tcPr>
          <w:p w:rsidRPr="006E5BA3" w:rsidR="00871C1B" w:rsidP="00C84417" w:rsidRDefault="00871C1B" w14:paraId="70AF87B2" w14:textId="77777777">
            <w:pPr>
              <w:rPr>
                <w:rFonts w:ascii="Verdana" w:hAnsi="Verdana"/>
                <w:i/>
                <w:sz w:val="18"/>
                <w:szCs w:val="18"/>
              </w:rPr>
            </w:pPr>
            <w:r>
              <w:rPr>
                <w:rFonts w:ascii="Verdana" w:hAnsi="Verdana"/>
                <w:i/>
                <w:sz w:val="18"/>
                <w:szCs w:val="18"/>
              </w:rPr>
              <w:t>Uitvoer 2018 (</w:t>
            </w:r>
            <w:r>
              <w:rPr>
                <w:rFonts w:ascii="Verdana" w:hAnsi="Verdana"/>
                <w:i/>
                <w:sz w:val="18"/>
                <w:szCs w:val="18"/>
                <w:lang w:val="en-US"/>
              </w:rPr>
              <w:t xml:space="preserve">€ </w:t>
            </w:r>
            <w:proofErr w:type="spellStart"/>
            <w:r>
              <w:rPr>
                <w:rFonts w:ascii="Verdana" w:hAnsi="Verdana"/>
                <w:i/>
                <w:sz w:val="18"/>
                <w:szCs w:val="18"/>
                <w:lang w:val="en-US"/>
              </w:rPr>
              <w:t>mln</w:t>
            </w:r>
            <w:proofErr w:type="spellEnd"/>
            <w:r>
              <w:rPr>
                <w:rFonts w:ascii="Verdana" w:hAnsi="Verdana"/>
                <w:i/>
                <w:sz w:val="18"/>
                <w:szCs w:val="18"/>
                <w:lang w:val="en-US"/>
              </w:rPr>
              <w:t>)</w:t>
            </w:r>
          </w:p>
        </w:tc>
        <w:tc>
          <w:tcPr>
            <w:tcW w:w="1301" w:type="dxa"/>
          </w:tcPr>
          <w:p w:rsidR="00871C1B" w:rsidP="00C84417" w:rsidRDefault="00871C1B" w14:paraId="18F59DDE" w14:textId="77777777">
            <w:pPr>
              <w:rPr>
                <w:rFonts w:ascii="Verdana" w:hAnsi="Verdana"/>
                <w:sz w:val="18"/>
                <w:szCs w:val="18"/>
              </w:rPr>
            </w:pPr>
            <w:r>
              <w:rPr>
                <w:rFonts w:ascii="Verdana" w:hAnsi="Verdana"/>
                <w:sz w:val="18"/>
                <w:szCs w:val="18"/>
              </w:rPr>
              <w:t>% verandering uitvoer</w:t>
            </w:r>
          </w:p>
        </w:tc>
        <w:tc>
          <w:tcPr>
            <w:tcW w:w="1050" w:type="dxa"/>
          </w:tcPr>
          <w:p w:rsidR="00871C1B" w:rsidP="00C84417" w:rsidRDefault="00871C1B" w14:paraId="21B61E33" w14:textId="77777777">
            <w:pPr>
              <w:rPr>
                <w:rFonts w:ascii="Verdana" w:hAnsi="Verdana"/>
                <w:sz w:val="18"/>
                <w:szCs w:val="18"/>
              </w:rPr>
            </w:pPr>
            <w:r>
              <w:rPr>
                <w:rFonts w:ascii="Verdana" w:hAnsi="Verdana"/>
                <w:sz w:val="18"/>
                <w:szCs w:val="18"/>
              </w:rPr>
              <w:t xml:space="preserve">Invoer 2017 </w:t>
            </w:r>
            <w:r>
              <w:rPr>
                <w:rFonts w:ascii="Verdana" w:hAnsi="Verdana"/>
                <w:i/>
                <w:sz w:val="18"/>
                <w:szCs w:val="18"/>
              </w:rPr>
              <w:t xml:space="preserve">(€ </w:t>
            </w:r>
            <w:proofErr w:type="spellStart"/>
            <w:r>
              <w:rPr>
                <w:rFonts w:ascii="Verdana" w:hAnsi="Verdana"/>
                <w:i/>
                <w:sz w:val="18"/>
                <w:szCs w:val="18"/>
              </w:rPr>
              <w:t>mln</w:t>
            </w:r>
            <w:proofErr w:type="spellEnd"/>
            <w:r>
              <w:rPr>
                <w:rFonts w:ascii="Verdana" w:hAnsi="Verdana"/>
                <w:i/>
                <w:sz w:val="18"/>
                <w:szCs w:val="18"/>
              </w:rPr>
              <w:t>)</w:t>
            </w:r>
          </w:p>
        </w:tc>
        <w:tc>
          <w:tcPr>
            <w:tcW w:w="1050" w:type="dxa"/>
          </w:tcPr>
          <w:p w:rsidR="00871C1B" w:rsidP="00C84417" w:rsidRDefault="00871C1B" w14:paraId="62B1481E" w14:textId="77777777">
            <w:pPr>
              <w:rPr>
                <w:rFonts w:ascii="Verdana" w:hAnsi="Verdana"/>
                <w:sz w:val="18"/>
                <w:szCs w:val="18"/>
              </w:rPr>
            </w:pPr>
            <w:r>
              <w:rPr>
                <w:rFonts w:ascii="Verdana" w:hAnsi="Verdana"/>
                <w:sz w:val="18"/>
                <w:szCs w:val="18"/>
              </w:rPr>
              <w:t xml:space="preserve">Invoer 2018 </w:t>
            </w:r>
            <w:r>
              <w:rPr>
                <w:rFonts w:ascii="Verdana" w:hAnsi="Verdana"/>
                <w:i/>
                <w:sz w:val="18"/>
                <w:szCs w:val="18"/>
              </w:rPr>
              <w:t xml:space="preserve">(€ </w:t>
            </w:r>
            <w:proofErr w:type="spellStart"/>
            <w:r>
              <w:rPr>
                <w:rFonts w:ascii="Verdana" w:hAnsi="Verdana"/>
                <w:i/>
                <w:sz w:val="18"/>
                <w:szCs w:val="18"/>
              </w:rPr>
              <w:t>mln</w:t>
            </w:r>
            <w:proofErr w:type="spellEnd"/>
            <w:r>
              <w:rPr>
                <w:rFonts w:ascii="Verdana" w:hAnsi="Verdana"/>
                <w:i/>
                <w:sz w:val="18"/>
                <w:szCs w:val="18"/>
              </w:rPr>
              <w:t>)</w:t>
            </w:r>
          </w:p>
        </w:tc>
        <w:tc>
          <w:tcPr>
            <w:tcW w:w="1301" w:type="dxa"/>
          </w:tcPr>
          <w:p w:rsidR="00871C1B" w:rsidP="00C84417" w:rsidRDefault="00871C1B" w14:paraId="46288C93" w14:textId="77777777">
            <w:pPr>
              <w:rPr>
                <w:rFonts w:ascii="Verdana" w:hAnsi="Verdana"/>
                <w:sz w:val="18"/>
                <w:szCs w:val="18"/>
              </w:rPr>
            </w:pPr>
            <w:r>
              <w:rPr>
                <w:rFonts w:ascii="Verdana" w:hAnsi="Verdana"/>
                <w:sz w:val="18"/>
                <w:szCs w:val="18"/>
              </w:rPr>
              <w:t>% verandering invoer</w:t>
            </w:r>
          </w:p>
        </w:tc>
      </w:tr>
      <w:tr w:rsidR="00871C1B" w:rsidTr="00C84417" w14:paraId="48DC9C13" w14:textId="77777777">
        <w:tc>
          <w:tcPr>
            <w:tcW w:w="2154" w:type="dxa"/>
            <w:vAlign w:val="bottom"/>
          </w:tcPr>
          <w:p w:rsidR="00871C1B" w:rsidP="00C84417" w:rsidRDefault="00871C1B" w14:paraId="202584FF" w14:textId="77777777">
            <w:pPr>
              <w:rPr>
                <w:rFonts w:ascii="Verdana" w:hAnsi="Verdana"/>
                <w:color w:val="000000"/>
                <w:sz w:val="18"/>
                <w:szCs w:val="18"/>
              </w:rPr>
            </w:pPr>
            <w:r>
              <w:rPr>
                <w:rFonts w:ascii="Verdana" w:hAnsi="Verdana"/>
                <w:color w:val="000000"/>
                <w:sz w:val="18"/>
                <w:szCs w:val="18"/>
              </w:rPr>
              <w:t>S Totaal Diensten</w:t>
            </w:r>
          </w:p>
        </w:tc>
        <w:tc>
          <w:tcPr>
            <w:tcW w:w="1080" w:type="dxa"/>
            <w:vAlign w:val="bottom"/>
          </w:tcPr>
          <w:p w:rsidR="00871C1B" w:rsidP="00C84417" w:rsidRDefault="00871C1B" w14:paraId="5A6BE754" w14:textId="77777777">
            <w:pPr>
              <w:jc w:val="right"/>
              <w:rPr>
                <w:rFonts w:ascii="Verdana" w:hAnsi="Verdana"/>
                <w:color w:val="000000"/>
                <w:sz w:val="18"/>
                <w:szCs w:val="18"/>
              </w:rPr>
            </w:pPr>
            <w:r>
              <w:rPr>
                <w:rFonts w:ascii="Verdana" w:hAnsi="Verdana"/>
                <w:color w:val="000000"/>
                <w:sz w:val="18"/>
                <w:szCs w:val="18"/>
              </w:rPr>
              <w:t>2302</w:t>
            </w:r>
          </w:p>
        </w:tc>
        <w:tc>
          <w:tcPr>
            <w:tcW w:w="1080" w:type="dxa"/>
            <w:vAlign w:val="bottom"/>
          </w:tcPr>
          <w:p w:rsidR="00871C1B" w:rsidP="00C84417" w:rsidRDefault="00871C1B" w14:paraId="7896604C" w14:textId="77777777">
            <w:pPr>
              <w:jc w:val="right"/>
              <w:rPr>
                <w:rFonts w:ascii="Verdana" w:hAnsi="Verdana"/>
                <w:color w:val="000000"/>
                <w:sz w:val="18"/>
                <w:szCs w:val="18"/>
              </w:rPr>
            </w:pPr>
            <w:r>
              <w:rPr>
                <w:rFonts w:ascii="Verdana" w:hAnsi="Verdana"/>
                <w:color w:val="000000"/>
                <w:sz w:val="18"/>
                <w:szCs w:val="18"/>
              </w:rPr>
              <w:t>2812</w:t>
            </w:r>
          </w:p>
        </w:tc>
        <w:tc>
          <w:tcPr>
            <w:tcW w:w="1301" w:type="dxa"/>
            <w:vAlign w:val="bottom"/>
          </w:tcPr>
          <w:p w:rsidR="00871C1B" w:rsidP="00C84417" w:rsidRDefault="00871C1B" w14:paraId="3BF93B32" w14:textId="77777777">
            <w:pPr>
              <w:jc w:val="right"/>
              <w:rPr>
                <w:rFonts w:ascii="Verdana" w:hAnsi="Verdana"/>
                <w:color w:val="000000"/>
                <w:sz w:val="18"/>
                <w:szCs w:val="18"/>
              </w:rPr>
            </w:pPr>
            <w:r>
              <w:rPr>
                <w:rFonts w:ascii="Verdana" w:hAnsi="Verdana"/>
                <w:color w:val="000000"/>
                <w:sz w:val="18"/>
                <w:szCs w:val="18"/>
              </w:rPr>
              <w:t>22%</w:t>
            </w:r>
          </w:p>
        </w:tc>
        <w:tc>
          <w:tcPr>
            <w:tcW w:w="1050" w:type="dxa"/>
            <w:vAlign w:val="bottom"/>
          </w:tcPr>
          <w:p w:rsidR="00871C1B" w:rsidP="00C84417" w:rsidRDefault="00871C1B" w14:paraId="6360C31B" w14:textId="77777777">
            <w:pPr>
              <w:jc w:val="right"/>
              <w:rPr>
                <w:rFonts w:ascii="Verdana" w:hAnsi="Verdana"/>
                <w:color w:val="000000"/>
                <w:sz w:val="18"/>
                <w:szCs w:val="18"/>
              </w:rPr>
            </w:pPr>
            <w:r>
              <w:rPr>
                <w:rFonts w:ascii="Verdana" w:hAnsi="Verdana"/>
                <w:color w:val="000000"/>
                <w:sz w:val="18"/>
                <w:szCs w:val="18"/>
              </w:rPr>
              <w:t>981</w:t>
            </w:r>
          </w:p>
        </w:tc>
        <w:tc>
          <w:tcPr>
            <w:tcW w:w="1050" w:type="dxa"/>
            <w:vAlign w:val="bottom"/>
          </w:tcPr>
          <w:p w:rsidR="00871C1B" w:rsidP="00C84417" w:rsidRDefault="00871C1B" w14:paraId="1229C9C3" w14:textId="77777777">
            <w:pPr>
              <w:jc w:val="right"/>
              <w:rPr>
                <w:rFonts w:ascii="Verdana" w:hAnsi="Verdana"/>
                <w:color w:val="000000"/>
                <w:sz w:val="18"/>
                <w:szCs w:val="18"/>
              </w:rPr>
            </w:pPr>
            <w:r>
              <w:rPr>
                <w:rFonts w:ascii="Verdana" w:hAnsi="Verdana"/>
                <w:color w:val="000000"/>
                <w:sz w:val="18"/>
                <w:szCs w:val="18"/>
              </w:rPr>
              <w:t>1773</w:t>
            </w:r>
          </w:p>
        </w:tc>
        <w:tc>
          <w:tcPr>
            <w:tcW w:w="1301" w:type="dxa"/>
            <w:vAlign w:val="bottom"/>
          </w:tcPr>
          <w:p w:rsidR="00871C1B" w:rsidP="00C84417" w:rsidRDefault="00871C1B" w14:paraId="682E0758" w14:textId="77777777">
            <w:pPr>
              <w:jc w:val="right"/>
              <w:rPr>
                <w:rFonts w:ascii="Verdana" w:hAnsi="Verdana"/>
                <w:color w:val="000000"/>
                <w:sz w:val="18"/>
                <w:szCs w:val="18"/>
              </w:rPr>
            </w:pPr>
            <w:r>
              <w:rPr>
                <w:rFonts w:ascii="Verdana" w:hAnsi="Verdana"/>
                <w:color w:val="000000"/>
                <w:sz w:val="18"/>
                <w:szCs w:val="18"/>
              </w:rPr>
              <w:t>81%</w:t>
            </w:r>
          </w:p>
        </w:tc>
      </w:tr>
      <w:tr w:rsidR="00871C1B" w:rsidTr="00C84417" w14:paraId="6682D4BD" w14:textId="77777777">
        <w:tc>
          <w:tcPr>
            <w:tcW w:w="2154" w:type="dxa"/>
            <w:vAlign w:val="bottom"/>
          </w:tcPr>
          <w:p w:rsidR="00871C1B" w:rsidP="00C84417" w:rsidRDefault="00871C1B" w14:paraId="525C6E53" w14:textId="77777777">
            <w:pPr>
              <w:rPr>
                <w:rFonts w:ascii="Verdana" w:hAnsi="Verdana"/>
                <w:color w:val="000000"/>
                <w:sz w:val="18"/>
                <w:szCs w:val="18"/>
              </w:rPr>
            </w:pPr>
            <w:r>
              <w:rPr>
                <w:rFonts w:ascii="Verdana" w:hAnsi="Verdana"/>
                <w:color w:val="000000"/>
                <w:sz w:val="18"/>
                <w:szCs w:val="18"/>
              </w:rPr>
              <w:t>SA Industriële diensten</w:t>
            </w:r>
          </w:p>
        </w:tc>
        <w:tc>
          <w:tcPr>
            <w:tcW w:w="1080" w:type="dxa"/>
            <w:vAlign w:val="bottom"/>
          </w:tcPr>
          <w:p w:rsidR="00871C1B" w:rsidP="00C84417" w:rsidRDefault="00871C1B" w14:paraId="3F0155CC" w14:textId="77777777">
            <w:pPr>
              <w:jc w:val="right"/>
              <w:rPr>
                <w:rFonts w:ascii="Verdana" w:hAnsi="Verdana"/>
                <w:color w:val="000000"/>
                <w:sz w:val="18"/>
                <w:szCs w:val="18"/>
              </w:rPr>
            </w:pPr>
            <w:r>
              <w:rPr>
                <w:rFonts w:ascii="Verdana" w:hAnsi="Verdana"/>
                <w:color w:val="000000"/>
                <w:sz w:val="18"/>
                <w:szCs w:val="18"/>
              </w:rPr>
              <w:t>0</w:t>
            </w:r>
          </w:p>
        </w:tc>
        <w:tc>
          <w:tcPr>
            <w:tcW w:w="1080" w:type="dxa"/>
            <w:vAlign w:val="bottom"/>
          </w:tcPr>
          <w:p w:rsidR="00871C1B" w:rsidP="00C84417" w:rsidRDefault="00871C1B" w14:paraId="31453F50" w14:textId="77777777">
            <w:pPr>
              <w:rPr>
                <w:rFonts w:ascii="Verdana" w:hAnsi="Verdana"/>
                <w:color w:val="000000"/>
                <w:sz w:val="18"/>
                <w:szCs w:val="18"/>
              </w:rPr>
            </w:pPr>
            <w:r>
              <w:rPr>
                <w:rFonts w:ascii="Verdana" w:hAnsi="Verdana"/>
                <w:color w:val="000000"/>
                <w:sz w:val="18"/>
                <w:szCs w:val="18"/>
              </w:rPr>
              <w:t>.</w:t>
            </w:r>
          </w:p>
        </w:tc>
        <w:tc>
          <w:tcPr>
            <w:tcW w:w="1301" w:type="dxa"/>
            <w:vAlign w:val="bottom"/>
          </w:tcPr>
          <w:p w:rsidR="00871C1B" w:rsidP="00C84417" w:rsidRDefault="00871C1B" w14:paraId="489AAF7C" w14:textId="77777777">
            <w:pPr>
              <w:rPr>
                <w:rFonts w:ascii="Verdana" w:hAnsi="Verdana"/>
                <w:color w:val="000000"/>
                <w:sz w:val="18"/>
                <w:szCs w:val="18"/>
              </w:rPr>
            </w:pPr>
            <w:r>
              <w:rPr>
                <w:rFonts w:ascii="Verdana" w:hAnsi="Verdana"/>
                <w:color w:val="000000"/>
                <w:sz w:val="18"/>
                <w:szCs w:val="18"/>
              </w:rPr>
              <w:t>.</w:t>
            </w:r>
          </w:p>
        </w:tc>
        <w:tc>
          <w:tcPr>
            <w:tcW w:w="1050" w:type="dxa"/>
            <w:vAlign w:val="bottom"/>
          </w:tcPr>
          <w:p w:rsidR="00871C1B" w:rsidP="00C84417" w:rsidRDefault="00871C1B" w14:paraId="714B1690" w14:textId="77777777">
            <w:pPr>
              <w:jc w:val="right"/>
              <w:rPr>
                <w:rFonts w:ascii="Verdana" w:hAnsi="Verdana"/>
                <w:color w:val="000000"/>
                <w:sz w:val="18"/>
                <w:szCs w:val="18"/>
              </w:rPr>
            </w:pPr>
            <w:r>
              <w:rPr>
                <w:rFonts w:ascii="Verdana" w:hAnsi="Verdana"/>
                <w:color w:val="000000"/>
                <w:sz w:val="18"/>
                <w:szCs w:val="18"/>
              </w:rPr>
              <w:t>10</w:t>
            </w:r>
          </w:p>
        </w:tc>
        <w:tc>
          <w:tcPr>
            <w:tcW w:w="1050" w:type="dxa"/>
            <w:vAlign w:val="bottom"/>
          </w:tcPr>
          <w:p w:rsidR="00871C1B" w:rsidP="00C84417" w:rsidRDefault="00871C1B" w14:paraId="68AD8F71" w14:textId="77777777">
            <w:pPr>
              <w:rPr>
                <w:rFonts w:ascii="Verdana" w:hAnsi="Verdana"/>
                <w:color w:val="000000"/>
                <w:sz w:val="18"/>
                <w:szCs w:val="18"/>
              </w:rPr>
            </w:pPr>
            <w:r>
              <w:rPr>
                <w:rFonts w:ascii="Verdana" w:hAnsi="Verdana"/>
                <w:color w:val="000000"/>
                <w:sz w:val="18"/>
                <w:szCs w:val="18"/>
              </w:rPr>
              <w:t>.</w:t>
            </w:r>
          </w:p>
        </w:tc>
        <w:tc>
          <w:tcPr>
            <w:tcW w:w="1301" w:type="dxa"/>
            <w:vAlign w:val="bottom"/>
          </w:tcPr>
          <w:p w:rsidR="00871C1B" w:rsidP="00C84417" w:rsidRDefault="00871C1B" w14:paraId="6564C913" w14:textId="77777777">
            <w:pPr>
              <w:rPr>
                <w:rFonts w:ascii="Verdana" w:hAnsi="Verdana"/>
                <w:color w:val="000000"/>
                <w:sz w:val="18"/>
                <w:szCs w:val="18"/>
              </w:rPr>
            </w:pPr>
            <w:r>
              <w:rPr>
                <w:rFonts w:ascii="Verdana" w:hAnsi="Verdana"/>
                <w:color w:val="000000"/>
                <w:sz w:val="18"/>
                <w:szCs w:val="18"/>
              </w:rPr>
              <w:t>.</w:t>
            </w:r>
          </w:p>
        </w:tc>
      </w:tr>
      <w:tr w:rsidR="00871C1B" w:rsidTr="00C84417" w14:paraId="68C606AD" w14:textId="77777777">
        <w:tc>
          <w:tcPr>
            <w:tcW w:w="2154" w:type="dxa"/>
            <w:vAlign w:val="bottom"/>
          </w:tcPr>
          <w:p w:rsidR="00871C1B" w:rsidP="00C84417" w:rsidRDefault="00871C1B" w14:paraId="442833A5" w14:textId="77777777">
            <w:pPr>
              <w:rPr>
                <w:rFonts w:ascii="Verdana" w:hAnsi="Verdana"/>
                <w:color w:val="000000"/>
                <w:sz w:val="18"/>
                <w:szCs w:val="18"/>
              </w:rPr>
            </w:pPr>
            <w:r>
              <w:rPr>
                <w:rFonts w:ascii="Verdana" w:hAnsi="Verdana"/>
                <w:color w:val="000000"/>
                <w:sz w:val="18"/>
                <w:szCs w:val="18"/>
              </w:rPr>
              <w:t>SB Onderhoud en reparatie</w:t>
            </w:r>
          </w:p>
        </w:tc>
        <w:tc>
          <w:tcPr>
            <w:tcW w:w="1080" w:type="dxa"/>
            <w:vAlign w:val="bottom"/>
          </w:tcPr>
          <w:p w:rsidR="00871C1B" w:rsidP="00C84417" w:rsidRDefault="00871C1B" w14:paraId="55522ABD" w14:textId="77777777">
            <w:pPr>
              <w:jc w:val="right"/>
              <w:rPr>
                <w:rFonts w:ascii="Verdana" w:hAnsi="Verdana"/>
                <w:color w:val="000000"/>
                <w:sz w:val="18"/>
                <w:szCs w:val="18"/>
              </w:rPr>
            </w:pPr>
            <w:r>
              <w:rPr>
                <w:rFonts w:ascii="Verdana" w:hAnsi="Verdana"/>
                <w:color w:val="000000"/>
                <w:sz w:val="18"/>
                <w:szCs w:val="18"/>
              </w:rPr>
              <w:t>2</w:t>
            </w:r>
          </w:p>
        </w:tc>
        <w:tc>
          <w:tcPr>
            <w:tcW w:w="1080" w:type="dxa"/>
            <w:vAlign w:val="bottom"/>
          </w:tcPr>
          <w:p w:rsidR="00871C1B" w:rsidP="00C84417" w:rsidRDefault="00871C1B" w14:paraId="4C3E80C8" w14:textId="77777777">
            <w:pPr>
              <w:rPr>
                <w:rFonts w:ascii="Verdana" w:hAnsi="Verdana"/>
                <w:color w:val="000000"/>
                <w:sz w:val="18"/>
                <w:szCs w:val="18"/>
              </w:rPr>
            </w:pPr>
            <w:r>
              <w:rPr>
                <w:rFonts w:ascii="Verdana" w:hAnsi="Verdana"/>
                <w:color w:val="000000"/>
                <w:sz w:val="18"/>
                <w:szCs w:val="18"/>
              </w:rPr>
              <w:t>.</w:t>
            </w:r>
          </w:p>
        </w:tc>
        <w:tc>
          <w:tcPr>
            <w:tcW w:w="1301" w:type="dxa"/>
            <w:vAlign w:val="bottom"/>
          </w:tcPr>
          <w:p w:rsidR="00871C1B" w:rsidP="00C84417" w:rsidRDefault="00871C1B" w14:paraId="14DF569F" w14:textId="77777777">
            <w:pPr>
              <w:rPr>
                <w:rFonts w:ascii="Verdana" w:hAnsi="Verdana"/>
                <w:color w:val="000000"/>
                <w:sz w:val="18"/>
                <w:szCs w:val="18"/>
              </w:rPr>
            </w:pPr>
            <w:r>
              <w:rPr>
                <w:rFonts w:ascii="Verdana" w:hAnsi="Verdana"/>
                <w:color w:val="000000"/>
                <w:sz w:val="18"/>
                <w:szCs w:val="18"/>
              </w:rPr>
              <w:t>.</w:t>
            </w:r>
          </w:p>
        </w:tc>
        <w:tc>
          <w:tcPr>
            <w:tcW w:w="1050" w:type="dxa"/>
            <w:vAlign w:val="bottom"/>
          </w:tcPr>
          <w:p w:rsidR="00871C1B" w:rsidP="00C84417" w:rsidRDefault="00871C1B" w14:paraId="570ABCB2" w14:textId="77777777">
            <w:pPr>
              <w:jc w:val="right"/>
              <w:rPr>
                <w:rFonts w:ascii="Verdana" w:hAnsi="Verdana"/>
                <w:color w:val="000000"/>
                <w:sz w:val="18"/>
                <w:szCs w:val="18"/>
              </w:rPr>
            </w:pPr>
            <w:r>
              <w:rPr>
                <w:rFonts w:ascii="Verdana" w:hAnsi="Verdana"/>
                <w:color w:val="000000"/>
                <w:sz w:val="18"/>
                <w:szCs w:val="18"/>
              </w:rPr>
              <w:t>11</w:t>
            </w:r>
          </w:p>
        </w:tc>
        <w:tc>
          <w:tcPr>
            <w:tcW w:w="1050" w:type="dxa"/>
            <w:vAlign w:val="bottom"/>
          </w:tcPr>
          <w:p w:rsidR="00871C1B" w:rsidP="00C84417" w:rsidRDefault="00871C1B" w14:paraId="51F5D593" w14:textId="77777777">
            <w:pPr>
              <w:rPr>
                <w:rFonts w:ascii="Verdana" w:hAnsi="Verdana"/>
                <w:color w:val="000000"/>
                <w:sz w:val="18"/>
                <w:szCs w:val="18"/>
              </w:rPr>
            </w:pPr>
            <w:r>
              <w:rPr>
                <w:rFonts w:ascii="Verdana" w:hAnsi="Verdana"/>
                <w:color w:val="000000"/>
                <w:sz w:val="18"/>
                <w:szCs w:val="18"/>
              </w:rPr>
              <w:t>.</w:t>
            </w:r>
          </w:p>
        </w:tc>
        <w:tc>
          <w:tcPr>
            <w:tcW w:w="1301" w:type="dxa"/>
            <w:vAlign w:val="bottom"/>
          </w:tcPr>
          <w:p w:rsidR="00871C1B" w:rsidP="00C84417" w:rsidRDefault="00871C1B" w14:paraId="5F0F4B3B" w14:textId="77777777">
            <w:pPr>
              <w:rPr>
                <w:rFonts w:ascii="Verdana" w:hAnsi="Verdana"/>
                <w:color w:val="000000"/>
                <w:sz w:val="18"/>
                <w:szCs w:val="18"/>
              </w:rPr>
            </w:pPr>
            <w:r>
              <w:rPr>
                <w:rFonts w:ascii="Verdana" w:hAnsi="Verdana"/>
                <w:color w:val="000000"/>
                <w:sz w:val="18"/>
                <w:szCs w:val="18"/>
              </w:rPr>
              <w:t>.</w:t>
            </w:r>
          </w:p>
        </w:tc>
      </w:tr>
      <w:tr w:rsidR="00871C1B" w:rsidTr="00C84417" w14:paraId="4C185600" w14:textId="77777777">
        <w:tc>
          <w:tcPr>
            <w:tcW w:w="2154" w:type="dxa"/>
            <w:vAlign w:val="bottom"/>
          </w:tcPr>
          <w:p w:rsidR="00871C1B" w:rsidP="00C84417" w:rsidRDefault="00871C1B" w14:paraId="0FFAF870" w14:textId="77777777">
            <w:pPr>
              <w:rPr>
                <w:rFonts w:ascii="Verdana" w:hAnsi="Verdana"/>
                <w:color w:val="000000"/>
                <w:sz w:val="18"/>
                <w:szCs w:val="18"/>
              </w:rPr>
            </w:pPr>
            <w:r>
              <w:rPr>
                <w:rFonts w:ascii="Verdana" w:hAnsi="Verdana"/>
                <w:color w:val="000000"/>
                <w:sz w:val="18"/>
                <w:szCs w:val="18"/>
              </w:rPr>
              <w:t>SC Vervoersdiensten</w:t>
            </w:r>
          </w:p>
        </w:tc>
        <w:tc>
          <w:tcPr>
            <w:tcW w:w="1080" w:type="dxa"/>
            <w:vAlign w:val="bottom"/>
          </w:tcPr>
          <w:p w:rsidR="00871C1B" w:rsidP="00C84417" w:rsidRDefault="00871C1B" w14:paraId="2A198F25" w14:textId="77777777">
            <w:pPr>
              <w:jc w:val="right"/>
              <w:rPr>
                <w:rFonts w:ascii="Verdana" w:hAnsi="Verdana"/>
                <w:color w:val="000000"/>
                <w:sz w:val="18"/>
                <w:szCs w:val="18"/>
              </w:rPr>
            </w:pPr>
            <w:r>
              <w:rPr>
                <w:rFonts w:ascii="Verdana" w:hAnsi="Verdana"/>
                <w:color w:val="000000"/>
                <w:sz w:val="18"/>
                <w:szCs w:val="18"/>
              </w:rPr>
              <w:t>472</w:t>
            </w:r>
          </w:p>
        </w:tc>
        <w:tc>
          <w:tcPr>
            <w:tcW w:w="1080" w:type="dxa"/>
            <w:vAlign w:val="bottom"/>
          </w:tcPr>
          <w:p w:rsidR="00871C1B" w:rsidP="00C84417" w:rsidRDefault="00871C1B" w14:paraId="31954998" w14:textId="77777777">
            <w:pPr>
              <w:jc w:val="right"/>
              <w:rPr>
                <w:rFonts w:ascii="Verdana" w:hAnsi="Verdana"/>
                <w:color w:val="000000"/>
                <w:sz w:val="18"/>
                <w:szCs w:val="18"/>
              </w:rPr>
            </w:pPr>
            <w:r>
              <w:rPr>
                <w:rFonts w:ascii="Verdana" w:hAnsi="Verdana"/>
                <w:color w:val="000000"/>
                <w:sz w:val="18"/>
                <w:szCs w:val="18"/>
              </w:rPr>
              <w:t>512</w:t>
            </w:r>
          </w:p>
        </w:tc>
        <w:tc>
          <w:tcPr>
            <w:tcW w:w="1301" w:type="dxa"/>
            <w:vAlign w:val="bottom"/>
          </w:tcPr>
          <w:p w:rsidR="00871C1B" w:rsidP="00C84417" w:rsidRDefault="00871C1B" w14:paraId="47352D2D" w14:textId="77777777">
            <w:pPr>
              <w:jc w:val="right"/>
              <w:rPr>
                <w:rFonts w:ascii="Verdana" w:hAnsi="Verdana"/>
                <w:color w:val="000000"/>
                <w:sz w:val="18"/>
                <w:szCs w:val="18"/>
              </w:rPr>
            </w:pPr>
            <w:r>
              <w:rPr>
                <w:rFonts w:ascii="Verdana" w:hAnsi="Verdana"/>
                <w:color w:val="000000"/>
                <w:sz w:val="18"/>
                <w:szCs w:val="18"/>
              </w:rPr>
              <w:t>8%</w:t>
            </w:r>
          </w:p>
        </w:tc>
        <w:tc>
          <w:tcPr>
            <w:tcW w:w="1050" w:type="dxa"/>
            <w:vAlign w:val="bottom"/>
          </w:tcPr>
          <w:p w:rsidR="00871C1B" w:rsidP="00C84417" w:rsidRDefault="00871C1B" w14:paraId="5E12F2D5" w14:textId="77777777">
            <w:pPr>
              <w:jc w:val="right"/>
              <w:rPr>
                <w:rFonts w:ascii="Verdana" w:hAnsi="Verdana"/>
                <w:color w:val="000000"/>
                <w:sz w:val="18"/>
                <w:szCs w:val="18"/>
              </w:rPr>
            </w:pPr>
            <w:r>
              <w:rPr>
                <w:rFonts w:ascii="Verdana" w:hAnsi="Verdana"/>
                <w:color w:val="000000"/>
                <w:sz w:val="18"/>
                <w:szCs w:val="18"/>
              </w:rPr>
              <w:t>213</w:t>
            </w:r>
          </w:p>
        </w:tc>
        <w:tc>
          <w:tcPr>
            <w:tcW w:w="1050" w:type="dxa"/>
            <w:vAlign w:val="bottom"/>
          </w:tcPr>
          <w:p w:rsidR="00871C1B" w:rsidP="00C84417" w:rsidRDefault="00871C1B" w14:paraId="17FACD44" w14:textId="77777777">
            <w:pPr>
              <w:jc w:val="right"/>
              <w:rPr>
                <w:rFonts w:ascii="Verdana" w:hAnsi="Verdana"/>
                <w:color w:val="000000"/>
                <w:sz w:val="18"/>
                <w:szCs w:val="18"/>
              </w:rPr>
            </w:pPr>
            <w:r>
              <w:rPr>
                <w:rFonts w:ascii="Verdana" w:hAnsi="Verdana"/>
                <w:color w:val="000000"/>
                <w:sz w:val="18"/>
                <w:szCs w:val="18"/>
              </w:rPr>
              <w:t>186</w:t>
            </w:r>
          </w:p>
        </w:tc>
        <w:tc>
          <w:tcPr>
            <w:tcW w:w="1301" w:type="dxa"/>
            <w:vAlign w:val="bottom"/>
          </w:tcPr>
          <w:p w:rsidR="00871C1B" w:rsidP="00C84417" w:rsidRDefault="00871C1B" w14:paraId="0BA17529" w14:textId="77777777">
            <w:pPr>
              <w:jc w:val="right"/>
              <w:rPr>
                <w:rFonts w:ascii="Verdana" w:hAnsi="Verdana"/>
                <w:color w:val="000000"/>
                <w:sz w:val="18"/>
                <w:szCs w:val="18"/>
              </w:rPr>
            </w:pPr>
            <w:r>
              <w:rPr>
                <w:rFonts w:ascii="Verdana" w:hAnsi="Verdana"/>
                <w:color w:val="000000"/>
                <w:sz w:val="18"/>
                <w:szCs w:val="18"/>
              </w:rPr>
              <w:t>-13%</w:t>
            </w:r>
          </w:p>
        </w:tc>
      </w:tr>
      <w:tr w:rsidR="00871C1B" w:rsidTr="00C84417" w14:paraId="1F75BC45" w14:textId="77777777">
        <w:tc>
          <w:tcPr>
            <w:tcW w:w="2154" w:type="dxa"/>
            <w:vAlign w:val="bottom"/>
          </w:tcPr>
          <w:p w:rsidR="00871C1B" w:rsidP="00C84417" w:rsidRDefault="00871C1B" w14:paraId="5CA80900" w14:textId="77777777">
            <w:pPr>
              <w:rPr>
                <w:rFonts w:ascii="Verdana" w:hAnsi="Verdana"/>
                <w:color w:val="000000"/>
                <w:sz w:val="18"/>
                <w:szCs w:val="18"/>
              </w:rPr>
            </w:pPr>
            <w:r>
              <w:rPr>
                <w:rFonts w:ascii="Verdana" w:hAnsi="Verdana"/>
                <w:color w:val="000000"/>
                <w:sz w:val="18"/>
                <w:szCs w:val="18"/>
              </w:rPr>
              <w:t>SD Reisverkeer</w:t>
            </w:r>
          </w:p>
        </w:tc>
        <w:tc>
          <w:tcPr>
            <w:tcW w:w="1080" w:type="dxa"/>
            <w:vAlign w:val="bottom"/>
          </w:tcPr>
          <w:p w:rsidR="00871C1B" w:rsidP="00C84417" w:rsidRDefault="00871C1B" w14:paraId="356E3E63" w14:textId="77777777">
            <w:pPr>
              <w:jc w:val="right"/>
              <w:rPr>
                <w:rFonts w:ascii="Verdana" w:hAnsi="Verdana"/>
                <w:color w:val="000000"/>
                <w:sz w:val="18"/>
                <w:szCs w:val="18"/>
              </w:rPr>
            </w:pPr>
            <w:r>
              <w:rPr>
                <w:rFonts w:ascii="Verdana" w:hAnsi="Verdana"/>
                <w:color w:val="000000"/>
                <w:sz w:val="18"/>
                <w:szCs w:val="18"/>
              </w:rPr>
              <w:t>87</w:t>
            </w:r>
          </w:p>
        </w:tc>
        <w:tc>
          <w:tcPr>
            <w:tcW w:w="1080" w:type="dxa"/>
            <w:vAlign w:val="bottom"/>
          </w:tcPr>
          <w:p w:rsidR="00871C1B" w:rsidP="00C84417" w:rsidRDefault="00871C1B" w14:paraId="615C1954" w14:textId="77777777">
            <w:pPr>
              <w:jc w:val="right"/>
              <w:rPr>
                <w:rFonts w:ascii="Verdana" w:hAnsi="Verdana"/>
                <w:color w:val="000000"/>
                <w:sz w:val="18"/>
                <w:szCs w:val="18"/>
              </w:rPr>
            </w:pPr>
            <w:r>
              <w:rPr>
                <w:rFonts w:ascii="Verdana" w:hAnsi="Verdana"/>
                <w:color w:val="000000"/>
                <w:sz w:val="18"/>
                <w:szCs w:val="18"/>
              </w:rPr>
              <w:t>89</w:t>
            </w:r>
          </w:p>
        </w:tc>
        <w:tc>
          <w:tcPr>
            <w:tcW w:w="1301" w:type="dxa"/>
            <w:vAlign w:val="bottom"/>
          </w:tcPr>
          <w:p w:rsidR="00871C1B" w:rsidP="00C84417" w:rsidRDefault="00871C1B" w14:paraId="2544A2A7" w14:textId="77777777">
            <w:pPr>
              <w:jc w:val="right"/>
              <w:rPr>
                <w:rFonts w:ascii="Verdana" w:hAnsi="Verdana"/>
                <w:color w:val="000000"/>
                <w:sz w:val="18"/>
                <w:szCs w:val="18"/>
              </w:rPr>
            </w:pPr>
            <w:r>
              <w:rPr>
                <w:rFonts w:ascii="Verdana" w:hAnsi="Verdana"/>
                <w:color w:val="000000"/>
                <w:sz w:val="18"/>
                <w:szCs w:val="18"/>
              </w:rPr>
              <w:t>2%</w:t>
            </w:r>
          </w:p>
        </w:tc>
        <w:tc>
          <w:tcPr>
            <w:tcW w:w="1050" w:type="dxa"/>
            <w:vAlign w:val="bottom"/>
          </w:tcPr>
          <w:p w:rsidR="00871C1B" w:rsidP="00C84417" w:rsidRDefault="00871C1B" w14:paraId="5520B32A" w14:textId="77777777">
            <w:pPr>
              <w:jc w:val="right"/>
              <w:rPr>
                <w:rFonts w:ascii="Verdana" w:hAnsi="Verdana"/>
                <w:color w:val="000000"/>
                <w:sz w:val="18"/>
                <w:szCs w:val="18"/>
              </w:rPr>
            </w:pPr>
            <w:r>
              <w:rPr>
                <w:rFonts w:ascii="Verdana" w:hAnsi="Verdana"/>
                <w:color w:val="000000"/>
                <w:sz w:val="18"/>
                <w:szCs w:val="18"/>
              </w:rPr>
              <w:t>248</w:t>
            </w:r>
          </w:p>
        </w:tc>
        <w:tc>
          <w:tcPr>
            <w:tcW w:w="1050" w:type="dxa"/>
            <w:vAlign w:val="bottom"/>
          </w:tcPr>
          <w:p w:rsidR="00871C1B" w:rsidP="00C84417" w:rsidRDefault="00871C1B" w14:paraId="62862B92" w14:textId="77777777">
            <w:pPr>
              <w:jc w:val="right"/>
              <w:rPr>
                <w:rFonts w:ascii="Verdana" w:hAnsi="Verdana"/>
                <w:color w:val="000000"/>
                <w:sz w:val="18"/>
                <w:szCs w:val="18"/>
              </w:rPr>
            </w:pPr>
            <w:r>
              <w:rPr>
                <w:rFonts w:ascii="Verdana" w:hAnsi="Verdana"/>
                <w:color w:val="000000"/>
                <w:sz w:val="18"/>
                <w:szCs w:val="18"/>
              </w:rPr>
              <w:t>207</w:t>
            </w:r>
          </w:p>
        </w:tc>
        <w:tc>
          <w:tcPr>
            <w:tcW w:w="1301" w:type="dxa"/>
            <w:vAlign w:val="bottom"/>
          </w:tcPr>
          <w:p w:rsidR="00871C1B" w:rsidP="00C84417" w:rsidRDefault="00871C1B" w14:paraId="50426DA9" w14:textId="77777777">
            <w:pPr>
              <w:jc w:val="right"/>
              <w:rPr>
                <w:rFonts w:ascii="Verdana" w:hAnsi="Verdana"/>
                <w:color w:val="000000"/>
                <w:sz w:val="18"/>
                <w:szCs w:val="18"/>
              </w:rPr>
            </w:pPr>
            <w:r>
              <w:rPr>
                <w:rFonts w:ascii="Verdana" w:hAnsi="Verdana"/>
                <w:color w:val="000000"/>
                <w:sz w:val="18"/>
                <w:szCs w:val="18"/>
              </w:rPr>
              <w:t>-17%</w:t>
            </w:r>
          </w:p>
        </w:tc>
      </w:tr>
      <w:tr w:rsidR="00871C1B" w:rsidTr="00C84417" w14:paraId="13264389" w14:textId="77777777">
        <w:tc>
          <w:tcPr>
            <w:tcW w:w="2154" w:type="dxa"/>
            <w:vAlign w:val="bottom"/>
          </w:tcPr>
          <w:p w:rsidR="00871C1B" w:rsidP="00C84417" w:rsidRDefault="00871C1B" w14:paraId="02C46EAC" w14:textId="77777777">
            <w:pPr>
              <w:rPr>
                <w:rFonts w:ascii="Verdana" w:hAnsi="Verdana"/>
                <w:color w:val="000000"/>
                <w:sz w:val="18"/>
                <w:szCs w:val="18"/>
              </w:rPr>
            </w:pPr>
            <w:r>
              <w:rPr>
                <w:rFonts w:ascii="Verdana" w:hAnsi="Verdana"/>
                <w:color w:val="000000"/>
                <w:sz w:val="18"/>
                <w:szCs w:val="18"/>
              </w:rPr>
              <w:t>SE Bouwdiensten</w:t>
            </w:r>
          </w:p>
        </w:tc>
        <w:tc>
          <w:tcPr>
            <w:tcW w:w="1080" w:type="dxa"/>
            <w:vAlign w:val="bottom"/>
          </w:tcPr>
          <w:p w:rsidR="00871C1B" w:rsidP="00C84417" w:rsidRDefault="00871C1B" w14:paraId="44D67A86" w14:textId="77777777">
            <w:pPr>
              <w:rPr>
                <w:rFonts w:ascii="Verdana" w:hAnsi="Verdana"/>
                <w:color w:val="000000"/>
                <w:sz w:val="18"/>
                <w:szCs w:val="18"/>
              </w:rPr>
            </w:pPr>
            <w:r>
              <w:rPr>
                <w:rFonts w:ascii="Verdana" w:hAnsi="Verdana"/>
                <w:color w:val="000000"/>
                <w:sz w:val="18"/>
                <w:szCs w:val="18"/>
              </w:rPr>
              <w:t>.</w:t>
            </w:r>
          </w:p>
        </w:tc>
        <w:tc>
          <w:tcPr>
            <w:tcW w:w="1080" w:type="dxa"/>
            <w:vAlign w:val="bottom"/>
          </w:tcPr>
          <w:p w:rsidR="00871C1B" w:rsidP="00C84417" w:rsidRDefault="00871C1B" w14:paraId="73274FCE" w14:textId="77777777">
            <w:pPr>
              <w:jc w:val="right"/>
              <w:rPr>
                <w:rFonts w:ascii="Verdana" w:hAnsi="Verdana"/>
                <w:color w:val="000000"/>
                <w:sz w:val="18"/>
                <w:szCs w:val="18"/>
              </w:rPr>
            </w:pPr>
            <w:r>
              <w:rPr>
                <w:rFonts w:ascii="Verdana" w:hAnsi="Verdana"/>
                <w:color w:val="000000"/>
                <w:sz w:val="18"/>
                <w:szCs w:val="18"/>
              </w:rPr>
              <w:t>8</w:t>
            </w:r>
          </w:p>
        </w:tc>
        <w:tc>
          <w:tcPr>
            <w:tcW w:w="1301" w:type="dxa"/>
            <w:vAlign w:val="bottom"/>
          </w:tcPr>
          <w:p w:rsidR="00871C1B" w:rsidP="00C84417" w:rsidRDefault="00871C1B" w14:paraId="462D7C9C" w14:textId="77777777">
            <w:pPr>
              <w:rPr>
                <w:rFonts w:ascii="Verdana" w:hAnsi="Verdana"/>
                <w:color w:val="000000"/>
                <w:sz w:val="18"/>
                <w:szCs w:val="18"/>
              </w:rPr>
            </w:pPr>
            <w:r>
              <w:rPr>
                <w:rFonts w:ascii="Verdana" w:hAnsi="Verdana"/>
                <w:color w:val="000000"/>
                <w:sz w:val="18"/>
                <w:szCs w:val="18"/>
              </w:rPr>
              <w:t>.</w:t>
            </w:r>
          </w:p>
        </w:tc>
        <w:tc>
          <w:tcPr>
            <w:tcW w:w="1050" w:type="dxa"/>
            <w:vAlign w:val="bottom"/>
          </w:tcPr>
          <w:p w:rsidR="00871C1B" w:rsidP="00C84417" w:rsidRDefault="00871C1B" w14:paraId="5A12405E" w14:textId="77777777">
            <w:pPr>
              <w:rPr>
                <w:rFonts w:ascii="Verdana" w:hAnsi="Verdana"/>
                <w:color w:val="000000"/>
                <w:sz w:val="18"/>
                <w:szCs w:val="18"/>
              </w:rPr>
            </w:pPr>
            <w:r>
              <w:rPr>
                <w:rFonts w:ascii="Verdana" w:hAnsi="Verdana"/>
                <w:color w:val="000000"/>
                <w:sz w:val="18"/>
                <w:szCs w:val="18"/>
              </w:rPr>
              <w:t>.</w:t>
            </w:r>
          </w:p>
        </w:tc>
        <w:tc>
          <w:tcPr>
            <w:tcW w:w="1050" w:type="dxa"/>
            <w:vAlign w:val="bottom"/>
          </w:tcPr>
          <w:p w:rsidR="00871C1B" w:rsidP="00C84417" w:rsidRDefault="00871C1B" w14:paraId="093C2BDF" w14:textId="77777777">
            <w:pPr>
              <w:jc w:val="right"/>
              <w:rPr>
                <w:rFonts w:ascii="Verdana" w:hAnsi="Verdana"/>
                <w:color w:val="000000"/>
                <w:sz w:val="18"/>
                <w:szCs w:val="18"/>
              </w:rPr>
            </w:pPr>
            <w:r>
              <w:rPr>
                <w:rFonts w:ascii="Verdana" w:hAnsi="Verdana"/>
                <w:color w:val="000000"/>
                <w:sz w:val="18"/>
                <w:szCs w:val="18"/>
              </w:rPr>
              <w:t>1</w:t>
            </w:r>
          </w:p>
        </w:tc>
        <w:tc>
          <w:tcPr>
            <w:tcW w:w="1301" w:type="dxa"/>
            <w:vAlign w:val="bottom"/>
          </w:tcPr>
          <w:p w:rsidR="00871C1B" w:rsidP="00C84417" w:rsidRDefault="00871C1B" w14:paraId="646BB5B1" w14:textId="77777777">
            <w:pPr>
              <w:rPr>
                <w:rFonts w:ascii="Verdana" w:hAnsi="Verdana"/>
                <w:color w:val="000000"/>
                <w:sz w:val="18"/>
                <w:szCs w:val="18"/>
              </w:rPr>
            </w:pPr>
            <w:r>
              <w:rPr>
                <w:rFonts w:ascii="Verdana" w:hAnsi="Verdana"/>
                <w:color w:val="000000"/>
                <w:sz w:val="18"/>
                <w:szCs w:val="18"/>
              </w:rPr>
              <w:t>.</w:t>
            </w:r>
          </w:p>
        </w:tc>
      </w:tr>
      <w:tr w:rsidR="00871C1B" w:rsidTr="00C84417" w14:paraId="35100145" w14:textId="77777777">
        <w:tc>
          <w:tcPr>
            <w:tcW w:w="2154" w:type="dxa"/>
            <w:vAlign w:val="bottom"/>
          </w:tcPr>
          <w:p w:rsidR="00871C1B" w:rsidP="00C84417" w:rsidRDefault="00871C1B" w14:paraId="3DF99864" w14:textId="77777777">
            <w:pPr>
              <w:rPr>
                <w:rFonts w:ascii="Verdana" w:hAnsi="Verdana"/>
                <w:color w:val="000000"/>
                <w:sz w:val="18"/>
                <w:szCs w:val="18"/>
              </w:rPr>
            </w:pPr>
            <w:r>
              <w:rPr>
                <w:rFonts w:ascii="Verdana" w:hAnsi="Verdana"/>
                <w:color w:val="000000"/>
                <w:sz w:val="18"/>
                <w:szCs w:val="18"/>
              </w:rPr>
              <w:t>SF Verzekeringsdiensten</w:t>
            </w:r>
          </w:p>
        </w:tc>
        <w:tc>
          <w:tcPr>
            <w:tcW w:w="1080" w:type="dxa"/>
            <w:vAlign w:val="bottom"/>
          </w:tcPr>
          <w:p w:rsidR="00871C1B" w:rsidP="00C84417" w:rsidRDefault="00871C1B" w14:paraId="2B5801F5" w14:textId="77777777">
            <w:pPr>
              <w:jc w:val="right"/>
              <w:rPr>
                <w:rFonts w:ascii="Verdana" w:hAnsi="Verdana"/>
                <w:color w:val="000000"/>
                <w:sz w:val="18"/>
                <w:szCs w:val="18"/>
              </w:rPr>
            </w:pPr>
            <w:r>
              <w:rPr>
                <w:rFonts w:ascii="Verdana" w:hAnsi="Verdana"/>
                <w:color w:val="000000"/>
                <w:sz w:val="18"/>
                <w:szCs w:val="18"/>
              </w:rPr>
              <w:t>10</w:t>
            </w:r>
          </w:p>
        </w:tc>
        <w:tc>
          <w:tcPr>
            <w:tcW w:w="1080" w:type="dxa"/>
            <w:vAlign w:val="bottom"/>
          </w:tcPr>
          <w:p w:rsidR="00871C1B" w:rsidP="00C84417" w:rsidRDefault="00871C1B" w14:paraId="6A4FCE5F" w14:textId="77777777">
            <w:pPr>
              <w:jc w:val="right"/>
              <w:rPr>
                <w:rFonts w:ascii="Verdana" w:hAnsi="Verdana"/>
                <w:color w:val="000000"/>
                <w:sz w:val="18"/>
                <w:szCs w:val="18"/>
              </w:rPr>
            </w:pPr>
            <w:r>
              <w:rPr>
                <w:rFonts w:ascii="Verdana" w:hAnsi="Verdana"/>
                <w:color w:val="000000"/>
                <w:sz w:val="18"/>
                <w:szCs w:val="18"/>
              </w:rPr>
              <w:t>19</w:t>
            </w:r>
          </w:p>
        </w:tc>
        <w:tc>
          <w:tcPr>
            <w:tcW w:w="1301" w:type="dxa"/>
            <w:vAlign w:val="bottom"/>
          </w:tcPr>
          <w:p w:rsidR="00871C1B" w:rsidP="00C84417" w:rsidRDefault="00871C1B" w14:paraId="12ACFF76" w14:textId="77777777">
            <w:pPr>
              <w:jc w:val="right"/>
              <w:rPr>
                <w:rFonts w:ascii="Verdana" w:hAnsi="Verdana"/>
                <w:color w:val="000000"/>
                <w:sz w:val="18"/>
                <w:szCs w:val="18"/>
              </w:rPr>
            </w:pPr>
            <w:r>
              <w:rPr>
                <w:rFonts w:ascii="Verdana" w:hAnsi="Verdana"/>
                <w:color w:val="000000"/>
                <w:sz w:val="18"/>
                <w:szCs w:val="18"/>
              </w:rPr>
              <w:t>90%</w:t>
            </w:r>
          </w:p>
        </w:tc>
        <w:tc>
          <w:tcPr>
            <w:tcW w:w="1050" w:type="dxa"/>
            <w:vAlign w:val="bottom"/>
          </w:tcPr>
          <w:p w:rsidR="00871C1B" w:rsidP="00C84417" w:rsidRDefault="00871C1B" w14:paraId="11D10964" w14:textId="77777777">
            <w:pPr>
              <w:jc w:val="right"/>
              <w:rPr>
                <w:rFonts w:ascii="Verdana" w:hAnsi="Verdana"/>
                <w:color w:val="000000"/>
                <w:sz w:val="18"/>
                <w:szCs w:val="18"/>
              </w:rPr>
            </w:pPr>
            <w:r>
              <w:rPr>
                <w:rFonts w:ascii="Verdana" w:hAnsi="Verdana"/>
                <w:color w:val="000000"/>
                <w:sz w:val="18"/>
                <w:szCs w:val="18"/>
              </w:rPr>
              <w:t>38</w:t>
            </w:r>
          </w:p>
        </w:tc>
        <w:tc>
          <w:tcPr>
            <w:tcW w:w="1050" w:type="dxa"/>
            <w:vAlign w:val="bottom"/>
          </w:tcPr>
          <w:p w:rsidR="00871C1B" w:rsidP="00C84417" w:rsidRDefault="00871C1B" w14:paraId="1B620BA9" w14:textId="77777777">
            <w:pPr>
              <w:jc w:val="right"/>
              <w:rPr>
                <w:rFonts w:ascii="Verdana" w:hAnsi="Verdana"/>
                <w:color w:val="000000"/>
                <w:sz w:val="18"/>
                <w:szCs w:val="18"/>
              </w:rPr>
            </w:pPr>
            <w:r>
              <w:rPr>
                <w:rFonts w:ascii="Verdana" w:hAnsi="Verdana"/>
                <w:color w:val="000000"/>
                <w:sz w:val="18"/>
                <w:szCs w:val="18"/>
              </w:rPr>
              <w:t>44</w:t>
            </w:r>
          </w:p>
        </w:tc>
        <w:tc>
          <w:tcPr>
            <w:tcW w:w="1301" w:type="dxa"/>
            <w:vAlign w:val="bottom"/>
          </w:tcPr>
          <w:p w:rsidR="00871C1B" w:rsidP="00C84417" w:rsidRDefault="00871C1B" w14:paraId="1B660D11" w14:textId="77777777">
            <w:pPr>
              <w:jc w:val="right"/>
              <w:rPr>
                <w:rFonts w:ascii="Verdana" w:hAnsi="Verdana"/>
                <w:color w:val="000000"/>
                <w:sz w:val="18"/>
                <w:szCs w:val="18"/>
              </w:rPr>
            </w:pPr>
            <w:r>
              <w:rPr>
                <w:rFonts w:ascii="Verdana" w:hAnsi="Verdana"/>
                <w:color w:val="000000"/>
                <w:sz w:val="18"/>
                <w:szCs w:val="18"/>
              </w:rPr>
              <w:t>16%</w:t>
            </w:r>
          </w:p>
        </w:tc>
      </w:tr>
      <w:tr w:rsidR="00871C1B" w:rsidTr="00C84417" w14:paraId="63AD4833" w14:textId="77777777">
        <w:tc>
          <w:tcPr>
            <w:tcW w:w="2154" w:type="dxa"/>
            <w:vAlign w:val="bottom"/>
          </w:tcPr>
          <w:p w:rsidR="00871C1B" w:rsidP="00C84417" w:rsidRDefault="00871C1B" w14:paraId="420D8178" w14:textId="77777777">
            <w:pPr>
              <w:rPr>
                <w:rFonts w:ascii="Verdana" w:hAnsi="Verdana"/>
                <w:color w:val="000000"/>
                <w:sz w:val="18"/>
                <w:szCs w:val="18"/>
              </w:rPr>
            </w:pPr>
            <w:r>
              <w:rPr>
                <w:rFonts w:ascii="Verdana" w:hAnsi="Verdana"/>
                <w:color w:val="000000"/>
                <w:sz w:val="18"/>
                <w:szCs w:val="18"/>
              </w:rPr>
              <w:t>SG Financiële diensten</w:t>
            </w:r>
          </w:p>
        </w:tc>
        <w:tc>
          <w:tcPr>
            <w:tcW w:w="1080" w:type="dxa"/>
            <w:vAlign w:val="bottom"/>
          </w:tcPr>
          <w:p w:rsidR="00871C1B" w:rsidP="00C84417" w:rsidRDefault="00871C1B" w14:paraId="1B2CA46C" w14:textId="77777777">
            <w:pPr>
              <w:jc w:val="right"/>
              <w:rPr>
                <w:rFonts w:ascii="Verdana" w:hAnsi="Verdana"/>
                <w:color w:val="000000"/>
                <w:sz w:val="18"/>
                <w:szCs w:val="18"/>
              </w:rPr>
            </w:pPr>
            <w:r>
              <w:rPr>
                <w:rFonts w:ascii="Verdana" w:hAnsi="Verdana"/>
                <w:color w:val="000000"/>
                <w:sz w:val="18"/>
                <w:szCs w:val="18"/>
              </w:rPr>
              <w:t>58</w:t>
            </w:r>
          </w:p>
        </w:tc>
        <w:tc>
          <w:tcPr>
            <w:tcW w:w="1080" w:type="dxa"/>
            <w:vAlign w:val="bottom"/>
          </w:tcPr>
          <w:p w:rsidR="00871C1B" w:rsidP="00C84417" w:rsidRDefault="00871C1B" w14:paraId="1AAC962F" w14:textId="77777777">
            <w:pPr>
              <w:jc w:val="right"/>
              <w:rPr>
                <w:rFonts w:ascii="Verdana" w:hAnsi="Verdana"/>
                <w:color w:val="000000"/>
                <w:sz w:val="18"/>
                <w:szCs w:val="18"/>
              </w:rPr>
            </w:pPr>
            <w:r>
              <w:rPr>
                <w:rFonts w:ascii="Verdana" w:hAnsi="Verdana"/>
                <w:color w:val="000000"/>
                <w:sz w:val="18"/>
                <w:szCs w:val="18"/>
              </w:rPr>
              <w:t>53</w:t>
            </w:r>
          </w:p>
        </w:tc>
        <w:tc>
          <w:tcPr>
            <w:tcW w:w="1301" w:type="dxa"/>
            <w:vAlign w:val="bottom"/>
          </w:tcPr>
          <w:p w:rsidR="00871C1B" w:rsidP="00C84417" w:rsidRDefault="00871C1B" w14:paraId="6A0A3F78" w14:textId="77777777">
            <w:pPr>
              <w:jc w:val="right"/>
              <w:rPr>
                <w:rFonts w:ascii="Verdana" w:hAnsi="Verdana"/>
                <w:color w:val="000000"/>
                <w:sz w:val="18"/>
                <w:szCs w:val="18"/>
              </w:rPr>
            </w:pPr>
            <w:r>
              <w:rPr>
                <w:rFonts w:ascii="Verdana" w:hAnsi="Verdana"/>
                <w:color w:val="000000"/>
                <w:sz w:val="18"/>
                <w:szCs w:val="18"/>
              </w:rPr>
              <w:t>-9%</w:t>
            </w:r>
          </w:p>
        </w:tc>
        <w:tc>
          <w:tcPr>
            <w:tcW w:w="1050" w:type="dxa"/>
            <w:vAlign w:val="bottom"/>
          </w:tcPr>
          <w:p w:rsidR="00871C1B" w:rsidP="00C84417" w:rsidRDefault="00871C1B" w14:paraId="2631D9DA" w14:textId="77777777">
            <w:pPr>
              <w:jc w:val="right"/>
              <w:rPr>
                <w:rFonts w:ascii="Verdana" w:hAnsi="Verdana"/>
                <w:color w:val="000000"/>
                <w:sz w:val="18"/>
                <w:szCs w:val="18"/>
              </w:rPr>
            </w:pPr>
            <w:r>
              <w:rPr>
                <w:rFonts w:ascii="Verdana" w:hAnsi="Verdana"/>
                <w:color w:val="000000"/>
                <w:sz w:val="18"/>
                <w:szCs w:val="18"/>
              </w:rPr>
              <w:t>34</w:t>
            </w:r>
          </w:p>
        </w:tc>
        <w:tc>
          <w:tcPr>
            <w:tcW w:w="1050" w:type="dxa"/>
            <w:vAlign w:val="bottom"/>
          </w:tcPr>
          <w:p w:rsidR="00871C1B" w:rsidP="00C84417" w:rsidRDefault="00871C1B" w14:paraId="617F5251" w14:textId="77777777">
            <w:pPr>
              <w:jc w:val="right"/>
              <w:rPr>
                <w:rFonts w:ascii="Verdana" w:hAnsi="Verdana"/>
                <w:color w:val="000000"/>
                <w:sz w:val="18"/>
                <w:szCs w:val="18"/>
              </w:rPr>
            </w:pPr>
            <w:r>
              <w:rPr>
                <w:rFonts w:ascii="Verdana" w:hAnsi="Verdana"/>
                <w:color w:val="000000"/>
                <w:sz w:val="18"/>
                <w:szCs w:val="18"/>
              </w:rPr>
              <w:t>26</w:t>
            </w:r>
          </w:p>
        </w:tc>
        <w:tc>
          <w:tcPr>
            <w:tcW w:w="1301" w:type="dxa"/>
            <w:vAlign w:val="bottom"/>
          </w:tcPr>
          <w:p w:rsidR="00871C1B" w:rsidP="00C84417" w:rsidRDefault="00871C1B" w14:paraId="6C85CA42" w14:textId="77777777">
            <w:pPr>
              <w:jc w:val="right"/>
              <w:rPr>
                <w:rFonts w:ascii="Verdana" w:hAnsi="Verdana"/>
                <w:color w:val="000000"/>
                <w:sz w:val="18"/>
                <w:szCs w:val="18"/>
              </w:rPr>
            </w:pPr>
            <w:r>
              <w:rPr>
                <w:rFonts w:ascii="Verdana" w:hAnsi="Verdana"/>
                <w:color w:val="000000"/>
                <w:sz w:val="18"/>
                <w:szCs w:val="18"/>
              </w:rPr>
              <w:t>-24%</w:t>
            </w:r>
          </w:p>
        </w:tc>
      </w:tr>
      <w:tr w:rsidR="00871C1B" w:rsidTr="00C84417" w14:paraId="712A0D7B" w14:textId="77777777">
        <w:tc>
          <w:tcPr>
            <w:tcW w:w="2154" w:type="dxa"/>
            <w:vAlign w:val="bottom"/>
          </w:tcPr>
          <w:p w:rsidR="00871C1B" w:rsidP="00C84417" w:rsidRDefault="00871C1B" w14:paraId="09B7C10B" w14:textId="77777777">
            <w:pPr>
              <w:rPr>
                <w:rFonts w:ascii="Verdana" w:hAnsi="Verdana"/>
                <w:color w:val="000000"/>
                <w:sz w:val="18"/>
                <w:szCs w:val="18"/>
              </w:rPr>
            </w:pPr>
            <w:r>
              <w:rPr>
                <w:rFonts w:ascii="Verdana" w:hAnsi="Verdana"/>
                <w:color w:val="000000"/>
                <w:sz w:val="18"/>
                <w:szCs w:val="18"/>
              </w:rPr>
              <w:t xml:space="preserve">SH Gebruik intellectueel eigendom </w:t>
            </w:r>
            <w:proofErr w:type="spellStart"/>
            <w:r>
              <w:rPr>
                <w:rFonts w:ascii="Verdana" w:hAnsi="Verdana"/>
                <w:color w:val="000000"/>
                <w:sz w:val="18"/>
                <w:szCs w:val="18"/>
              </w:rPr>
              <w:t>n.e.g</w:t>
            </w:r>
            <w:proofErr w:type="spellEnd"/>
            <w:r>
              <w:rPr>
                <w:rFonts w:ascii="Verdana" w:hAnsi="Verdana"/>
                <w:color w:val="000000"/>
                <w:sz w:val="18"/>
                <w:szCs w:val="18"/>
              </w:rPr>
              <w:t>.</w:t>
            </w:r>
          </w:p>
        </w:tc>
        <w:tc>
          <w:tcPr>
            <w:tcW w:w="1080" w:type="dxa"/>
            <w:vAlign w:val="bottom"/>
          </w:tcPr>
          <w:p w:rsidR="00871C1B" w:rsidP="00C84417" w:rsidRDefault="00871C1B" w14:paraId="697587C7" w14:textId="77777777">
            <w:pPr>
              <w:jc w:val="right"/>
              <w:rPr>
                <w:rFonts w:ascii="Verdana" w:hAnsi="Verdana"/>
                <w:color w:val="000000"/>
                <w:sz w:val="18"/>
                <w:szCs w:val="18"/>
              </w:rPr>
            </w:pPr>
            <w:r>
              <w:rPr>
                <w:rFonts w:ascii="Verdana" w:hAnsi="Verdana"/>
                <w:color w:val="000000"/>
                <w:sz w:val="18"/>
                <w:szCs w:val="18"/>
              </w:rPr>
              <w:t>792</w:t>
            </w:r>
          </w:p>
        </w:tc>
        <w:tc>
          <w:tcPr>
            <w:tcW w:w="1080" w:type="dxa"/>
            <w:vAlign w:val="bottom"/>
          </w:tcPr>
          <w:p w:rsidR="00871C1B" w:rsidP="00C84417" w:rsidRDefault="00871C1B" w14:paraId="5CE6D3C1" w14:textId="77777777">
            <w:pPr>
              <w:rPr>
                <w:rFonts w:ascii="Verdana" w:hAnsi="Verdana"/>
                <w:color w:val="000000"/>
                <w:sz w:val="18"/>
                <w:szCs w:val="18"/>
              </w:rPr>
            </w:pPr>
            <w:r>
              <w:rPr>
                <w:rFonts w:ascii="Verdana" w:hAnsi="Verdana"/>
                <w:color w:val="000000"/>
                <w:sz w:val="18"/>
                <w:szCs w:val="18"/>
              </w:rPr>
              <w:t>.</w:t>
            </w:r>
          </w:p>
        </w:tc>
        <w:tc>
          <w:tcPr>
            <w:tcW w:w="1301" w:type="dxa"/>
            <w:vAlign w:val="bottom"/>
          </w:tcPr>
          <w:p w:rsidR="00871C1B" w:rsidP="00C84417" w:rsidRDefault="00871C1B" w14:paraId="1E5673A0" w14:textId="77777777">
            <w:pPr>
              <w:rPr>
                <w:rFonts w:ascii="Verdana" w:hAnsi="Verdana"/>
                <w:color w:val="000000"/>
                <w:sz w:val="18"/>
                <w:szCs w:val="18"/>
              </w:rPr>
            </w:pPr>
            <w:r>
              <w:rPr>
                <w:rFonts w:ascii="Verdana" w:hAnsi="Verdana"/>
                <w:color w:val="000000"/>
                <w:sz w:val="18"/>
                <w:szCs w:val="18"/>
              </w:rPr>
              <w:t>.</w:t>
            </w:r>
          </w:p>
        </w:tc>
        <w:tc>
          <w:tcPr>
            <w:tcW w:w="1050" w:type="dxa"/>
            <w:vAlign w:val="bottom"/>
          </w:tcPr>
          <w:p w:rsidR="00871C1B" w:rsidP="00C84417" w:rsidRDefault="00871C1B" w14:paraId="759E72CD" w14:textId="77777777">
            <w:pPr>
              <w:jc w:val="right"/>
              <w:rPr>
                <w:rFonts w:ascii="Verdana" w:hAnsi="Verdana"/>
                <w:color w:val="000000"/>
                <w:sz w:val="18"/>
                <w:szCs w:val="18"/>
              </w:rPr>
            </w:pPr>
            <w:r>
              <w:rPr>
                <w:rFonts w:ascii="Verdana" w:hAnsi="Verdana"/>
                <w:color w:val="000000"/>
                <w:sz w:val="18"/>
                <w:szCs w:val="18"/>
              </w:rPr>
              <w:t>15</w:t>
            </w:r>
          </w:p>
        </w:tc>
        <w:tc>
          <w:tcPr>
            <w:tcW w:w="1050" w:type="dxa"/>
            <w:vAlign w:val="bottom"/>
          </w:tcPr>
          <w:p w:rsidR="00871C1B" w:rsidP="00C84417" w:rsidRDefault="00871C1B" w14:paraId="5AA70CB8" w14:textId="77777777">
            <w:pPr>
              <w:rPr>
                <w:rFonts w:ascii="Verdana" w:hAnsi="Verdana"/>
                <w:color w:val="000000"/>
                <w:sz w:val="18"/>
                <w:szCs w:val="18"/>
              </w:rPr>
            </w:pPr>
            <w:r>
              <w:rPr>
                <w:rFonts w:ascii="Verdana" w:hAnsi="Verdana"/>
                <w:color w:val="000000"/>
                <w:sz w:val="18"/>
                <w:szCs w:val="18"/>
              </w:rPr>
              <w:t>.</w:t>
            </w:r>
          </w:p>
        </w:tc>
        <w:tc>
          <w:tcPr>
            <w:tcW w:w="1301" w:type="dxa"/>
            <w:vAlign w:val="bottom"/>
          </w:tcPr>
          <w:p w:rsidR="00871C1B" w:rsidP="00C84417" w:rsidRDefault="00871C1B" w14:paraId="559FDE90" w14:textId="77777777">
            <w:pPr>
              <w:rPr>
                <w:rFonts w:ascii="Verdana" w:hAnsi="Verdana"/>
                <w:color w:val="000000"/>
                <w:sz w:val="18"/>
                <w:szCs w:val="18"/>
              </w:rPr>
            </w:pPr>
            <w:r>
              <w:rPr>
                <w:rFonts w:ascii="Verdana" w:hAnsi="Verdana"/>
                <w:color w:val="000000"/>
                <w:sz w:val="18"/>
                <w:szCs w:val="18"/>
              </w:rPr>
              <w:t>.</w:t>
            </w:r>
          </w:p>
        </w:tc>
      </w:tr>
      <w:tr w:rsidR="00871C1B" w:rsidTr="00C84417" w14:paraId="20407802" w14:textId="77777777">
        <w:tc>
          <w:tcPr>
            <w:tcW w:w="2154" w:type="dxa"/>
            <w:vAlign w:val="bottom"/>
          </w:tcPr>
          <w:p w:rsidR="00871C1B" w:rsidP="00C84417" w:rsidRDefault="00871C1B" w14:paraId="75541959" w14:textId="218AD70D">
            <w:pPr>
              <w:rPr>
                <w:rFonts w:ascii="Verdana" w:hAnsi="Verdana"/>
                <w:color w:val="000000"/>
                <w:sz w:val="18"/>
                <w:szCs w:val="18"/>
              </w:rPr>
            </w:pPr>
            <w:r>
              <w:rPr>
                <w:rFonts w:ascii="Verdana" w:hAnsi="Verdana"/>
                <w:color w:val="000000"/>
                <w:sz w:val="18"/>
                <w:szCs w:val="18"/>
              </w:rPr>
              <w:t>SI Telecommunicatie, computerdiensten</w:t>
            </w:r>
          </w:p>
        </w:tc>
        <w:tc>
          <w:tcPr>
            <w:tcW w:w="1080" w:type="dxa"/>
            <w:vAlign w:val="bottom"/>
          </w:tcPr>
          <w:p w:rsidR="00871C1B" w:rsidP="00C84417" w:rsidRDefault="00871C1B" w14:paraId="365D5A4D" w14:textId="77777777">
            <w:pPr>
              <w:jc w:val="right"/>
              <w:rPr>
                <w:rFonts w:ascii="Verdana" w:hAnsi="Verdana"/>
                <w:color w:val="000000"/>
                <w:sz w:val="18"/>
                <w:szCs w:val="18"/>
              </w:rPr>
            </w:pPr>
            <w:r>
              <w:rPr>
                <w:rFonts w:ascii="Verdana" w:hAnsi="Verdana"/>
                <w:color w:val="000000"/>
                <w:sz w:val="18"/>
                <w:szCs w:val="18"/>
              </w:rPr>
              <w:t>339</w:t>
            </w:r>
          </w:p>
        </w:tc>
        <w:tc>
          <w:tcPr>
            <w:tcW w:w="1080" w:type="dxa"/>
            <w:vAlign w:val="bottom"/>
          </w:tcPr>
          <w:p w:rsidR="00871C1B" w:rsidP="00C84417" w:rsidRDefault="00871C1B" w14:paraId="365E1643" w14:textId="77777777">
            <w:pPr>
              <w:jc w:val="right"/>
              <w:rPr>
                <w:rFonts w:ascii="Verdana" w:hAnsi="Verdana"/>
                <w:color w:val="000000"/>
                <w:sz w:val="18"/>
                <w:szCs w:val="18"/>
              </w:rPr>
            </w:pPr>
            <w:r>
              <w:rPr>
                <w:rFonts w:ascii="Verdana" w:hAnsi="Verdana"/>
                <w:color w:val="000000"/>
                <w:sz w:val="18"/>
                <w:szCs w:val="18"/>
              </w:rPr>
              <w:t>484</w:t>
            </w:r>
          </w:p>
        </w:tc>
        <w:tc>
          <w:tcPr>
            <w:tcW w:w="1301" w:type="dxa"/>
            <w:vAlign w:val="bottom"/>
          </w:tcPr>
          <w:p w:rsidR="00871C1B" w:rsidP="00C84417" w:rsidRDefault="00871C1B" w14:paraId="5288DD75" w14:textId="77777777">
            <w:pPr>
              <w:jc w:val="right"/>
              <w:rPr>
                <w:rFonts w:ascii="Verdana" w:hAnsi="Verdana"/>
                <w:color w:val="000000"/>
                <w:sz w:val="18"/>
                <w:szCs w:val="18"/>
              </w:rPr>
            </w:pPr>
            <w:r>
              <w:rPr>
                <w:rFonts w:ascii="Verdana" w:hAnsi="Verdana"/>
                <w:color w:val="000000"/>
                <w:sz w:val="18"/>
                <w:szCs w:val="18"/>
              </w:rPr>
              <w:t>43%</w:t>
            </w:r>
          </w:p>
        </w:tc>
        <w:tc>
          <w:tcPr>
            <w:tcW w:w="1050" w:type="dxa"/>
            <w:vAlign w:val="bottom"/>
          </w:tcPr>
          <w:p w:rsidR="00871C1B" w:rsidP="00C84417" w:rsidRDefault="00871C1B" w14:paraId="67A4B887" w14:textId="77777777">
            <w:pPr>
              <w:jc w:val="right"/>
              <w:rPr>
                <w:rFonts w:ascii="Verdana" w:hAnsi="Verdana"/>
                <w:color w:val="000000"/>
                <w:sz w:val="18"/>
                <w:szCs w:val="18"/>
              </w:rPr>
            </w:pPr>
            <w:r>
              <w:rPr>
                <w:rFonts w:ascii="Verdana" w:hAnsi="Verdana"/>
                <w:color w:val="000000"/>
                <w:sz w:val="18"/>
                <w:szCs w:val="18"/>
              </w:rPr>
              <w:t>95</w:t>
            </w:r>
          </w:p>
        </w:tc>
        <w:tc>
          <w:tcPr>
            <w:tcW w:w="1050" w:type="dxa"/>
            <w:vAlign w:val="bottom"/>
          </w:tcPr>
          <w:p w:rsidR="00871C1B" w:rsidP="00C84417" w:rsidRDefault="00871C1B" w14:paraId="354809E1" w14:textId="77777777">
            <w:pPr>
              <w:jc w:val="right"/>
              <w:rPr>
                <w:rFonts w:ascii="Verdana" w:hAnsi="Verdana"/>
                <w:color w:val="000000"/>
                <w:sz w:val="18"/>
                <w:szCs w:val="18"/>
              </w:rPr>
            </w:pPr>
            <w:r>
              <w:rPr>
                <w:rFonts w:ascii="Verdana" w:hAnsi="Verdana"/>
                <w:color w:val="000000"/>
                <w:sz w:val="18"/>
                <w:szCs w:val="18"/>
              </w:rPr>
              <w:t>77</w:t>
            </w:r>
          </w:p>
        </w:tc>
        <w:tc>
          <w:tcPr>
            <w:tcW w:w="1301" w:type="dxa"/>
            <w:vAlign w:val="bottom"/>
          </w:tcPr>
          <w:p w:rsidR="00871C1B" w:rsidP="00C84417" w:rsidRDefault="00871C1B" w14:paraId="27AFD9BA" w14:textId="77777777">
            <w:pPr>
              <w:jc w:val="right"/>
              <w:rPr>
                <w:rFonts w:ascii="Verdana" w:hAnsi="Verdana"/>
                <w:color w:val="000000"/>
                <w:sz w:val="18"/>
                <w:szCs w:val="18"/>
              </w:rPr>
            </w:pPr>
            <w:r>
              <w:rPr>
                <w:rFonts w:ascii="Verdana" w:hAnsi="Verdana"/>
                <w:color w:val="000000"/>
                <w:sz w:val="18"/>
                <w:szCs w:val="18"/>
              </w:rPr>
              <w:t>-19%</w:t>
            </w:r>
          </w:p>
        </w:tc>
      </w:tr>
      <w:tr w:rsidR="00871C1B" w:rsidTr="00C84417" w14:paraId="73CD86E8" w14:textId="77777777">
        <w:tc>
          <w:tcPr>
            <w:tcW w:w="2154" w:type="dxa"/>
            <w:vAlign w:val="bottom"/>
          </w:tcPr>
          <w:p w:rsidR="00871C1B" w:rsidP="00C84417" w:rsidRDefault="00871C1B" w14:paraId="6448AA7C" w14:textId="77777777">
            <w:pPr>
              <w:rPr>
                <w:rFonts w:ascii="Verdana" w:hAnsi="Verdana"/>
                <w:color w:val="000000"/>
                <w:sz w:val="18"/>
                <w:szCs w:val="18"/>
              </w:rPr>
            </w:pPr>
            <w:r>
              <w:rPr>
                <w:rFonts w:ascii="Verdana" w:hAnsi="Verdana"/>
                <w:color w:val="000000"/>
                <w:sz w:val="18"/>
                <w:szCs w:val="18"/>
              </w:rPr>
              <w:t>SJ Andere zakelijke diensten</w:t>
            </w:r>
          </w:p>
        </w:tc>
        <w:tc>
          <w:tcPr>
            <w:tcW w:w="1080" w:type="dxa"/>
            <w:vAlign w:val="bottom"/>
          </w:tcPr>
          <w:p w:rsidR="00871C1B" w:rsidP="00C84417" w:rsidRDefault="00871C1B" w14:paraId="52C13502" w14:textId="77777777">
            <w:pPr>
              <w:jc w:val="right"/>
              <w:rPr>
                <w:rFonts w:ascii="Verdana" w:hAnsi="Verdana"/>
                <w:color w:val="000000"/>
                <w:sz w:val="18"/>
                <w:szCs w:val="18"/>
              </w:rPr>
            </w:pPr>
            <w:r>
              <w:rPr>
                <w:rFonts w:ascii="Verdana" w:hAnsi="Verdana"/>
                <w:color w:val="000000"/>
                <w:sz w:val="18"/>
                <w:szCs w:val="18"/>
              </w:rPr>
              <w:t>518</w:t>
            </w:r>
          </w:p>
        </w:tc>
        <w:tc>
          <w:tcPr>
            <w:tcW w:w="1080" w:type="dxa"/>
            <w:vAlign w:val="bottom"/>
          </w:tcPr>
          <w:p w:rsidR="00871C1B" w:rsidP="00C84417" w:rsidRDefault="00871C1B" w14:paraId="591B5F06" w14:textId="77777777">
            <w:pPr>
              <w:jc w:val="right"/>
              <w:rPr>
                <w:rFonts w:ascii="Verdana" w:hAnsi="Verdana"/>
                <w:color w:val="000000"/>
                <w:sz w:val="18"/>
                <w:szCs w:val="18"/>
              </w:rPr>
            </w:pPr>
            <w:r>
              <w:rPr>
                <w:rFonts w:ascii="Verdana" w:hAnsi="Verdana"/>
                <w:color w:val="000000"/>
                <w:sz w:val="18"/>
                <w:szCs w:val="18"/>
              </w:rPr>
              <w:t>812</w:t>
            </w:r>
          </w:p>
        </w:tc>
        <w:tc>
          <w:tcPr>
            <w:tcW w:w="1301" w:type="dxa"/>
            <w:vAlign w:val="bottom"/>
          </w:tcPr>
          <w:p w:rsidR="00871C1B" w:rsidP="00C84417" w:rsidRDefault="00871C1B" w14:paraId="0A194618" w14:textId="77777777">
            <w:pPr>
              <w:jc w:val="right"/>
              <w:rPr>
                <w:rFonts w:ascii="Verdana" w:hAnsi="Verdana"/>
                <w:color w:val="000000"/>
                <w:sz w:val="18"/>
                <w:szCs w:val="18"/>
              </w:rPr>
            </w:pPr>
            <w:r>
              <w:rPr>
                <w:rFonts w:ascii="Verdana" w:hAnsi="Verdana"/>
                <w:color w:val="000000"/>
                <w:sz w:val="18"/>
                <w:szCs w:val="18"/>
              </w:rPr>
              <w:t>57%</w:t>
            </w:r>
          </w:p>
        </w:tc>
        <w:tc>
          <w:tcPr>
            <w:tcW w:w="1050" w:type="dxa"/>
            <w:vAlign w:val="bottom"/>
          </w:tcPr>
          <w:p w:rsidR="00871C1B" w:rsidP="00C84417" w:rsidRDefault="00871C1B" w14:paraId="06A2C331" w14:textId="77777777">
            <w:pPr>
              <w:jc w:val="right"/>
              <w:rPr>
                <w:rFonts w:ascii="Verdana" w:hAnsi="Verdana"/>
                <w:color w:val="000000"/>
                <w:sz w:val="18"/>
                <w:szCs w:val="18"/>
              </w:rPr>
            </w:pPr>
            <w:r>
              <w:rPr>
                <w:rFonts w:ascii="Verdana" w:hAnsi="Verdana"/>
                <w:color w:val="000000"/>
                <w:sz w:val="18"/>
                <w:szCs w:val="18"/>
              </w:rPr>
              <w:t>297</w:t>
            </w:r>
          </w:p>
        </w:tc>
        <w:tc>
          <w:tcPr>
            <w:tcW w:w="1050" w:type="dxa"/>
            <w:vAlign w:val="bottom"/>
          </w:tcPr>
          <w:p w:rsidR="00871C1B" w:rsidP="00C84417" w:rsidRDefault="00871C1B" w14:paraId="2D26D251" w14:textId="77777777">
            <w:pPr>
              <w:jc w:val="right"/>
              <w:rPr>
                <w:rFonts w:ascii="Verdana" w:hAnsi="Verdana"/>
                <w:color w:val="000000"/>
                <w:sz w:val="18"/>
                <w:szCs w:val="18"/>
              </w:rPr>
            </w:pPr>
            <w:r>
              <w:rPr>
                <w:rFonts w:ascii="Verdana" w:hAnsi="Verdana"/>
                <w:color w:val="000000"/>
                <w:sz w:val="18"/>
                <w:szCs w:val="18"/>
              </w:rPr>
              <w:t>1163</w:t>
            </w:r>
          </w:p>
        </w:tc>
        <w:tc>
          <w:tcPr>
            <w:tcW w:w="1301" w:type="dxa"/>
            <w:vAlign w:val="bottom"/>
          </w:tcPr>
          <w:p w:rsidR="00871C1B" w:rsidP="00C84417" w:rsidRDefault="00871C1B" w14:paraId="455F4B03" w14:textId="77777777">
            <w:pPr>
              <w:jc w:val="right"/>
              <w:rPr>
                <w:rFonts w:ascii="Verdana" w:hAnsi="Verdana"/>
                <w:color w:val="000000"/>
                <w:sz w:val="18"/>
                <w:szCs w:val="18"/>
              </w:rPr>
            </w:pPr>
            <w:r>
              <w:rPr>
                <w:rFonts w:ascii="Verdana" w:hAnsi="Verdana"/>
                <w:color w:val="000000"/>
                <w:sz w:val="18"/>
                <w:szCs w:val="18"/>
              </w:rPr>
              <w:t>292%*</w:t>
            </w:r>
          </w:p>
        </w:tc>
      </w:tr>
      <w:tr w:rsidR="00871C1B" w:rsidTr="00C84417" w14:paraId="42E330CE" w14:textId="77777777">
        <w:tc>
          <w:tcPr>
            <w:tcW w:w="2154" w:type="dxa"/>
            <w:vAlign w:val="bottom"/>
          </w:tcPr>
          <w:p w:rsidR="00871C1B" w:rsidP="00C84417" w:rsidRDefault="00871C1B" w14:paraId="2EBD63CD" w14:textId="77777777">
            <w:pPr>
              <w:rPr>
                <w:rFonts w:ascii="Verdana" w:hAnsi="Verdana"/>
                <w:color w:val="000000"/>
                <w:sz w:val="18"/>
                <w:szCs w:val="18"/>
              </w:rPr>
            </w:pPr>
            <w:r>
              <w:rPr>
                <w:rFonts w:ascii="Verdana" w:hAnsi="Verdana"/>
                <w:color w:val="000000"/>
                <w:sz w:val="18"/>
                <w:szCs w:val="18"/>
              </w:rPr>
              <w:t>SK Pers., cult. en recreatieve diensten</w:t>
            </w:r>
          </w:p>
        </w:tc>
        <w:tc>
          <w:tcPr>
            <w:tcW w:w="1080" w:type="dxa"/>
            <w:vAlign w:val="bottom"/>
          </w:tcPr>
          <w:p w:rsidR="00871C1B" w:rsidP="00C84417" w:rsidRDefault="00871C1B" w14:paraId="32AA6A25" w14:textId="77777777">
            <w:pPr>
              <w:jc w:val="right"/>
              <w:rPr>
                <w:rFonts w:ascii="Verdana" w:hAnsi="Verdana"/>
                <w:color w:val="000000"/>
                <w:sz w:val="18"/>
                <w:szCs w:val="18"/>
              </w:rPr>
            </w:pPr>
            <w:r>
              <w:rPr>
                <w:rFonts w:ascii="Verdana" w:hAnsi="Verdana"/>
                <w:color w:val="000000"/>
                <w:sz w:val="18"/>
                <w:szCs w:val="18"/>
              </w:rPr>
              <w:t>6</w:t>
            </w:r>
          </w:p>
        </w:tc>
        <w:tc>
          <w:tcPr>
            <w:tcW w:w="1080" w:type="dxa"/>
            <w:vAlign w:val="bottom"/>
          </w:tcPr>
          <w:p w:rsidR="00871C1B" w:rsidP="00C84417" w:rsidRDefault="00871C1B" w14:paraId="4EB6C989" w14:textId="77777777">
            <w:pPr>
              <w:jc w:val="right"/>
              <w:rPr>
                <w:rFonts w:ascii="Verdana" w:hAnsi="Verdana"/>
                <w:color w:val="000000"/>
                <w:sz w:val="18"/>
                <w:szCs w:val="18"/>
              </w:rPr>
            </w:pPr>
            <w:r>
              <w:rPr>
                <w:rFonts w:ascii="Verdana" w:hAnsi="Verdana"/>
                <w:color w:val="000000"/>
                <w:sz w:val="18"/>
                <w:szCs w:val="18"/>
              </w:rPr>
              <w:t>7</w:t>
            </w:r>
          </w:p>
        </w:tc>
        <w:tc>
          <w:tcPr>
            <w:tcW w:w="1301" w:type="dxa"/>
            <w:vAlign w:val="bottom"/>
          </w:tcPr>
          <w:p w:rsidR="00871C1B" w:rsidP="00C84417" w:rsidRDefault="00871C1B" w14:paraId="555E5A2B" w14:textId="77777777">
            <w:pPr>
              <w:jc w:val="right"/>
              <w:rPr>
                <w:rFonts w:ascii="Verdana" w:hAnsi="Verdana"/>
                <w:color w:val="000000"/>
                <w:sz w:val="18"/>
                <w:szCs w:val="18"/>
              </w:rPr>
            </w:pPr>
            <w:r>
              <w:rPr>
                <w:rFonts w:ascii="Verdana" w:hAnsi="Verdana"/>
                <w:color w:val="000000"/>
                <w:sz w:val="18"/>
                <w:szCs w:val="18"/>
              </w:rPr>
              <w:t>17%</w:t>
            </w:r>
          </w:p>
        </w:tc>
        <w:tc>
          <w:tcPr>
            <w:tcW w:w="1050" w:type="dxa"/>
            <w:vAlign w:val="bottom"/>
          </w:tcPr>
          <w:p w:rsidR="00871C1B" w:rsidP="00C84417" w:rsidRDefault="00871C1B" w14:paraId="1FB615D0" w14:textId="77777777">
            <w:pPr>
              <w:jc w:val="right"/>
              <w:rPr>
                <w:rFonts w:ascii="Verdana" w:hAnsi="Verdana"/>
                <w:color w:val="000000"/>
                <w:sz w:val="18"/>
                <w:szCs w:val="18"/>
              </w:rPr>
            </w:pPr>
            <w:r>
              <w:rPr>
                <w:rFonts w:ascii="Verdana" w:hAnsi="Verdana"/>
                <w:color w:val="000000"/>
                <w:sz w:val="18"/>
                <w:szCs w:val="18"/>
              </w:rPr>
              <w:t>14</w:t>
            </w:r>
          </w:p>
        </w:tc>
        <w:tc>
          <w:tcPr>
            <w:tcW w:w="1050" w:type="dxa"/>
            <w:vAlign w:val="bottom"/>
          </w:tcPr>
          <w:p w:rsidR="00871C1B" w:rsidP="00C84417" w:rsidRDefault="00871C1B" w14:paraId="276F9F83" w14:textId="77777777">
            <w:pPr>
              <w:jc w:val="right"/>
              <w:rPr>
                <w:rFonts w:ascii="Verdana" w:hAnsi="Verdana"/>
                <w:color w:val="000000"/>
                <w:sz w:val="18"/>
                <w:szCs w:val="18"/>
              </w:rPr>
            </w:pPr>
            <w:r>
              <w:rPr>
                <w:rFonts w:ascii="Verdana" w:hAnsi="Verdana"/>
                <w:color w:val="000000"/>
                <w:sz w:val="18"/>
                <w:szCs w:val="18"/>
              </w:rPr>
              <w:t>19</w:t>
            </w:r>
          </w:p>
        </w:tc>
        <w:tc>
          <w:tcPr>
            <w:tcW w:w="1301" w:type="dxa"/>
            <w:vAlign w:val="bottom"/>
          </w:tcPr>
          <w:p w:rsidR="00871C1B" w:rsidP="00C84417" w:rsidRDefault="00871C1B" w14:paraId="00471AFE" w14:textId="77777777">
            <w:pPr>
              <w:jc w:val="right"/>
              <w:rPr>
                <w:rFonts w:ascii="Verdana" w:hAnsi="Verdana"/>
                <w:color w:val="000000"/>
                <w:sz w:val="18"/>
                <w:szCs w:val="18"/>
              </w:rPr>
            </w:pPr>
            <w:r>
              <w:rPr>
                <w:rFonts w:ascii="Verdana" w:hAnsi="Verdana"/>
                <w:color w:val="000000"/>
                <w:sz w:val="18"/>
                <w:szCs w:val="18"/>
              </w:rPr>
              <w:t>36%</w:t>
            </w:r>
          </w:p>
        </w:tc>
      </w:tr>
      <w:tr w:rsidR="00871C1B" w:rsidTr="00C84417" w14:paraId="2BA67153" w14:textId="77777777">
        <w:tc>
          <w:tcPr>
            <w:tcW w:w="2154" w:type="dxa"/>
            <w:vAlign w:val="bottom"/>
          </w:tcPr>
          <w:p w:rsidR="00871C1B" w:rsidP="00C84417" w:rsidRDefault="00871C1B" w14:paraId="20D420F6" w14:textId="77777777">
            <w:pPr>
              <w:rPr>
                <w:rFonts w:ascii="Verdana" w:hAnsi="Verdana"/>
                <w:color w:val="000000"/>
                <w:sz w:val="18"/>
                <w:szCs w:val="18"/>
              </w:rPr>
            </w:pPr>
            <w:r>
              <w:rPr>
                <w:rFonts w:ascii="Verdana" w:hAnsi="Verdana"/>
                <w:color w:val="000000"/>
                <w:sz w:val="18"/>
                <w:szCs w:val="18"/>
              </w:rPr>
              <w:lastRenderedPageBreak/>
              <w:t xml:space="preserve">SL Overheidsdiensten </w:t>
            </w:r>
            <w:proofErr w:type="spellStart"/>
            <w:r>
              <w:rPr>
                <w:rFonts w:ascii="Verdana" w:hAnsi="Verdana"/>
                <w:color w:val="000000"/>
                <w:sz w:val="18"/>
                <w:szCs w:val="18"/>
              </w:rPr>
              <w:t>n.e.g</w:t>
            </w:r>
            <w:proofErr w:type="spellEnd"/>
          </w:p>
        </w:tc>
        <w:tc>
          <w:tcPr>
            <w:tcW w:w="1080" w:type="dxa"/>
            <w:vAlign w:val="bottom"/>
          </w:tcPr>
          <w:p w:rsidR="00871C1B" w:rsidP="00C84417" w:rsidRDefault="00871C1B" w14:paraId="0501423B" w14:textId="77777777">
            <w:pPr>
              <w:rPr>
                <w:rFonts w:ascii="Verdana" w:hAnsi="Verdana"/>
                <w:color w:val="000000"/>
                <w:sz w:val="18"/>
                <w:szCs w:val="18"/>
              </w:rPr>
            </w:pPr>
            <w:r>
              <w:rPr>
                <w:rFonts w:ascii="Verdana" w:hAnsi="Verdana"/>
                <w:color w:val="000000"/>
                <w:sz w:val="18"/>
                <w:szCs w:val="18"/>
              </w:rPr>
              <w:t>.</w:t>
            </w:r>
          </w:p>
        </w:tc>
        <w:tc>
          <w:tcPr>
            <w:tcW w:w="1080" w:type="dxa"/>
            <w:vAlign w:val="bottom"/>
          </w:tcPr>
          <w:p w:rsidR="00871C1B" w:rsidP="00C84417" w:rsidRDefault="00871C1B" w14:paraId="1C568224" w14:textId="77777777">
            <w:pPr>
              <w:rPr>
                <w:rFonts w:ascii="Verdana" w:hAnsi="Verdana"/>
                <w:color w:val="000000"/>
                <w:sz w:val="18"/>
                <w:szCs w:val="18"/>
              </w:rPr>
            </w:pPr>
            <w:r>
              <w:rPr>
                <w:rFonts w:ascii="Verdana" w:hAnsi="Verdana"/>
                <w:color w:val="000000"/>
                <w:sz w:val="18"/>
                <w:szCs w:val="18"/>
              </w:rPr>
              <w:t>.</w:t>
            </w:r>
          </w:p>
        </w:tc>
        <w:tc>
          <w:tcPr>
            <w:tcW w:w="1301" w:type="dxa"/>
            <w:vAlign w:val="bottom"/>
          </w:tcPr>
          <w:p w:rsidR="00871C1B" w:rsidP="00C84417" w:rsidRDefault="00871C1B" w14:paraId="3DCB551A" w14:textId="77777777">
            <w:pPr>
              <w:rPr>
                <w:rFonts w:ascii="Verdana" w:hAnsi="Verdana"/>
                <w:color w:val="000000"/>
                <w:sz w:val="18"/>
                <w:szCs w:val="18"/>
              </w:rPr>
            </w:pPr>
            <w:r>
              <w:rPr>
                <w:rFonts w:ascii="Verdana" w:hAnsi="Verdana"/>
                <w:color w:val="000000"/>
                <w:sz w:val="18"/>
                <w:szCs w:val="18"/>
              </w:rPr>
              <w:t>.</w:t>
            </w:r>
          </w:p>
        </w:tc>
        <w:tc>
          <w:tcPr>
            <w:tcW w:w="1050" w:type="dxa"/>
            <w:vAlign w:val="bottom"/>
          </w:tcPr>
          <w:p w:rsidR="00871C1B" w:rsidP="00C84417" w:rsidRDefault="00871C1B" w14:paraId="3C8C9EDC" w14:textId="77777777">
            <w:pPr>
              <w:rPr>
                <w:rFonts w:ascii="Verdana" w:hAnsi="Verdana"/>
                <w:color w:val="000000"/>
                <w:sz w:val="18"/>
                <w:szCs w:val="18"/>
              </w:rPr>
            </w:pPr>
            <w:r>
              <w:rPr>
                <w:rFonts w:ascii="Verdana" w:hAnsi="Verdana"/>
                <w:color w:val="000000"/>
                <w:sz w:val="18"/>
                <w:szCs w:val="18"/>
              </w:rPr>
              <w:t>.</w:t>
            </w:r>
          </w:p>
        </w:tc>
        <w:tc>
          <w:tcPr>
            <w:tcW w:w="1050" w:type="dxa"/>
            <w:vAlign w:val="bottom"/>
          </w:tcPr>
          <w:p w:rsidR="00871C1B" w:rsidP="00C84417" w:rsidRDefault="00871C1B" w14:paraId="79B744A5" w14:textId="77777777">
            <w:pPr>
              <w:rPr>
                <w:rFonts w:ascii="Verdana" w:hAnsi="Verdana"/>
                <w:color w:val="000000"/>
                <w:sz w:val="18"/>
                <w:szCs w:val="18"/>
              </w:rPr>
            </w:pPr>
            <w:r>
              <w:rPr>
                <w:rFonts w:ascii="Verdana" w:hAnsi="Verdana"/>
                <w:color w:val="000000"/>
                <w:sz w:val="18"/>
                <w:szCs w:val="18"/>
              </w:rPr>
              <w:t>.</w:t>
            </w:r>
          </w:p>
        </w:tc>
        <w:tc>
          <w:tcPr>
            <w:tcW w:w="1301" w:type="dxa"/>
            <w:vAlign w:val="bottom"/>
          </w:tcPr>
          <w:p w:rsidR="00871C1B" w:rsidP="00C84417" w:rsidRDefault="00871C1B" w14:paraId="06D16F45" w14:textId="77777777">
            <w:pPr>
              <w:jc w:val="right"/>
              <w:rPr>
                <w:rFonts w:ascii="Verdana" w:hAnsi="Verdana"/>
                <w:color w:val="000000"/>
                <w:sz w:val="18"/>
                <w:szCs w:val="18"/>
              </w:rPr>
            </w:pPr>
            <w:r>
              <w:rPr>
                <w:rFonts w:ascii="Verdana" w:hAnsi="Verdana"/>
                <w:color w:val="000000"/>
                <w:sz w:val="18"/>
                <w:szCs w:val="18"/>
              </w:rPr>
              <w:t>81%</w:t>
            </w:r>
          </w:p>
        </w:tc>
      </w:tr>
    </w:tbl>
    <w:p w:rsidRPr="00DE1500" w:rsidR="00871C1B" w:rsidP="00871C1B" w:rsidRDefault="00871C1B" w14:paraId="2B564D07" w14:textId="77777777">
      <w:pPr>
        <w:rPr>
          <w:rFonts w:ascii="Verdana" w:hAnsi="Verdana"/>
          <w:i/>
          <w:sz w:val="18"/>
          <w:szCs w:val="18"/>
        </w:rPr>
      </w:pPr>
      <w:r>
        <w:rPr>
          <w:rFonts w:ascii="Verdana" w:hAnsi="Verdana"/>
          <w:sz w:val="18"/>
          <w:szCs w:val="18"/>
        </w:rPr>
        <w:t xml:space="preserve">Bron: CBS * </w:t>
      </w:r>
      <w:r>
        <w:rPr>
          <w:rFonts w:ascii="Verdana" w:hAnsi="Verdana"/>
          <w:i/>
          <w:sz w:val="18"/>
          <w:szCs w:val="18"/>
        </w:rPr>
        <w:t>Het CBS geeft aan geen informatie te kunnen geven over deze grote stijging vanwege geheimhouding. Mogelijkerwijs kan informatie over deze stijging leiden naar de activiteiten van één enkel bedrijf.</w:t>
      </w:r>
    </w:p>
    <w:p w:rsidRPr="006F3FF7" w:rsidR="00A57CE8" w:rsidP="00A57CE8" w:rsidRDefault="00A57CE8" w14:paraId="28D5D126" w14:textId="77777777">
      <w:pPr>
        <w:spacing w:after="0"/>
        <w:rPr>
          <w:rFonts w:ascii="Verdana" w:hAnsi="Verdana"/>
          <w:sz w:val="18"/>
          <w:szCs w:val="18"/>
        </w:rPr>
      </w:pPr>
    </w:p>
    <w:p w:rsidRPr="006F3FF7" w:rsidR="007367FC" w:rsidP="00A57CE8" w:rsidRDefault="007367FC" w14:paraId="2DC55CD9" w14:textId="77777777">
      <w:pPr>
        <w:spacing w:after="0"/>
        <w:rPr>
          <w:rFonts w:ascii="Verdana" w:hAnsi="Verdana"/>
          <w:b/>
          <w:sz w:val="18"/>
          <w:szCs w:val="18"/>
          <w:u w:val="single"/>
        </w:rPr>
      </w:pPr>
      <w:r w:rsidRPr="006F3FF7">
        <w:rPr>
          <w:rFonts w:ascii="Verdana" w:hAnsi="Verdana"/>
          <w:b/>
          <w:sz w:val="18"/>
          <w:szCs w:val="18"/>
          <w:u w:val="single"/>
        </w:rPr>
        <w:t>Vragen Partij voor de Dieren:</w:t>
      </w:r>
    </w:p>
    <w:p w:rsidR="00947FED" w:rsidP="00A57CE8" w:rsidRDefault="00947FED" w14:paraId="5D2F5C15" w14:textId="77777777">
      <w:pPr>
        <w:spacing w:after="0"/>
        <w:rPr>
          <w:rFonts w:ascii="Verdana" w:hAnsi="Verdana"/>
          <w:b/>
          <w:sz w:val="18"/>
          <w:szCs w:val="18"/>
        </w:rPr>
      </w:pPr>
    </w:p>
    <w:p w:rsidRPr="006F3FF7" w:rsidR="00A57CE8" w:rsidP="00A57CE8" w:rsidRDefault="00A57CE8" w14:paraId="0787B399" w14:textId="08AC8322">
      <w:pPr>
        <w:spacing w:after="0"/>
        <w:rPr>
          <w:rFonts w:ascii="Verdana" w:hAnsi="Verdana"/>
          <w:b/>
          <w:sz w:val="18"/>
          <w:szCs w:val="18"/>
        </w:rPr>
      </w:pPr>
      <w:r w:rsidRPr="006F3FF7">
        <w:rPr>
          <w:rFonts w:ascii="Verdana" w:hAnsi="Verdana"/>
          <w:b/>
          <w:sz w:val="18"/>
          <w:szCs w:val="18"/>
        </w:rPr>
        <w:t>Vraag 36</w:t>
      </w:r>
    </w:p>
    <w:p w:rsidRPr="006F3FF7" w:rsidR="007367FC" w:rsidP="00A57CE8" w:rsidRDefault="007367FC" w14:paraId="7C01A1FC" w14:textId="77777777">
      <w:pPr>
        <w:spacing w:after="0"/>
        <w:rPr>
          <w:rFonts w:ascii="Verdana" w:hAnsi="Verdana"/>
          <w:sz w:val="18"/>
          <w:szCs w:val="18"/>
        </w:rPr>
      </w:pPr>
      <w:r w:rsidRPr="006F3FF7">
        <w:rPr>
          <w:rFonts w:ascii="Verdana" w:hAnsi="Verdana"/>
          <w:sz w:val="18"/>
          <w:szCs w:val="18"/>
        </w:rPr>
        <w:t>Een analyse over hoe het Canadese equivalent van de NVWA functioneert op het gebied van controle en handhaving van dierenwelzijn.</w:t>
      </w:r>
    </w:p>
    <w:p w:rsidRPr="006F3FF7" w:rsidR="00A57CE8" w:rsidP="00A57CE8" w:rsidRDefault="00A57CE8" w14:paraId="65B04398" w14:textId="77777777">
      <w:pPr>
        <w:spacing w:after="0"/>
        <w:rPr>
          <w:rFonts w:ascii="Verdana" w:hAnsi="Verdana"/>
          <w:sz w:val="18"/>
          <w:szCs w:val="18"/>
        </w:rPr>
      </w:pPr>
    </w:p>
    <w:p w:rsidRPr="006F3FF7" w:rsidR="00A57CE8" w:rsidP="00A57CE8" w:rsidRDefault="00A57CE8" w14:paraId="361E1295" w14:textId="77777777">
      <w:pPr>
        <w:spacing w:after="0"/>
        <w:rPr>
          <w:rFonts w:ascii="Verdana" w:hAnsi="Verdana"/>
          <w:b/>
          <w:sz w:val="18"/>
          <w:szCs w:val="18"/>
        </w:rPr>
      </w:pPr>
      <w:r w:rsidRPr="006F3FF7">
        <w:rPr>
          <w:rFonts w:ascii="Verdana" w:hAnsi="Verdana"/>
          <w:b/>
          <w:sz w:val="18"/>
          <w:szCs w:val="18"/>
        </w:rPr>
        <w:t>Antwoord</w:t>
      </w:r>
    </w:p>
    <w:p w:rsidRPr="006F3FF7" w:rsidR="00A57CE8" w:rsidP="00A57CE8" w:rsidRDefault="002D3148" w14:paraId="0672B3AD" w14:textId="4FA4E27E">
      <w:pPr>
        <w:spacing w:after="0"/>
        <w:rPr>
          <w:rFonts w:ascii="Verdana" w:hAnsi="Verdana"/>
          <w:sz w:val="18"/>
          <w:szCs w:val="18"/>
        </w:rPr>
      </w:pPr>
      <w:r>
        <w:rPr>
          <w:rFonts w:ascii="Verdana" w:hAnsi="Verdana"/>
          <w:sz w:val="18"/>
          <w:szCs w:val="18"/>
        </w:rPr>
        <w:t>Nederland maakt geen</w:t>
      </w:r>
      <w:r w:rsidR="00E80600">
        <w:rPr>
          <w:rFonts w:ascii="Verdana" w:hAnsi="Verdana"/>
          <w:sz w:val="18"/>
          <w:szCs w:val="18"/>
        </w:rPr>
        <w:t xml:space="preserve"> zelfstandige analyse</w:t>
      </w:r>
      <w:r>
        <w:rPr>
          <w:rFonts w:ascii="Verdana" w:hAnsi="Verdana"/>
          <w:sz w:val="18"/>
          <w:szCs w:val="18"/>
        </w:rPr>
        <w:t>s</w:t>
      </w:r>
      <w:r w:rsidR="00E80600">
        <w:rPr>
          <w:rFonts w:ascii="Verdana" w:hAnsi="Verdana"/>
          <w:sz w:val="18"/>
          <w:szCs w:val="18"/>
        </w:rPr>
        <w:t xml:space="preserve"> van het functioneren van de</w:t>
      </w:r>
      <w:r w:rsidR="000C4A6A">
        <w:rPr>
          <w:rFonts w:ascii="Verdana" w:hAnsi="Verdana"/>
          <w:sz w:val="18"/>
          <w:szCs w:val="18"/>
        </w:rPr>
        <w:t xml:space="preserve"> internationale equivalenten van de NVWA</w:t>
      </w:r>
      <w:r w:rsidR="00E80600">
        <w:rPr>
          <w:rFonts w:ascii="Verdana" w:hAnsi="Verdana"/>
          <w:sz w:val="18"/>
          <w:szCs w:val="18"/>
        </w:rPr>
        <w:t>. De Europese Commissie heeft de afgelopen 10 jaar verschillende audits uitgevoerd</w:t>
      </w:r>
      <w:r w:rsidR="000C4A6A">
        <w:rPr>
          <w:rFonts w:ascii="Verdana" w:hAnsi="Verdana"/>
          <w:sz w:val="18"/>
          <w:szCs w:val="18"/>
        </w:rPr>
        <w:t xml:space="preserve"> van de Canadian Food </w:t>
      </w:r>
      <w:proofErr w:type="spellStart"/>
      <w:r w:rsidR="000C4A6A">
        <w:rPr>
          <w:rFonts w:ascii="Verdana" w:hAnsi="Verdana"/>
          <w:sz w:val="18"/>
          <w:szCs w:val="18"/>
        </w:rPr>
        <w:t>Inspection</w:t>
      </w:r>
      <w:proofErr w:type="spellEnd"/>
      <w:r w:rsidR="000C4A6A">
        <w:rPr>
          <w:rFonts w:ascii="Verdana" w:hAnsi="Verdana"/>
          <w:sz w:val="18"/>
          <w:szCs w:val="18"/>
        </w:rPr>
        <w:t xml:space="preserve"> Agency (CFIA)</w:t>
      </w:r>
      <w:r w:rsidR="00E80600">
        <w:rPr>
          <w:rFonts w:ascii="Verdana" w:hAnsi="Verdana"/>
          <w:sz w:val="18"/>
          <w:szCs w:val="18"/>
        </w:rPr>
        <w:t>. De resultaten daarvan zijn terug te vinden in de verschillende auditrapporten die de Commissie publiceert op haar website</w:t>
      </w:r>
      <w:r w:rsidR="003D4CB2">
        <w:rPr>
          <w:rFonts w:ascii="Verdana" w:hAnsi="Verdana"/>
          <w:sz w:val="18"/>
          <w:szCs w:val="18"/>
        </w:rPr>
        <w:t>.</w:t>
      </w:r>
      <w:r w:rsidR="00E80600">
        <w:rPr>
          <w:rStyle w:val="FootnoteReference"/>
          <w:rFonts w:ascii="Verdana" w:hAnsi="Verdana"/>
          <w:sz w:val="18"/>
          <w:szCs w:val="18"/>
        </w:rPr>
        <w:footnoteReference w:id="13"/>
      </w:r>
    </w:p>
    <w:p w:rsidRPr="006F3FF7" w:rsidR="00C97726" w:rsidP="00A57CE8" w:rsidRDefault="00C97726" w14:paraId="644BA8C4" w14:textId="77777777">
      <w:pPr>
        <w:spacing w:after="0"/>
        <w:rPr>
          <w:rFonts w:ascii="Verdana" w:hAnsi="Verdana"/>
          <w:sz w:val="18"/>
          <w:szCs w:val="18"/>
        </w:rPr>
      </w:pPr>
    </w:p>
    <w:p w:rsidRPr="006F3FF7" w:rsidR="00A57CE8" w:rsidP="00A57CE8" w:rsidRDefault="00A57CE8" w14:paraId="7963AC91" w14:textId="77777777">
      <w:pPr>
        <w:spacing w:after="0"/>
        <w:rPr>
          <w:rFonts w:ascii="Verdana" w:hAnsi="Verdana"/>
          <w:b/>
          <w:sz w:val="18"/>
          <w:szCs w:val="18"/>
        </w:rPr>
      </w:pPr>
      <w:r w:rsidRPr="006F3FF7">
        <w:rPr>
          <w:rFonts w:ascii="Verdana" w:hAnsi="Verdana"/>
          <w:b/>
          <w:sz w:val="18"/>
          <w:szCs w:val="18"/>
        </w:rPr>
        <w:t>Vraag 37</w:t>
      </w:r>
    </w:p>
    <w:p w:rsidRPr="006F3FF7" w:rsidR="007367FC" w:rsidP="00A57CE8" w:rsidRDefault="007367FC" w14:paraId="7FE023C5" w14:textId="77777777">
      <w:pPr>
        <w:spacing w:after="0"/>
        <w:rPr>
          <w:rFonts w:ascii="Verdana" w:hAnsi="Verdana"/>
          <w:sz w:val="18"/>
          <w:szCs w:val="18"/>
        </w:rPr>
      </w:pPr>
      <w:r w:rsidRPr="006F3FF7">
        <w:rPr>
          <w:rFonts w:ascii="Verdana" w:hAnsi="Verdana"/>
          <w:sz w:val="18"/>
          <w:szCs w:val="18"/>
        </w:rPr>
        <w:t xml:space="preserve">Een overzicht van het functioneren van het </w:t>
      </w:r>
      <w:proofErr w:type="spellStart"/>
      <w:r w:rsidRPr="006F3FF7">
        <w:rPr>
          <w:rFonts w:ascii="Verdana" w:hAnsi="Verdana"/>
          <w:sz w:val="18"/>
          <w:szCs w:val="18"/>
        </w:rPr>
        <w:t>track&amp;trace-systeem</w:t>
      </w:r>
      <w:proofErr w:type="spellEnd"/>
      <w:r w:rsidRPr="006F3FF7">
        <w:rPr>
          <w:rFonts w:ascii="Verdana" w:hAnsi="Verdana"/>
          <w:sz w:val="18"/>
          <w:szCs w:val="18"/>
        </w:rPr>
        <w:t xml:space="preserve"> van Canadese landbouwdieren.</w:t>
      </w:r>
    </w:p>
    <w:p w:rsidRPr="006F3FF7" w:rsidR="00A57CE8" w:rsidP="00A57CE8" w:rsidRDefault="00A57CE8" w14:paraId="54C92863" w14:textId="77777777">
      <w:pPr>
        <w:spacing w:after="0"/>
        <w:rPr>
          <w:rFonts w:ascii="Verdana" w:hAnsi="Verdana"/>
          <w:sz w:val="18"/>
          <w:szCs w:val="18"/>
        </w:rPr>
      </w:pPr>
    </w:p>
    <w:p w:rsidRPr="006F3FF7" w:rsidR="00A57CE8" w:rsidP="00A57CE8" w:rsidRDefault="00A57CE8" w14:paraId="441F467D" w14:textId="77777777">
      <w:pPr>
        <w:spacing w:after="0"/>
        <w:rPr>
          <w:rFonts w:ascii="Verdana" w:hAnsi="Verdana"/>
          <w:b/>
          <w:sz w:val="18"/>
          <w:szCs w:val="18"/>
        </w:rPr>
      </w:pPr>
      <w:r w:rsidRPr="006F3FF7">
        <w:rPr>
          <w:rFonts w:ascii="Verdana" w:hAnsi="Verdana"/>
          <w:b/>
          <w:sz w:val="18"/>
          <w:szCs w:val="18"/>
        </w:rPr>
        <w:t>Antwoord</w:t>
      </w:r>
    </w:p>
    <w:p w:rsidR="005470ED" w:rsidP="00425665" w:rsidRDefault="005470ED" w14:paraId="7EE01228" w14:textId="4F10ED87">
      <w:pPr>
        <w:spacing w:after="0"/>
        <w:rPr>
          <w:rFonts w:ascii="Verdana" w:hAnsi="Verdana"/>
          <w:sz w:val="18"/>
          <w:szCs w:val="18"/>
        </w:rPr>
      </w:pPr>
      <w:r>
        <w:rPr>
          <w:rFonts w:ascii="Verdana" w:hAnsi="Verdana"/>
          <w:sz w:val="18"/>
          <w:szCs w:val="18"/>
        </w:rPr>
        <w:t xml:space="preserve">Hiervoor verwijs ik u naar het betreffende overzicht op de website van de Canadian Food </w:t>
      </w:r>
      <w:proofErr w:type="spellStart"/>
      <w:r>
        <w:rPr>
          <w:rFonts w:ascii="Verdana" w:hAnsi="Verdana"/>
          <w:sz w:val="18"/>
          <w:szCs w:val="18"/>
        </w:rPr>
        <w:t>Inspection</w:t>
      </w:r>
      <w:proofErr w:type="spellEnd"/>
      <w:r>
        <w:rPr>
          <w:rFonts w:ascii="Verdana" w:hAnsi="Verdana"/>
          <w:sz w:val="18"/>
          <w:szCs w:val="18"/>
        </w:rPr>
        <w:t xml:space="preserve"> Agency.</w:t>
      </w:r>
      <w:r>
        <w:rPr>
          <w:rStyle w:val="FootnoteReference"/>
          <w:rFonts w:ascii="Verdana" w:hAnsi="Verdana"/>
          <w:sz w:val="18"/>
          <w:szCs w:val="18"/>
        </w:rPr>
        <w:footnoteReference w:id="14"/>
      </w:r>
      <w:r w:rsidR="00573487">
        <w:rPr>
          <w:rFonts w:ascii="Verdana" w:hAnsi="Verdana"/>
          <w:sz w:val="18"/>
          <w:szCs w:val="18"/>
        </w:rPr>
        <w:t xml:space="preserve"> Deze website bevat een gedetailleerd overzicht van het functioneren van federale en regionale voorschriften en de uitvoering daarvan.</w:t>
      </w:r>
    </w:p>
    <w:p w:rsidR="005470ED" w:rsidP="00425665" w:rsidRDefault="005470ED" w14:paraId="7525862F" w14:textId="77777777">
      <w:pPr>
        <w:spacing w:after="0"/>
        <w:rPr>
          <w:rFonts w:ascii="Verdana" w:hAnsi="Verdana"/>
          <w:sz w:val="18"/>
          <w:szCs w:val="18"/>
        </w:rPr>
      </w:pPr>
    </w:p>
    <w:p w:rsidRPr="006F3FF7" w:rsidR="00A57CE8" w:rsidP="00A57CE8" w:rsidRDefault="00A57CE8" w14:paraId="3B99AA71" w14:textId="77777777">
      <w:pPr>
        <w:spacing w:after="0"/>
        <w:rPr>
          <w:rFonts w:ascii="Verdana" w:hAnsi="Verdana"/>
          <w:b/>
          <w:sz w:val="18"/>
          <w:szCs w:val="18"/>
        </w:rPr>
      </w:pPr>
      <w:r w:rsidRPr="006F3FF7">
        <w:rPr>
          <w:rFonts w:ascii="Verdana" w:hAnsi="Verdana"/>
          <w:b/>
          <w:sz w:val="18"/>
          <w:szCs w:val="18"/>
        </w:rPr>
        <w:t>Vraag 38</w:t>
      </w:r>
    </w:p>
    <w:p w:rsidRPr="006F3FF7" w:rsidR="007367FC" w:rsidP="00A57CE8" w:rsidRDefault="007367FC" w14:paraId="112C8426" w14:textId="77777777">
      <w:pPr>
        <w:spacing w:after="0"/>
        <w:rPr>
          <w:rFonts w:ascii="Verdana" w:hAnsi="Verdana"/>
          <w:sz w:val="18"/>
          <w:szCs w:val="18"/>
        </w:rPr>
      </w:pPr>
      <w:r w:rsidRPr="006F3FF7">
        <w:rPr>
          <w:rFonts w:ascii="Verdana" w:hAnsi="Verdana"/>
          <w:sz w:val="18"/>
          <w:szCs w:val="18"/>
        </w:rPr>
        <w:t xml:space="preserve">Een feitenrelaas over in welk orgaan en wanneer Canada heeft gepleit voor de verhoging van de EU-MRL van 0,03 naar 0,3 mg/kg </w:t>
      </w:r>
      <w:proofErr w:type="spellStart"/>
      <w:r w:rsidRPr="006F3FF7">
        <w:rPr>
          <w:rFonts w:ascii="Verdana" w:hAnsi="Verdana"/>
          <w:sz w:val="18"/>
          <w:szCs w:val="18"/>
        </w:rPr>
        <w:t>clothianidin</w:t>
      </w:r>
      <w:proofErr w:type="spellEnd"/>
      <w:r w:rsidRPr="006F3FF7">
        <w:rPr>
          <w:rFonts w:ascii="Verdana" w:hAnsi="Verdana"/>
          <w:sz w:val="18"/>
          <w:szCs w:val="18"/>
        </w:rPr>
        <w:t>.</w:t>
      </w:r>
    </w:p>
    <w:p w:rsidRPr="006F3FF7" w:rsidR="002C37A5" w:rsidP="00A57CE8" w:rsidRDefault="002C37A5" w14:paraId="73D66A23" w14:textId="77777777">
      <w:pPr>
        <w:spacing w:after="0"/>
        <w:rPr>
          <w:rFonts w:ascii="Verdana" w:hAnsi="Verdana"/>
          <w:sz w:val="18"/>
          <w:szCs w:val="18"/>
        </w:rPr>
      </w:pPr>
    </w:p>
    <w:p w:rsidRPr="006F3FF7" w:rsidR="00A57CE8" w:rsidP="00A57CE8" w:rsidRDefault="00A57CE8" w14:paraId="03B2B3BC" w14:textId="77777777">
      <w:pPr>
        <w:spacing w:after="0"/>
        <w:rPr>
          <w:rFonts w:ascii="Verdana" w:hAnsi="Verdana"/>
          <w:b/>
          <w:sz w:val="18"/>
          <w:szCs w:val="18"/>
        </w:rPr>
      </w:pPr>
      <w:r w:rsidRPr="006F3FF7">
        <w:rPr>
          <w:rFonts w:ascii="Verdana" w:hAnsi="Verdana"/>
          <w:b/>
          <w:sz w:val="18"/>
          <w:szCs w:val="18"/>
        </w:rPr>
        <w:t>Antwoord</w:t>
      </w:r>
    </w:p>
    <w:p w:rsidR="002940C4" w:rsidP="006F3FF7" w:rsidRDefault="00425665" w14:paraId="6B8A977F" w14:textId="0A12FBE3">
      <w:pPr>
        <w:spacing w:after="0"/>
        <w:rPr>
          <w:rFonts w:ascii="Verdana" w:hAnsi="Verdana" w:eastAsia="Verdana" w:cs="Verdana"/>
          <w:sz w:val="18"/>
          <w:szCs w:val="18"/>
        </w:rPr>
      </w:pPr>
      <w:r w:rsidRPr="002940C4">
        <w:rPr>
          <w:rFonts w:ascii="Verdana" w:hAnsi="Verdana" w:eastAsia="Verdana" w:cs="Verdana"/>
          <w:sz w:val="18"/>
          <w:szCs w:val="18"/>
        </w:rPr>
        <w:t xml:space="preserve">Het verzoek tot verhoging van deze specifieke MRL is niet door Canada </w:t>
      </w:r>
      <w:r w:rsidRPr="002940C4" w:rsidR="005470ED">
        <w:rPr>
          <w:rFonts w:ascii="Verdana" w:hAnsi="Verdana" w:eastAsia="Verdana" w:cs="Verdana"/>
          <w:sz w:val="18"/>
          <w:szCs w:val="18"/>
        </w:rPr>
        <w:t xml:space="preserve">of een Canadees bedrijf </w:t>
      </w:r>
      <w:r w:rsidRPr="002940C4">
        <w:rPr>
          <w:rFonts w:ascii="Verdana" w:hAnsi="Verdana" w:eastAsia="Verdana" w:cs="Verdana"/>
          <w:sz w:val="18"/>
          <w:szCs w:val="18"/>
        </w:rPr>
        <w:t>gedaan</w:t>
      </w:r>
      <w:r w:rsidRPr="002940C4" w:rsidR="005470ED">
        <w:rPr>
          <w:rFonts w:ascii="Verdana" w:hAnsi="Verdana" w:eastAsia="Verdana" w:cs="Verdana"/>
          <w:sz w:val="18"/>
          <w:szCs w:val="18"/>
        </w:rPr>
        <w:t xml:space="preserve">. </w:t>
      </w:r>
    </w:p>
    <w:p w:rsidRPr="002940C4" w:rsidR="005470ED" w:rsidP="006F3FF7" w:rsidRDefault="002940C4" w14:paraId="3EE2DE8B" w14:textId="6D1D74D2">
      <w:pPr>
        <w:spacing w:after="0"/>
        <w:rPr>
          <w:rFonts w:ascii="Verdana" w:hAnsi="Verdana" w:eastAsia="Verdana" w:cs="Verdana"/>
          <w:sz w:val="18"/>
          <w:szCs w:val="18"/>
        </w:rPr>
      </w:pPr>
      <w:r w:rsidRPr="002940C4">
        <w:rPr>
          <w:rFonts w:ascii="Verdana" w:hAnsi="Verdana" w:eastAsia="Verdana" w:cs="Verdana"/>
          <w:sz w:val="18"/>
          <w:szCs w:val="18"/>
        </w:rPr>
        <w:t>In het algemeen valt te stellen dat het contact met Canada door de Europese Commissie over de handelsrelatie voornamelijk plaatsvindt in de comités onder CETA. Verslagen en besluiten zijn terug te vinden op de website van de Europese Commissie. Het CETA-comité heeft juridisch noch praktisch de mogelijkheid om besluiten te nemen over verhoging van maximale residu limieten (</w:t>
      </w:r>
      <w:proofErr w:type="spellStart"/>
      <w:r w:rsidRPr="002940C4">
        <w:rPr>
          <w:rFonts w:ascii="Verdana" w:hAnsi="Verdana" w:eastAsia="Verdana" w:cs="Verdana"/>
          <w:sz w:val="18"/>
          <w:szCs w:val="18"/>
        </w:rPr>
        <w:t>MRL’s</w:t>
      </w:r>
      <w:proofErr w:type="spellEnd"/>
      <w:r w:rsidRPr="002940C4">
        <w:rPr>
          <w:rFonts w:ascii="Verdana" w:hAnsi="Verdana" w:eastAsia="Verdana" w:cs="Verdana"/>
          <w:sz w:val="18"/>
          <w:szCs w:val="18"/>
        </w:rPr>
        <w:t xml:space="preserve">). In het CETA SPS-Comité is in 2019 </w:t>
      </w:r>
      <w:r w:rsidR="001A05C4">
        <w:rPr>
          <w:rFonts w:ascii="Verdana" w:hAnsi="Verdana" w:eastAsia="Verdana" w:cs="Verdana"/>
          <w:sz w:val="18"/>
          <w:szCs w:val="18"/>
        </w:rPr>
        <w:t>tussen de EU en Canada</w:t>
      </w:r>
      <w:r w:rsidRPr="002940C4">
        <w:rPr>
          <w:rFonts w:ascii="Verdana" w:hAnsi="Verdana" w:eastAsia="Verdana" w:cs="Verdana"/>
          <w:sz w:val="18"/>
          <w:szCs w:val="18"/>
        </w:rPr>
        <w:t xml:space="preserve"> wel gesproken over </w:t>
      </w:r>
      <w:proofErr w:type="spellStart"/>
      <w:r w:rsidRPr="002940C4">
        <w:rPr>
          <w:rFonts w:ascii="Verdana" w:hAnsi="Verdana" w:eastAsia="Verdana" w:cs="Verdana"/>
          <w:sz w:val="18"/>
          <w:szCs w:val="18"/>
        </w:rPr>
        <w:t>MRL’s</w:t>
      </w:r>
      <w:proofErr w:type="spellEnd"/>
      <w:r w:rsidRPr="002940C4">
        <w:rPr>
          <w:rFonts w:ascii="Verdana" w:hAnsi="Verdana" w:eastAsia="Verdana" w:cs="Verdana"/>
          <w:sz w:val="18"/>
          <w:szCs w:val="18"/>
        </w:rPr>
        <w:t xml:space="preserve"> voor het op de markt brengen van agrarische producten in de EU. </w:t>
      </w:r>
      <w:r w:rsidRPr="002940C4">
        <w:rPr>
          <w:rFonts w:ascii="Verdana" w:hAnsi="Verdana" w:eastAsia="Verdana" w:cs="Verdana"/>
          <w:sz w:val="18"/>
          <w:szCs w:val="18"/>
        </w:rPr>
        <w:br/>
      </w:r>
    </w:p>
    <w:p w:rsidR="00B32D5E" w:rsidP="00B32D5E" w:rsidRDefault="00B32D5E" w14:paraId="20805AA2" w14:textId="77777777">
      <w:pPr>
        <w:spacing w:after="0" w:line="240" w:lineRule="auto"/>
        <w:rPr>
          <w:rFonts w:ascii="Verdana" w:hAnsi="Verdana" w:eastAsia="Calibri" w:cs="Calibri"/>
          <w:sz w:val="18"/>
          <w:szCs w:val="18"/>
        </w:rPr>
      </w:pPr>
      <w:r w:rsidRPr="00B32D5E">
        <w:rPr>
          <w:rFonts w:ascii="Verdana" w:hAnsi="Verdana" w:eastAsia="Calibri" w:cs="Calibri"/>
          <w:sz w:val="18"/>
          <w:szCs w:val="18"/>
        </w:rPr>
        <w:t xml:space="preserve">Onder Verordening 396/2005 kan ieder derde land of belanghebbende een MRL (“importtolerantie”) aanvragen voor residuen van pesticiden in geïmporteerde landbouwproducten. Dit geldt ook als die middelen in de Unie voor het betreffende gebruik of in het geheel niet zijn toegelaten. Het verzoek tot verhoging van deze specifieke MRL is niet door Canada of een Canadees bedrijf gedaan, maar door Bayer, de producent van </w:t>
      </w:r>
      <w:proofErr w:type="spellStart"/>
      <w:r w:rsidRPr="00B32D5E">
        <w:rPr>
          <w:rFonts w:ascii="Verdana" w:hAnsi="Verdana" w:eastAsia="Calibri" w:cs="Calibri"/>
          <w:sz w:val="18"/>
          <w:szCs w:val="18"/>
        </w:rPr>
        <w:t>clothianidine</w:t>
      </w:r>
      <w:proofErr w:type="spellEnd"/>
      <w:r w:rsidRPr="00B32D5E">
        <w:rPr>
          <w:rFonts w:ascii="Verdana" w:hAnsi="Verdana" w:eastAsia="Calibri" w:cs="Calibri"/>
          <w:sz w:val="18"/>
          <w:szCs w:val="18"/>
        </w:rPr>
        <w:t xml:space="preserve">. </w:t>
      </w:r>
    </w:p>
    <w:p w:rsidR="00B32D5E" w:rsidP="00B32D5E" w:rsidRDefault="00B32D5E" w14:paraId="7721AE0C" w14:textId="6668E28A">
      <w:pPr>
        <w:spacing w:after="0" w:line="240" w:lineRule="auto"/>
        <w:rPr>
          <w:rFonts w:ascii="Verdana" w:hAnsi="Verdana" w:eastAsia="Calibri" w:cs="Calibri"/>
          <w:sz w:val="18"/>
          <w:szCs w:val="18"/>
        </w:rPr>
      </w:pPr>
      <w:r w:rsidRPr="00B32D5E">
        <w:rPr>
          <w:rFonts w:ascii="Verdana" w:hAnsi="Verdana" w:eastAsia="Calibri" w:cs="Calibri"/>
          <w:sz w:val="18"/>
          <w:szCs w:val="18"/>
        </w:rPr>
        <w:t xml:space="preserve">De aangevraagde importtolerantie wordt toegekend als uit onderzoek blijkt dat dit veilig is voor de consument; Verordening 396/2005 biedt geen basis om overwegingen over het milieu in derde landen in de beoordeling te betrekken. Zoals dat in de procedures voor MRL-vaststellingen onder Verordening 396/2005 voorgeschreven is, is dat verzoek en de door Bayer aangeleverde informatie behandeld door </w:t>
      </w:r>
      <w:r w:rsidRPr="00B32D5E">
        <w:rPr>
          <w:rFonts w:ascii="Verdana" w:hAnsi="Verdana" w:eastAsia="Calibri" w:cs="Calibri"/>
          <w:sz w:val="18"/>
          <w:szCs w:val="18"/>
        </w:rPr>
        <w:lastRenderedPageBreak/>
        <w:t>een van de lidstaten, waarna het evaluatierapport naar</w:t>
      </w:r>
      <w:r w:rsidR="00B339DB">
        <w:rPr>
          <w:rFonts w:ascii="Verdana" w:hAnsi="Verdana" w:eastAsia="Calibri" w:cs="Calibri"/>
          <w:sz w:val="18"/>
          <w:szCs w:val="18"/>
        </w:rPr>
        <w:t xml:space="preserve"> de</w:t>
      </w:r>
      <w:r w:rsidRPr="00B32D5E">
        <w:rPr>
          <w:rFonts w:ascii="Verdana" w:hAnsi="Verdana" w:eastAsia="Calibri" w:cs="Calibri"/>
          <w:sz w:val="18"/>
          <w:szCs w:val="18"/>
        </w:rPr>
        <w:t xml:space="preserve"> European Food Safety </w:t>
      </w:r>
      <w:proofErr w:type="spellStart"/>
      <w:r w:rsidRPr="00B32D5E">
        <w:rPr>
          <w:rFonts w:ascii="Verdana" w:hAnsi="Verdana" w:eastAsia="Calibri" w:cs="Calibri"/>
          <w:sz w:val="18"/>
          <w:szCs w:val="18"/>
        </w:rPr>
        <w:t>Authority</w:t>
      </w:r>
      <w:proofErr w:type="spellEnd"/>
      <w:r w:rsidRPr="00B32D5E">
        <w:rPr>
          <w:rFonts w:ascii="Verdana" w:hAnsi="Verdana" w:eastAsia="Calibri" w:cs="Calibri"/>
          <w:sz w:val="18"/>
          <w:szCs w:val="18"/>
        </w:rPr>
        <w:t xml:space="preserve"> (EFSA) is toegestuurd voor een peer review. De beoordeling door EFSA vormt vervolgens de basis waarop de Europese Commissie een voorstel voor het al dan niet toekenn</w:t>
      </w:r>
      <w:r w:rsidR="00B339DB">
        <w:rPr>
          <w:rFonts w:ascii="Verdana" w:hAnsi="Verdana" w:eastAsia="Calibri" w:cs="Calibri"/>
          <w:sz w:val="18"/>
          <w:szCs w:val="18"/>
        </w:rPr>
        <w:t>en</w:t>
      </w:r>
      <w:r w:rsidRPr="00B32D5E">
        <w:rPr>
          <w:rFonts w:ascii="Verdana" w:hAnsi="Verdana" w:eastAsia="Calibri" w:cs="Calibri"/>
          <w:sz w:val="18"/>
          <w:szCs w:val="18"/>
        </w:rPr>
        <w:t xml:space="preserve"> van een nieuwe MRL baseert, waarover vervolgens besluitvorming plaatsvindt volgens de gewone wetgevingsprocedure.</w:t>
      </w:r>
      <w:r w:rsidR="00FC5E6B">
        <w:rPr>
          <w:rStyle w:val="FootnoteReference"/>
          <w:rFonts w:ascii="Verdana" w:hAnsi="Verdana" w:eastAsia="Calibri" w:cs="Calibri"/>
          <w:sz w:val="18"/>
          <w:szCs w:val="18"/>
        </w:rPr>
        <w:footnoteReference w:id="15"/>
      </w:r>
    </w:p>
    <w:p w:rsidRPr="00B32D5E" w:rsidR="00B32D5E" w:rsidP="00B32D5E" w:rsidRDefault="00B32D5E" w14:paraId="621F0136" w14:textId="77777777">
      <w:pPr>
        <w:spacing w:after="0" w:line="240" w:lineRule="auto"/>
        <w:rPr>
          <w:rFonts w:ascii="Calibri" w:hAnsi="Calibri" w:eastAsia="Calibri" w:cs="Calibri"/>
        </w:rPr>
      </w:pPr>
    </w:p>
    <w:p w:rsidRPr="00B32D5E" w:rsidR="00B32D5E" w:rsidP="00B32D5E" w:rsidRDefault="00B32D5E" w14:paraId="5A7E6263" w14:textId="60C7B9A6">
      <w:pPr>
        <w:spacing w:after="0" w:line="240" w:lineRule="auto"/>
        <w:rPr>
          <w:rFonts w:ascii="Calibri" w:hAnsi="Calibri" w:eastAsia="Calibri" w:cs="Calibri"/>
        </w:rPr>
      </w:pPr>
      <w:r w:rsidRPr="00B32D5E">
        <w:rPr>
          <w:rFonts w:ascii="Verdana" w:hAnsi="Verdana" w:eastAsia="Calibri" w:cs="Calibri"/>
          <w:sz w:val="18"/>
          <w:szCs w:val="18"/>
        </w:rPr>
        <w:t xml:space="preserve">De rapporterende lidstaat (Duitsland) en vervolgens EFSA in haar peer review zijn tot de conclusie gekomen dat de aangevraagde MRL gezondheidskundig verantwoord is. De Nederlandse deskundigen kunnen zich vinden in deze conclusies van EFSA. Het Ministerie van Volksgezondheid, Welzijn en Sport (VWS) - in Nederland verantwoordelijk voor het vaststellen van </w:t>
      </w:r>
      <w:proofErr w:type="spellStart"/>
      <w:r w:rsidRPr="00B32D5E">
        <w:rPr>
          <w:rFonts w:ascii="Verdana" w:hAnsi="Verdana" w:eastAsia="Calibri" w:cs="Calibri"/>
          <w:sz w:val="18"/>
          <w:szCs w:val="18"/>
        </w:rPr>
        <w:t>MRL’s</w:t>
      </w:r>
      <w:proofErr w:type="spellEnd"/>
      <w:r w:rsidRPr="00B32D5E">
        <w:rPr>
          <w:rFonts w:ascii="Verdana" w:hAnsi="Verdana" w:eastAsia="Calibri" w:cs="Calibri"/>
          <w:sz w:val="18"/>
          <w:szCs w:val="18"/>
        </w:rPr>
        <w:t xml:space="preserve"> - heeft dan ook ingestemd met het voorstel. Vervolgens is de Raad unaniem akkoord gegaan. VWS heeft bij mij aangegeven dat het over deze aanvraag in geen enkele fase van de besluitvorming contact heeft gehad met belanghebbenden, noch met Bayer, noch met de Canadese overheid of met Canadese bedrijven. Of andere lidstaten of instellingen van de Europese Unie in afzonderlijke formele, dan wel informele contacten in verband met, of naar aanleiding van het verzoek tot verhoging hebben aangegeven positief te staan tegenover een dergelijke verhoging, is niet na te gaan. </w:t>
      </w:r>
    </w:p>
    <w:p w:rsidRPr="00B32D5E" w:rsidR="00B32D5E" w:rsidP="00B32D5E" w:rsidRDefault="00B32D5E" w14:paraId="3D914DC7" w14:textId="77777777">
      <w:pPr>
        <w:spacing w:after="0" w:line="240" w:lineRule="auto"/>
        <w:rPr>
          <w:rFonts w:ascii="Calibri" w:hAnsi="Calibri" w:eastAsia="Calibri" w:cs="Calibri"/>
        </w:rPr>
      </w:pPr>
      <w:r w:rsidRPr="00B32D5E">
        <w:rPr>
          <w:rFonts w:ascii="Verdana" w:hAnsi="Verdana" w:eastAsia="Calibri" w:cs="Calibri"/>
          <w:sz w:val="18"/>
          <w:szCs w:val="18"/>
        </w:rPr>
        <w:t> </w:t>
      </w:r>
    </w:p>
    <w:p w:rsidRPr="00FC5E6B" w:rsidR="03569BB1" w:rsidP="00FC5E6B" w:rsidRDefault="00B32D5E" w14:paraId="364C658D" w14:textId="18F8C6A8">
      <w:pPr>
        <w:spacing w:after="0" w:line="240" w:lineRule="auto"/>
        <w:rPr>
          <w:rFonts w:ascii="Calibri" w:hAnsi="Calibri" w:eastAsia="Calibri" w:cs="Calibri"/>
        </w:rPr>
      </w:pPr>
      <w:r>
        <w:rPr>
          <w:rFonts w:ascii="Verdana" w:hAnsi="Verdana" w:eastAsia="Calibri" w:cs="Calibri"/>
          <w:sz w:val="18"/>
          <w:szCs w:val="18"/>
        </w:rPr>
        <w:t>De Minister</w:t>
      </w:r>
      <w:r w:rsidRPr="00B32D5E">
        <w:rPr>
          <w:rFonts w:ascii="Verdana" w:hAnsi="Verdana" w:eastAsia="Calibri" w:cs="Calibri"/>
          <w:sz w:val="18"/>
          <w:szCs w:val="18"/>
        </w:rPr>
        <w:t xml:space="preserve"> van Landbouw, Natuur en Voedselkwaliteit is hier eerder op ingegaan in haar beantwoording van vragen van het lid Lodders (VVD).</w:t>
      </w:r>
      <w:r w:rsidR="00FC5E6B">
        <w:rPr>
          <w:rStyle w:val="FootnoteReference"/>
          <w:rFonts w:ascii="Verdana" w:hAnsi="Verdana" w:eastAsia="Calibri" w:cs="Calibri"/>
          <w:sz w:val="18"/>
          <w:szCs w:val="18"/>
        </w:rPr>
        <w:footnoteReference w:id="16"/>
      </w:r>
      <w:r w:rsidR="00FC5E6B">
        <w:rPr>
          <w:rFonts w:ascii="Verdana" w:hAnsi="Verdana" w:eastAsia="Calibri" w:cs="Calibri"/>
          <w:sz w:val="18"/>
          <w:szCs w:val="18"/>
        </w:rPr>
        <w:t xml:space="preserve"> </w:t>
      </w:r>
      <w:r w:rsidRPr="00B32D5E">
        <w:rPr>
          <w:rFonts w:ascii="Verdana" w:hAnsi="Verdana" w:eastAsia="Calibri" w:cs="Calibri"/>
          <w:sz w:val="18"/>
          <w:szCs w:val="18"/>
        </w:rPr>
        <w:t xml:space="preserve">Tot op heden is de betreffende MRL voor </w:t>
      </w:r>
      <w:proofErr w:type="spellStart"/>
      <w:r w:rsidRPr="00B32D5E">
        <w:rPr>
          <w:rFonts w:ascii="Verdana" w:hAnsi="Verdana" w:eastAsia="Calibri" w:cs="Calibri"/>
          <w:sz w:val="18"/>
          <w:szCs w:val="18"/>
        </w:rPr>
        <w:t>clothianidine</w:t>
      </w:r>
      <w:proofErr w:type="spellEnd"/>
      <w:r w:rsidRPr="00B32D5E">
        <w:rPr>
          <w:rFonts w:ascii="Verdana" w:hAnsi="Verdana" w:eastAsia="Calibri" w:cs="Calibri"/>
          <w:sz w:val="18"/>
          <w:szCs w:val="18"/>
        </w:rPr>
        <w:t xml:space="preserve"> in aardappel overigens niet vastgesteld, zoals te zien is in het </w:t>
      </w:r>
      <w:proofErr w:type="spellStart"/>
      <w:r w:rsidRPr="00B32D5E">
        <w:rPr>
          <w:rFonts w:ascii="Verdana" w:hAnsi="Verdana" w:eastAsia="Calibri" w:cs="Calibri"/>
          <w:sz w:val="18"/>
          <w:szCs w:val="18"/>
        </w:rPr>
        <w:t>comitologieregister</w:t>
      </w:r>
      <w:proofErr w:type="spellEnd"/>
      <w:r w:rsidRPr="00B32D5E">
        <w:rPr>
          <w:rFonts w:ascii="Verdana" w:hAnsi="Verdana" w:eastAsia="Calibri" w:cs="Calibri"/>
          <w:sz w:val="18"/>
          <w:szCs w:val="18"/>
        </w:rPr>
        <w:t xml:space="preserve"> van de Europese Commissie.</w:t>
      </w:r>
      <w:r w:rsidR="00FC5E6B">
        <w:rPr>
          <w:rStyle w:val="FootnoteReference"/>
          <w:rFonts w:ascii="Verdana" w:hAnsi="Verdana" w:eastAsia="Calibri" w:cs="Calibri"/>
          <w:sz w:val="18"/>
          <w:szCs w:val="18"/>
        </w:rPr>
        <w:footnoteReference w:id="17"/>
      </w:r>
      <w:r w:rsidR="00FC5E6B">
        <w:rPr>
          <w:rFonts w:ascii="Verdana" w:hAnsi="Verdana" w:eastAsia="Calibri" w:cs="Calibri"/>
          <w:sz w:val="18"/>
          <w:szCs w:val="18"/>
        </w:rPr>
        <w:t xml:space="preserve"> </w:t>
      </w:r>
      <w:r w:rsidRPr="00B32D5E">
        <w:rPr>
          <w:rFonts w:ascii="Verdana" w:hAnsi="Verdana" w:eastAsia="Calibri" w:cs="Calibri"/>
          <w:sz w:val="18"/>
          <w:szCs w:val="18"/>
        </w:rPr>
        <w:t xml:space="preserve">Nadat het Europees Parlement zich tegen het voorstel had uitgesproken, is een aangepast voorstel, nu zonder de importtolerantie voor </w:t>
      </w:r>
      <w:proofErr w:type="spellStart"/>
      <w:r w:rsidRPr="00B32D5E">
        <w:rPr>
          <w:rFonts w:ascii="Verdana" w:hAnsi="Verdana" w:eastAsia="Calibri" w:cs="Calibri"/>
          <w:sz w:val="18"/>
          <w:szCs w:val="18"/>
        </w:rPr>
        <w:t>clothianidine</w:t>
      </w:r>
      <w:proofErr w:type="spellEnd"/>
      <w:r w:rsidRPr="00B32D5E">
        <w:rPr>
          <w:rFonts w:ascii="Verdana" w:hAnsi="Verdana" w:eastAsia="Calibri" w:cs="Calibri"/>
          <w:sz w:val="18"/>
          <w:szCs w:val="18"/>
        </w:rPr>
        <w:t xml:space="preserve">, in behandeling genomen, zie </w:t>
      </w:r>
      <w:hyperlink w:history="1" r:id="rId13">
        <w:r w:rsidRPr="00B32D5E">
          <w:rPr>
            <w:rFonts w:ascii="Verdana" w:hAnsi="Verdana" w:eastAsia="Calibri" w:cs="Calibri"/>
            <w:color w:val="0563C1"/>
            <w:sz w:val="18"/>
            <w:szCs w:val="18"/>
            <w:u w:val="single"/>
          </w:rPr>
          <w:t>https://ec.europa.eu/transparency/regcomitology/index.cfm?do=search.documentdetail&amp;Dos_ID=18505&amp;ds_id=63880&amp;version=3&amp;page=1</w:t>
        </w:r>
      </w:hyperlink>
      <w:r w:rsidRPr="00B32D5E">
        <w:rPr>
          <w:rFonts w:ascii="Verdana" w:hAnsi="Verdana" w:eastAsia="Calibri" w:cs="Calibri"/>
          <w:color w:val="000000"/>
          <w:sz w:val="18"/>
          <w:szCs w:val="18"/>
        </w:rPr>
        <w:t>.</w:t>
      </w:r>
      <w:r w:rsidRPr="00B32D5E">
        <w:rPr>
          <w:rFonts w:ascii="Verdana" w:hAnsi="Verdana" w:eastAsia="Calibri" w:cs="Calibri"/>
          <w:sz w:val="18"/>
          <w:szCs w:val="18"/>
        </w:rPr>
        <w:t xml:space="preserve"> De Europese Commissie beraadt zich nu over de ontstane situatie m.b.t. </w:t>
      </w:r>
      <w:proofErr w:type="spellStart"/>
      <w:r w:rsidRPr="00B32D5E">
        <w:rPr>
          <w:rFonts w:ascii="Verdana" w:hAnsi="Verdana" w:eastAsia="Calibri" w:cs="Calibri"/>
          <w:sz w:val="18"/>
          <w:szCs w:val="18"/>
        </w:rPr>
        <w:t>clothianidine</w:t>
      </w:r>
      <w:proofErr w:type="spellEnd"/>
      <w:r w:rsidRPr="00B32D5E">
        <w:rPr>
          <w:rFonts w:ascii="Verdana" w:hAnsi="Verdana" w:eastAsia="Calibri" w:cs="Calibri"/>
          <w:sz w:val="18"/>
          <w:szCs w:val="18"/>
        </w:rPr>
        <w:t>.</w:t>
      </w:r>
    </w:p>
    <w:p w:rsidRPr="000763A7" w:rsidR="00A57CE8" w:rsidP="006F3FF7" w:rsidRDefault="00A57CE8" w14:paraId="2BE09A3B" w14:textId="77777777">
      <w:pPr>
        <w:spacing w:after="0"/>
        <w:rPr>
          <w:rFonts w:ascii="Verdana" w:hAnsi="Verdana"/>
          <w:sz w:val="18"/>
          <w:szCs w:val="18"/>
        </w:rPr>
      </w:pPr>
    </w:p>
    <w:sectPr w:rsidRPr="000763A7" w:rsidR="00A57CE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59C5B" w14:textId="77777777" w:rsidR="00514BD2" w:rsidRDefault="00514BD2" w:rsidP="007367FC">
      <w:pPr>
        <w:spacing w:after="0" w:line="240" w:lineRule="auto"/>
      </w:pPr>
      <w:r>
        <w:separator/>
      </w:r>
    </w:p>
  </w:endnote>
  <w:endnote w:type="continuationSeparator" w:id="0">
    <w:p w14:paraId="2D530C80" w14:textId="77777777" w:rsidR="00514BD2" w:rsidRDefault="00514BD2" w:rsidP="007367FC">
      <w:pPr>
        <w:spacing w:after="0" w:line="240" w:lineRule="auto"/>
      </w:pPr>
      <w:r>
        <w:continuationSeparator/>
      </w:r>
    </w:p>
  </w:endnote>
  <w:endnote w:type="continuationNotice" w:id="1">
    <w:p w14:paraId="111CCDDC" w14:textId="77777777" w:rsidR="00514BD2" w:rsidRDefault="00514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F38E" w14:textId="77777777" w:rsidR="00514BD2" w:rsidRDefault="00514BD2" w:rsidP="007367FC">
      <w:pPr>
        <w:spacing w:after="0" w:line="240" w:lineRule="auto"/>
      </w:pPr>
      <w:r>
        <w:separator/>
      </w:r>
    </w:p>
  </w:footnote>
  <w:footnote w:type="continuationSeparator" w:id="0">
    <w:p w14:paraId="2E752A5B" w14:textId="77777777" w:rsidR="00514BD2" w:rsidRDefault="00514BD2" w:rsidP="007367FC">
      <w:pPr>
        <w:spacing w:after="0" w:line="240" w:lineRule="auto"/>
      </w:pPr>
      <w:r>
        <w:continuationSeparator/>
      </w:r>
    </w:p>
  </w:footnote>
  <w:footnote w:type="continuationNotice" w:id="1">
    <w:p w14:paraId="31AC556F" w14:textId="77777777" w:rsidR="00514BD2" w:rsidRDefault="00514BD2">
      <w:pPr>
        <w:spacing w:after="0" w:line="240" w:lineRule="auto"/>
      </w:pPr>
    </w:p>
  </w:footnote>
  <w:footnote w:id="2">
    <w:p w14:paraId="1A3AB5F1" w14:textId="77777777" w:rsidR="00514BD2" w:rsidRPr="00D570AD" w:rsidRDefault="00514BD2" w:rsidP="00514BD2">
      <w:pPr>
        <w:pStyle w:val="FootnoteText"/>
      </w:pPr>
      <w:r>
        <w:rPr>
          <w:rStyle w:val="FootnoteReference"/>
        </w:rPr>
        <w:footnoteRef/>
      </w:r>
      <w:r>
        <w:t xml:space="preserve"> </w:t>
      </w:r>
      <w:r w:rsidRPr="00D570AD">
        <w:t>https://ec.europa.eu/trade/policy/in-focus/ceta/ceta-in-your-town/</w:t>
      </w:r>
    </w:p>
  </w:footnote>
  <w:footnote w:id="3">
    <w:p w14:paraId="33B649E2" w14:textId="77777777" w:rsidR="00514BD2" w:rsidRDefault="00514BD2">
      <w:pPr>
        <w:pStyle w:val="FootnoteText"/>
      </w:pPr>
      <w:r>
        <w:rPr>
          <w:rStyle w:val="FootnoteReference"/>
        </w:rPr>
        <w:footnoteRef/>
      </w:r>
      <w:r>
        <w:t xml:space="preserve"> </w:t>
      </w:r>
      <w:r w:rsidRPr="00FC66CA">
        <w:t>http://data.consilium.europa.eu/doc/document/ST-10973-2016-ADD-2/en/pdf#page=16</w:t>
      </w:r>
    </w:p>
  </w:footnote>
  <w:footnote w:id="4">
    <w:p w14:paraId="733D2A35" w14:textId="77777777" w:rsidR="00514BD2" w:rsidRDefault="00514BD2">
      <w:pPr>
        <w:pStyle w:val="FootnoteText"/>
      </w:pPr>
      <w:r>
        <w:rPr>
          <w:rStyle w:val="FootnoteReference"/>
        </w:rPr>
        <w:footnoteRef/>
      </w:r>
      <w:r>
        <w:t xml:space="preserve"> </w:t>
      </w:r>
      <w:hyperlink r:id="rId1" w:anchor="page=2" w:history="1">
        <w:r w:rsidRPr="00B83CFA">
          <w:rPr>
            <w:rStyle w:val="Hyperlink"/>
          </w:rPr>
          <w:t>http://data.consilium.europa.eu/doc/document/ST-10973-2016-ADD-5/en/pdf#page=2</w:t>
        </w:r>
      </w:hyperlink>
      <w:r>
        <w:t xml:space="preserve"> </w:t>
      </w:r>
    </w:p>
  </w:footnote>
  <w:footnote w:id="5">
    <w:p w14:paraId="0C891B8F" w14:textId="77777777" w:rsidR="00514BD2" w:rsidRPr="00954FE1" w:rsidRDefault="00514BD2" w:rsidP="007367FC">
      <w:pPr>
        <w:pStyle w:val="FootnoteText"/>
      </w:pPr>
      <w:r>
        <w:rPr>
          <w:rStyle w:val="FootnoteReference"/>
        </w:rPr>
        <w:footnoteRef/>
      </w:r>
      <w:r w:rsidRPr="00954FE1">
        <w:t xml:space="preserve"> </w:t>
      </w:r>
      <w:hyperlink r:id="rId2" w:history="1">
        <w:r w:rsidRPr="00954FE1">
          <w:rPr>
            <w:rStyle w:val="Hyperlink"/>
          </w:rPr>
          <w:t>https://trade.ec.europa.eu/doclib/docs/2018/september/tradoc_157417.pdf</w:t>
        </w:r>
      </w:hyperlink>
      <w:r w:rsidRPr="00954FE1">
        <w:t xml:space="preserve">. </w:t>
      </w:r>
    </w:p>
  </w:footnote>
  <w:footnote w:id="6">
    <w:p w14:paraId="02F2EA6F" w14:textId="77777777" w:rsidR="00514BD2" w:rsidRPr="00871C1B" w:rsidRDefault="00514BD2" w:rsidP="007367FC">
      <w:pPr>
        <w:pStyle w:val="FootnoteText"/>
      </w:pPr>
      <w:r>
        <w:rPr>
          <w:rStyle w:val="FootnoteReference"/>
        </w:rPr>
        <w:footnoteRef/>
      </w:r>
      <w:r w:rsidRPr="00871C1B">
        <w:t xml:space="preserve"> </w:t>
      </w:r>
      <w:hyperlink r:id="rId3" w:history="1">
        <w:r w:rsidRPr="00871C1B">
          <w:rPr>
            <w:rStyle w:val="Hyperlink"/>
          </w:rPr>
          <w:t>https://madb.europa.eu/madb/fta_canada.htm</w:t>
        </w:r>
      </w:hyperlink>
      <w:r w:rsidRPr="00871C1B">
        <w:t xml:space="preserve">. </w:t>
      </w:r>
    </w:p>
  </w:footnote>
  <w:footnote w:id="7">
    <w:p w14:paraId="10452F23" w14:textId="77777777" w:rsidR="00514BD2" w:rsidRPr="006314ED" w:rsidRDefault="00514BD2" w:rsidP="00273B3D">
      <w:pPr>
        <w:pStyle w:val="FootnoteText"/>
        <w:rPr>
          <w:lang w:val="nl-NL"/>
        </w:rPr>
      </w:pPr>
      <w:r>
        <w:rPr>
          <w:rStyle w:val="FootnoteReference"/>
        </w:rPr>
        <w:footnoteRef/>
      </w:r>
      <w:r w:rsidRPr="006314ED">
        <w:rPr>
          <w:lang w:val="nl-NL"/>
        </w:rPr>
        <w:t xml:space="preserve"> </w:t>
      </w:r>
      <w:r w:rsidRPr="006314ED">
        <w:rPr>
          <w:sz w:val="16"/>
          <w:szCs w:val="16"/>
          <w:lang w:val="nl-NL"/>
        </w:rPr>
        <w:t>Kamerstukken II (208-2019) 28 286, nr. 1063.</w:t>
      </w:r>
    </w:p>
  </w:footnote>
  <w:footnote w:id="8">
    <w:p w14:paraId="3C18619E" w14:textId="77777777" w:rsidR="00514BD2" w:rsidRPr="00957179" w:rsidRDefault="00514BD2" w:rsidP="007367FC">
      <w:pPr>
        <w:pStyle w:val="FootnoteText"/>
        <w:rPr>
          <w:lang w:val="nl-NL"/>
        </w:rPr>
      </w:pPr>
      <w:r>
        <w:rPr>
          <w:rStyle w:val="FootnoteReference"/>
        </w:rPr>
        <w:footnoteRef/>
      </w:r>
      <w:r w:rsidRPr="00957179">
        <w:rPr>
          <w:lang w:val="nl-NL"/>
        </w:rPr>
        <w:t xml:space="preserve"> </w:t>
      </w:r>
      <w:r>
        <w:rPr>
          <w:lang w:val="nl-NL"/>
        </w:rPr>
        <w:t xml:space="preserve">Zie </w:t>
      </w:r>
      <w:r w:rsidR="00371B8A">
        <w:fldChar w:fldCharType="begin"/>
      </w:r>
      <w:r w:rsidR="00371B8A" w:rsidRPr="001B7B91">
        <w:rPr>
          <w:lang w:val="nl-NL"/>
        </w:rPr>
        <w:instrText xml:space="preserve"> HYPERLINK "https://www.wto.org/english/tratop_e/dispu_e/dispu_by_country_e.htm" </w:instrText>
      </w:r>
      <w:r w:rsidR="00371B8A">
        <w:fldChar w:fldCharType="separate"/>
      </w:r>
      <w:r w:rsidRPr="006A270C">
        <w:rPr>
          <w:rStyle w:val="Hyperlink"/>
          <w:lang w:val="nl-NL"/>
        </w:rPr>
        <w:t>https://www.wto.org/english/tratop_e/dispu_e/dispu_by_country_e.htm</w:t>
      </w:r>
      <w:r w:rsidR="00371B8A">
        <w:rPr>
          <w:rStyle w:val="Hyperlink"/>
          <w:lang w:val="nl-NL"/>
        </w:rPr>
        <w:fldChar w:fldCharType="end"/>
      </w:r>
      <w:r>
        <w:rPr>
          <w:lang w:val="nl-NL"/>
        </w:rPr>
        <w:t xml:space="preserve"> voor een overzicht van WTO-zaken.</w:t>
      </w:r>
    </w:p>
  </w:footnote>
  <w:footnote w:id="9">
    <w:p w14:paraId="0E65B435" w14:textId="77777777" w:rsidR="00514BD2" w:rsidRPr="00957179" w:rsidRDefault="00514BD2" w:rsidP="007367FC">
      <w:pPr>
        <w:pStyle w:val="FootnoteText"/>
        <w:rPr>
          <w:lang w:val="nl-NL"/>
        </w:rPr>
      </w:pPr>
      <w:r>
        <w:rPr>
          <w:rStyle w:val="FootnoteReference"/>
        </w:rPr>
        <w:footnoteRef/>
      </w:r>
      <w:r w:rsidRPr="00957179">
        <w:rPr>
          <w:lang w:val="nl-NL"/>
        </w:rPr>
        <w:t xml:space="preserve"> </w:t>
      </w:r>
      <w:r w:rsidR="00371B8A">
        <w:fldChar w:fldCharType="begin"/>
      </w:r>
      <w:r w:rsidR="00371B8A" w:rsidRPr="001B7B91">
        <w:rPr>
          <w:lang w:val="nl-NL"/>
        </w:rPr>
        <w:instrText xml:space="preserve"> HYPERLINK "https://madb.europa.eu/madb/barriers_result.htm?isSps=false&amp;countries=CA" </w:instrText>
      </w:r>
      <w:r w:rsidR="00371B8A">
        <w:fldChar w:fldCharType="separate"/>
      </w:r>
      <w:r w:rsidRPr="006A270C">
        <w:rPr>
          <w:rStyle w:val="Hyperlink"/>
          <w:lang w:val="nl-NL"/>
        </w:rPr>
        <w:t>https://madb.europa.eu/madb/barriers_result.htm?isSps=false&amp;countries=CA</w:t>
      </w:r>
      <w:r w:rsidR="00371B8A">
        <w:rPr>
          <w:rStyle w:val="Hyperlink"/>
          <w:lang w:val="nl-NL"/>
        </w:rPr>
        <w:fldChar w:fldCharType="end"/>
      </w:r>
      <w:r>
        <w:rPr>
          <w:lang w:val="nl-NL"/>
        </w:rPr>
        <w:t xml:space="preserve">. </w:t>
      </w:r>
    </w:p>
  </w:footnote>
  <w:footnote w:id="10">
    <w:p w14:paraId="119DF75E" w14:textId="77777777" w:rsidR="00514BD2" w:rsidRPr="006314ED" w:rsidRDefault="00514BD2" w:rsidP="002330FD">
      <w:pPr>
        <w:pStyle w:val="FootnoteText"/>
        <w:rPr>
          <w:lang w:val="nl-NL"/>
        </w:rPr>
      </w:pPr>
      <w:r>
        <w:rPr>
          <w:rStyle w:val="FootnoteReference"/>
        </w:rPr>
        <w:footnoteRef/>
      </w:r>
      <w:r w:rsidRPr="006314ED">
        <w:rPr>
          <w:lang w:val="nl-NL"/>
        </w:rPr>
        <w:t xml:space="preserve"> </w:t>
      </w:r>
      <w:r w:rsidRPr="006314ED">
        <w:rPr>
          <w:sz w:val="16"/>
          <w:szCs w:val="16"/>
          <w:lang w:val="nl-NL"/>
        </w:rPr>
        <w:t>Kamerstukken II (208-2019) 28 286, nr. 1063.</w:t>
      </w:r>
    </w:p>
  </w:footnote>
  <w:footnote w:id="11">
    <w:p w14:paraId="6EBF1C82" w14:textId="77777777" w:rsidR="00514BD2" w:rsidRPr="00957179" w:rsidRDefault="00514BD2" w:rsidP="007367FC">
      <w:pPr>
        <w:pStyle w:val="FootnoteText"/>
        <w:rPr>
          <w:lang w:val="nl-NL"/>
        </w:rPr>
      </w:pPr>
      <w:r>
        <w:rPr>
          <w:rStyle w:val="FootnoteReference"/>
        </w:rPr>
        <w:footnoteRef/>
      </w:r>
      <w:r w:rsidRPr="00957179">
        <w:rPr>
          <w:lang w:val="nl-NL"/>
        </w:rPr>
        <w:t xml:space="preserve"> </w:t>
      </w:r>
      <w:r w:rsidR="00371B8A">
        <w:fldChar w:fldCharType="begin"/>
      </w:r>
      <w:r w:rsidR="00371B8A" w:rsidRPr="001B7B91">
        <w:rPr>
          <w:lang w:val="nl-NL"/>
        </w:rPr>
        <w:instrText xml:space="preserve"> HYPERLINK "https://www.belastingdienst.nl/bibliotheek/handboeken/html/boeken/HDU/images/ati_-1089603798.pdf" </w:instrText>
      </w:r>
      <w:r w:rsidR="00371B8A">
        <w:fldChar w:fldCharType="separate"/>
      </w:r>
      <w:r w:rsidRPr="006A270C">
        <w:rPr>
          <w:rStyle w:val="Hyperlink"/>
          <w:lang w:val="nl-NL"/>
        </w:rPr>
        <w:t>https://www.belastingdienst.nl/bibliotheek/handboeken/html/boeken/HDU/images/ati_-1089603798.pdf</w:t>
      </w:r>
      <w:r w:rsidR="00371B8A">
        <w:rPr>
          <w:rStyle w:val="Hyperlink"/>
          <w:lang w:val="nl-NL"/>
        </w:rPr>
        <w:fldChar w:fldCharType="end"/>
      </w:r>
      <w:r>
        <w:rPr>
          <w:lang w:val="nl-NL"/>
        </w:rPr>
        <w:t xml:space="preserve">. </w:t>
      </w:r>
    </w:p>
  </w:footnote>
  <w:footnote w:id="12">
    <w:p w14:paraId="34B59D77" w14:textId="77777777" w:rsidR="00514BD2" w:rsidRPr="00EA4675" w:rsidRDefault="00514BD2" w:rsidP="00EA4675">
      <w:pPr>
        <w:pStyle w:val="FootnoteText"/>
        <w:rPr>
          <w:lang w:val="nl-NL"/>
        </w:rPr>
      </w:pPr>
      <w:r>
        <w:rPr>
          <w:rStyle w:val="FootnoteReference"/>
        </w:rPr>
        <w:footnoteRef/>
      </w:r>
      <w:r w:rsidRPr="00EA4675">
        <w:rPr>
          <w:lang w:val="nl-NL"/>
        </w:rPr>
        <w:t xml:space="preserve"> </w:t>
      </w:r>
      <w:r w:rsidRPr="00EA4675">
        <w:rPr>
          <w:sz w:val="18"/>
          <w:lang w:val="nl-NL"/>
        </w:rPr>
        <w:t>https://trade.ec.europa.eu/doclib/press/index.cfm?id=1811</w:t>
      </w:r>
    </w:p>
  </w:footnote>
  <w:footnote w:id="13">
    <w:p w14:paraId="27F05D40" w14:textId="28B9CA58" w:rsidR="00514BD2" w:rsidRPr="00E80600" w:rsidRDefault="00514BD2">
      <w:pPr>
        <w:pStyle w:val="FootnoteText"/>
        <w:rPr>
          <w:lang w:val="nl-NL"/>
        </w:rPr>
      </w:pPr>
      <w:r>
        <w:rPr>
          <w:rStyle w:val="FootnoteReference"/>
        </w:rPr>
        <w:footnoteRef/>
      </w:r>
      <w:r w:rsidRPr="00E80600">
        <w:rPr>
          <w:lang w:val="nl-NL"/>
        </w:rPr>
        <w:t xml:space="preserve"> </w:t>
      </w:r>
      <w:r w:rsidR="00371B8A">
        <w:fldChar w:fldCharType="begin"/>
      </w:r>
      <w:r w:rsidR="00371B8A" w:rsidRPr="001B7B91">
        <w:rPr>
          <w:lang w:val="nl-NL"/>
        </w:rPr>
        <w:instrText xml:space="preserve"> HYPERLINK "https://ec.europa.eu/food/audits-analysis/audit_reports/index.cfm" </w:instrText>
      </w:r>
      <w:r w:rsidR="00371B8A">
        <w:fldChar w:fldCharType="separate"/>
      </w:r>
      <w:r w:rsidRPr="00952049">
        <w:rPr>
          <w:rStyle w:val="Hyperlink"/>
          <w:lang w:val="nl-NL"/>
        </w:rPr>
        <w:t>https://ec.europa.eu/food/audits-analysis/audit_reports/index.cfm</w:t>
      </w:r>
      <w:r w:rsidR="00371B8A">
        <w:rPr>
          <w:rStyle w:val="Hyperlink"/>
          <w:lang w:val="nl-NL"/>
        </w:rPr>
        <w:fldChar w:fldCharType="end"/>
      </w:r>
    </w:p>
  </w:footnote>
  <w:footnote w:id="14">
    <w:p w14:paraId="3666A9FC" w14:textId="77777777" w:rsidR="00514BD2" w:rsidRPr="0063170A" w:rsidRDefault="00514BD2">
      <w:pPr>
        <w:pStyle w:val="FootnoteText"/>
        <w:rPr>
          <w:lang w:val="nl-NL"/>
        </w:rPr>
      </w:pPr>
      <w:r>
        <w:rPr>
          <w:rStyle w:val="FootnoteReference"/>
        </w:rPr>
        <w:footnoteRef/>
      </w:r>
      <w:r w:rsidRPr="0063170A">
        <w:rPr>
          <w:lang w:val="nl-NL"/>
        </w:rPr>
        <w:t xml:space="preserve"> </w:t>
      </w:r>
      <w:r w:rsidR="00371B8A">
        <w:fldChar w:fldCharType="begin"/>
      </w:r>
      <w:r w:rsidR="00371B8A" w:rsidRPr="001B7B91">
        <w:rPr>
          <w:lang w:val="nl-NL"/>
        </w:rPr>
        <w:instrText xml:space="preserve"> HYPERLINK "https://www.inspection.gc.ca/animals/terrestrial-animals/traceability/eng/1300461751002/1300461804752" </w:instrText>
      </w:r>
      <w:r w:rsidR="00371B8A">
        <w:fldChar w:fldCharType="separate"/>
      </w:r>
      <w:r w:rsidRPr="0063170A">
        <w:rPr>
          <w:rStyle w:val="Hyperlink"/>
          <w:lang w:val="nl-NL"/>
        </w:rPr>
        <w:t>https://www.inspection.gc.ca/animals/terrestrial-animals/traceability/eng/1300461751002/1300461804752</w:t>
      </w:r>
      <w:r w:rsidR="00371B8A">
        <w:rPr>
          <w:rStyle w:val="Hyperlink"/>
          <w:lang w:val="nl-NL"/>
        </w:rPr>
        <w:fldChar w:fldCharType="end"/>
      </w:r>
      <w:r>
        <w:rPr>
          <w:lang w:val="nl-NL"/>
        </w:rPr>
        <w:t xml:space="preserve"> </w:t>
      </w:r>
    </w:p>
  </w:footnote>
  <w:footnote w:id="15">
    <w:p w14:paraId="0648EC4F" w14:textId="3785EE8B" w:rsidR="00514BD2" w:rsidRPr="00FC5E6B" w:rsidRDefault="00514BD2">
      <w:pPr>
        <w:pStyle w:val="FootnoteText"/>
        <w:rPr>
          <w:rFonts w:cstheme="minorHAnsi"/>
          <w:lang w:val="nl-NL"/>
        </w:rPr>
      </w:pPr>
      <w:r w:rsidRPr="00FC5E6B">
        <w:rPr>
          <w:rStyle w:val="FootnoteReference"/>
          <w:rFonts w:cstheme="minorHAnsi"/>
        </w:rPr>
        <w:footnoteRef/>
      </w:r>
      <w:r w:rsidRPr="00FC5E6B">
        <w:rPr>
          <w:rFonts w:cstheme="minorHAnsi"/>
          <w:lang w:val="nl-NL"/>
        </w:rPr>
        <w:t xml:space="preserve"> </w:t>
      </w:r>
      <w:r w:rsidRPr="00FC5E6B">
        <w:rPr>
          <w:rFonts w:eastAsia="Calibri" w:cstheme="minorHAnsi"/>
          <w:lang w:val="nl-NL"/>
        </w:rPr>
        <w:t>Verordening (EG) nr. 396/2005 van het Europees Parlement en de Raad van 23 februari 2005 tot vaststelling van maximumgehalten aan bestrijdingsmiddelenresiduen in of op levensmiddelen en diervoeders van plantaardige en dierlijke oorsprong en houdende wijziging van Richtlijn 91/414/EG van de Raad.</w:t>
      </w:r>
    </w:p>
  </w:footnote>
  <w:footnote w:id="16">
    <w:p w14:paraId="0104E90C" w14:textId="08AF915D" w:rsidR="00514BD2" w:rsidRPr="00FC5E6B" w:rsidRDefault="00514BD2" w:rsidP="00FC5E6B">
      <w:pPr>
        <w:spacing w:after="0" w:line="240" w:lineRule="auto"/>
        <w:rPr>
          <w:rFonts w:eastAsia="Calibri" w:cstheme="minorHAnsi"/>
          <w:sz w:val="20"/>
          <w:szCs w:val="20"/>
        </w:rPr>
      </w:pPr>
      <w:r w:rsidRPr="00FC5E6B">
        <w:rPr>
          <w:rStyle w:val="FootnoteReference"/>
          <w:rFonts w:cstheme="minorHAnsi"/>
          <w:sz w:val="20"/>
          <w:szCs w:val="20"/>
        </w:rPr>
        <w:footnoteRef/>
      </w:r>
      <w:r w:rsidRPr="00FC5E6B">
        <w:rPr>
          <w:rFonts w:cstheme="minorHAnsi"/>
          <w:sz w:val="20"/>
          <w:szCs w:val="20"/>
        </w:rPr>
        <w:t xml:space="preserve"> </w:t>
      </w:r>
      <w:r w:rsidRPr="00FC5E6B">
        <w:rPr>
          <w:rFonts w:eastAsia="Calibri" w:cstheme="minorHAnsi"/>
          <w:sz w:val="20"/>
          <w:szCs w:val="20"/>
        </w:rPr>
        <w:t>Aanhangsel van de handelingen, vergaderjaar 2018 - 2019, nr. 2512.</w:t>
      </w:r>
    </w:p>
  </w:footnote>
  <w:footnote w:id="17">
    <w:p w14:paraId="076E856B" w14:textId="586C2B6C" w:rsidR="00514BD2" w:rsidRPr="00FC5E6B" w:rsidRDefault="00514BD2">
      <w:pPr>
        <w:pStyle w:val="FootnoteText"/>
        <w:rPr>
          <w:lang w:val="nl-NL"/>
        </w:rPr>
      </w:pPr>
      <w:r w:rsidRPr="00FC5E6B">
        <w:rPr>
          <w:rStyle w:val="FootnoteReference"/>
          <w:rFonts w:cstheme="minorHAnsi"/>
        </w:rPr>
        <w:footnoteRef/>
      </w:r>
      <w:r w:rsidR="00371B8A">
        <w:fldChar w:fldCharType="begin"/>
      </w:r>
      <w:r w:rsidR="00371B8A" w:rsidRPr="001B7B91">
        <w:rPr>
          <w:lang w:val="nl-NL"/>
        </w:rPr>
        <w:instrText xml:space="preserve"> HYPERLINK "https://ec.europa.eu/transparency/regcomitology/index.cfm?do=search.documentdetail&amp;Dos_ID=16850&amp;DS_ID=59754&amp;Version=2" </w:instrText>
      </w:r>
      <w:r w:rsidR="00371B8A">
        <w:fldChar w:fldCharType="separate"/>
      </w:r>
      <w:r w:rsidR="000B37A4" w:rsidRPr="00FC5E6B">
        <w:rPr>
          <w:rFonts w:eastAsia="Calibri" w:cstheme="minorHAnsi"/>
          <w:color w:val="0563C1"/>
          <w:u w:val="single"/>
          <w:lang w:val="nl-NL"/>
        </w:rPr>
        <w:t>https://ec.europa.eu/transparency/regcomitology/index.cfm?do=search.documentdetail&amp;Dos_ID=16850&amp;DS_ID=59754&amp;Version=2</w:t>
      </w:r>
      <w:r w:rsidR="00371B8A">
        <w:rPr>
          <w:rFonts w:eastAsia="Calibri" w:cstheme="minorHAnsi"/>
          <w:color w:val="0563C1"/>
          <w:u w:val="single"/>
          <w:lang w:val="nl-NL"/>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19DC"/>
    <w:multiLevelType w:val="hybridMultilevel"/>
    <w:tmpl w:val="215664A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0532E9"/>
    <w:multiLevelType w:val="hybridMultilevel"/>
    <w:tmpl w:val="B91880E2"/>
    <w:lvl w:ilvl="0" w:tplc="04130001">
      <w:start w:val="1"/>
      <w:numFmt w:val="bullet"/>
      <w:lvlText w:val=""/>
      <w:lvlJc w:val="left"/>
      <w:pPr>
        <w:ind w:left="1770" w:hanging="705"/>
      </w:pPr>
      <w:rPr>
        <w:rFonts w:ascii="Symbol" w:hAnsi="Symbol"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 w15:restartNumberingAfterBreak="0">
    <w:nsid w:val="206D2172"/>
    <w:multiLevelType w:val="hybridMultilevel"/>
    <w:tmpl w:val="FBC440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A43DEA"/>
    <w:multiLevelType w:val="hybridMultilevel"/>
    <w:tmpl w:val="1E1EA73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B03E82"/>
    <w:multiLevelType w:val="hybridMultilevel"/>
    <w:tmpl w:val="8CC87632"/>
    <w:lvl w:ilvl="0" w:tplc="04130001">
      <w:start w:val="1"/>
      <w:numFmt w:val="bullet"/>
      <w:lvlText w:val=""/>
      <w:lvlJc w:val="left"/>
      <w:pPr>
        <w:ind w:left="705" w:hanging="705"/>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B805884"/>
    <w:multiLevelType w:val="hybridMultilevel"/>
    <w:tmpl w:val="CD0494F2"/>
    <w:lvl w:ilvl="0" w:tplc="944EECC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C61032"/>
    <w:multiLevelType w:val="hybridMultilevel"/>
    <w:tmpl w:val="87369F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676D62"/>
    <w:multiLevelType w:val="hybridMultilevel"/>
    <w:tmpl w:val="4E1E3E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2CB6142"/>
    <w:multiLevelType w:val="hybridMultilevel"/>
    <w:tmpl w:val="44A603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DE"/>
    <w:rsid w:val="0000176E"/>
    <w:rsid w:val="00002B54"/>
    <w:rsid w:val="000042F5"/>
    <w:rsid w:val="000043C1"/>
    <w:rsid w:val="00025972"/>
    <w:rsid w:val="0003014C"/>
    <w:rsid w:val="0003100C"/>
    <w:rsid w:val="00034F18"/>
    <w:rsid w:val="00044F3F"/>
    <w:rsid w:val="00045C0F"/>
    <w:rsid w:val="00045C7F"/>
    <w:rsid w:val="0006563B"/>
    <w:rsid w:val="000763A7"/>
    <w:rsid w:val="00087FC6"/>
    <w:rsid w:val="000B2E14"/>
    <w:rsid w:val="000B37A4"/>
    <w:rsid w:val="000C4A6A"/>
    <w:rsid w:val="000C66DB"/>
    <w:rsid w:val="000F311C"/>
    <w:rsid w:val="00115A82"/>
    <w:rsid w:val="00130393"/>
    <w:rsid w:val="00164689"/>
    <w:rsid w:val="00167B12"/>
    <w:rsid w:val="00172155"/>
    <w:rsid w:val="00177014"/>
    <w:rsid w:val="00183B47"/>
    <w:rsid w:val="001A05C4"/>
    <w:rsid w:val="001A1D3E"/>
    <w:rsid w:val="001B187A"/>
    <w:rsid w:val="001B7B91"/>
    <w:rsid w:val="001D7C9E"/>
    <w:rsid w:val="001E4B00"/>
    <w:rsid w:val="001F231A"/>
    <w:rsid w:val="00224B93"/>
    <w:rsid w:val="002264A5"/>
    <w:rsid w:val="002330FD"/>
    <w:rsid w:val="0025350E"/>
    <w:rsid w:val="00261CD0"/>
    <w:rsid w:val="00264CCA"/>
    <w:rsid w:val="00273B3D"/>
    <w:rsid w:val="002940C4"/>
    <w:rsid w:val="002C1123"/>
    <w:rsid w:val="002C37A5"/>
    <w:rsid w:val="002D3148"/>
    <w:rsid w:val="002E38CB"/>
    <w:rsid w:val="00302B23"/>
    <w:rsid w:val="003151E5"/>
    <w:rsid w:val="003165A0"/>
    <w:rsid w:val="00324097"/>
    <w:rsid w:val="00326C85"/>
    <w:rsid w:val="00326F21"/>
    <w:rsid w:val="00330987"/>
    <w:rsid w:val="00335B6B"/>
    <w:rsid w:val="00347424"/>
    <w:rsid w:val="00364B89"/>
    <w:rsid w:val="00373DCF"/>
    <w:rsid w:val="003C2EF3"/>
    <w:rsid w:val="003D06BC"/>
    <w:rsid w:val="003D4CB2"/>
    <w:rsid w:val="003E38F3"/>
    <w:rsid w:val="003F5126"/>
    <w:rsid w:val="00415EA0"/>
    <w:rsid w:val="00416382"/>
    <w:rsid w:val="00425665"/>
    <w:rsid w:val="00431EAD"/>
    <w:rsid w:val="00432EDD"/>
    <w:rsid w:val="00440C3D"/>
    <w:rsid w:val="0045018F"/>
    <w:rsid w:val="00457988"/>
    <w:rsid w:val="004912FB"/>
    <w:rsid w:val="00492521"/>
    <w:rsid w:val="004A240B"/>
    <w:rsid w:val="004A44C2"/>
    <w:rsid w:val="004D3B8C"/>
    <w:rsid w:val="004E127F"/>
    <w:rsid w:val="004E2EBB"/>
    <w:rsid w:val="004E2EE8"/>
    <w:rsid w:val="004F13DB"/>
    <w:rsid w:val="004F65F4"/>
    <w:rsid w:val="00501198"/>
    <w:rsid w:val="005074B0"/>
    <w:rsid w:val="00511E62"/>
    <w:rsid w:val="00514A19"/>
    <w:rsid w:val="00514BD2"/>
    <w:rsid w:val="00526C96"/>
    <w:rsid w:val="00542274"/>
    <w:rsid w:val="005470ED"/>
    <w:rsid w:val="00573487"/>
    <w:rsid w:val="005852A4"/>
    <w:rsid w:val="00597095"/>
    <w:rsid w:val="005A0449"/>
    <w:rsid w:val="005A5217"/>
    <w:rsid w:val="005C35B8"/>
    <w:rsid w:val="005C6CB7"/>
    <w:rsid w:val="005D1026"/>
    <w:rsid w:val="005F4880"/>
    <w:rsid w:val="006027B1"/>
    <w:rsid w:val="00603B93"/>
    <w:rsid w:val="006122D0"/>
    <w:rsid w:val="0063170A"/>
    <w:rsid w:val="00651690"/>
    <w:rsid w:val="00653F15"/>
    <w:rsid w:val="00665B0D"/>
    <w:rsid w:val="00666A31"/>
    <w:rsid w:val="006730FF"/>
    <w:rsid w:val="006767F2"/>
    <w:rsid w:val="00676DF7"/>
    <w:rsid w:val="006916EC"/>
    <w:rsid w:val="006B389D"/>
    <w:rsid w:val="006B3975"/>
    <w:rsid w:val="006C3AB6"/>
    <w:rsid w:val="006E4830"/>
    <w:rsid w:val="006F3FF7"/>
    <w:rsid w:val="007043AB"/>
    <w:rsid w:val="00704ED0"/>
    <w:rsid w:val="0071225B"/>
    <w:rsid w:val="00721596"/>
    <w:rsid w:val="0072573F"/>
    <w:rsid w:val="007367FC"/>
    <w:rsid w:val="00753A58"/>
    <w:rsid w:val="00753D74"/>
    <w:rsid w:val="007734B6"/>
    <w:rsid w:val="007A0E7E"/>
    <w:rsid w:val="007A3EE9"/>
    <w:rsid w:val="007B0AE1"/>
    <w:rsid w:val="007B7F11"/>
    <w:rsid w:val="007D66D5"/>
    <w:rsid w:val="007E3855"/>
    <w:rsid w:val="0080086D"/>
    <w:rsid w:val="00802D81"/>
    <w:rsid w:val="008105BE"/>
    <w:rsid w:val="008148F1"/>
    <w:rsid w:val="00835BB8"/>
    <w:rsid w:val="00860E5E"/>
    <w:rsid w:val="00861ADC"/>
    <w:rsid w:val="00861DA0"/>
    <w:rsid w:val="008659AC"/>
    <w:rsid w:val="00871C1B"/>
    <w:rsid w:val="00873091"/>
    <w:rsid w:val="00873805"/>
    <w:rsid w:val="00884458"/>
    <w:rsid w:val="00893210"/>
    <w:rsid w:val="00893C4A"/>
    <w:rsid w:val="0089409A"/>
    <w:rsid w:val="008C4E79"/>
    <w:rsid w:val="008D46DF"/>
    <w:rsid w:val="008F7086"/>
    <w:rsid w:val="0091748E"/>
    <w:rsid w:val="0092057B"/>
    <w:rsid w:val="00947FED"/>
    <w:rsid w:val="00953FD9"/>
    <w:rsid w:val="00954AFD"/>
    <w:rsid w:val="00954FE1"/>
    <w:rsid w:val="00984B26"/>
    <w:rsid w:val="00993FC2"/>
    <w:rsid w:val="009A07EB"/>
    <w:rsid w:val="009B23FF"/>
    <w:rsid w:val="009B6C06"/>
    <w:rsid w:val="009C1442"/>
    <w:rsid w:val="009D3CB7"/>
    <w:rsid w:val="009D7A86"/>
    <w:rsid w:val="009E56BD"/>
    <w:rsid w:val="009F5444"/>
    <w:rsid w:val="00A1193C"/>
    <w:rsid w:val="00A149C9"/>
    <w:rsid w:val="00A22991"/>
    <w:rsid w:val="00A27C42"/>
    <w:rsid w:val="00A57CE8"/>
    <w:rsid w:val="00A6125E"/>
    <w:rsid w:val="00A6384E"/>
    <w:rsid w:val="00A67013"/>
    <w:rsid w:val="00A71F86"/>
    <w:rsid w:val="00A95690"/>
    <w:rsid w:val="00AA04F2"/>
    <w:rsid w:val="00AB071E"/>
    <w:rsid w:val="00AC60EA"/>
    <w:rsid w:val="00AD4203"/>
    <w:rsid w:val="00AD4525"/>
    <w:rsid w:val="00AE3A2C"/>
    <w:rsid w:val="00AF3D77"/>
    <w:rsid w:val="00B002C2"/>
    <w:rsid w:val="00B205D1"/>
    <w:rsid w:val="00B309C3"/>
    <w:rsid w:val="00B31233"/>
    <w:rsid w:val="00B325C0"/>
    <w:rsid w:val="00B32D5E"/>
    <w:rsid w:val="00B339DB"/>
    <w:rsid w:val="00B76F83"/>
    <w:rsid w:val="00B81250"/>
    <w:rsid w:val="00B83584"/>
    <w:rsid w:val="00B84325"/>
    <w:rsid w:val="00B877F1"/>
    <w:rsid w:val="00BC4473"/>
    <w:rsid w:val="00BD3526"/>
    <w:rsid w:val="00BE73CE"/>
    <w:rsid w:val="00BF3AE9"/>
    <w:rsid w:val="00BF42D9"/>
    <w:rsid w:val="00C43849"/>
    <w:rsid w:val="00C53014"/>
    <w:rsid w:val="00C53E53"/>
    <w:rsid w:val="00C5550C"/>
    <w:rsid w:val="00C722B7"/>
    <w:rsid w:val="00C84417"/>
    <w:rsid w:val="00C846C9"/>
    <w:rsid w:val="00C85EC5"/>
    <w:rsid w:val="00C97726"/>
    <w:rsid w:val="00CB2920"/>
    <w:rsid w:val="00CD2B2C"/>
    <w:rsid w:val="00CD3622"/>
    <w:rsid w:val="00CE6E86"/>
    <w:rsid w:val="00CF2C04"/>
    <w:rsid w:val="00D06F72"/>
    <w:rsid w:val="00D115B4"/>
    <w:rsid w:val="00D15087"/>
    <w:rsid w:val="00D45489"/>
    <w:rsid w:val="00D50364"/>
    <w:rsid w:val="00D70F58"/>
    <w:rsid w:val="00D77853"/>
    <w:rsid w:val="00DA3FA7"/>
    <w:rsid w:val="00DC03B7"/>
    <w:rsid w:val="00DC0C4F"/>
    <w:rsid w:val="00DD0317"/>
    <w:rsid w:val="00DE327F"/>
    <w:rsid w:val="00E12E1E"/>
    <w:rsid w:val="00E1335D"/>
    <w:rsid w:val="00E138B3"/>
    <w:rsid w:val="00E313C9"/>
    <w:rsid w:val="00E34AC6"/>
    <w:rsid w:val="00E467D0"/>
    <w:rsid w:val="00E601CE"/>
    <w:rsid w:val="00E6112D"/>
    <w:rsid w:val="00E65F5D"/>
    <w:rsid w:val="00E80600"/>
    <w:rsid w:val="00E81BDE"/>
    <w:rsid w:val="00EA4675"/>
    <w:rsid w:val="00EA7FDB"/>
    <w:rsid w:val="00EB3978"/>
    <w:rsid w:val="00EC6D2B"/>
    <w:rsid w:val="00ED26C5"/>
    <w:rsid w:val="00ED55E7"/>
    <w:rsid w:val="00ED6AD0"/>
    <w:rsid w:val="00EF49BD"/>
    <w:rsid w:val="00EF6BC0"/>
    <w:rsid w:val="00F56593"/>
    <w:rsid w:val="00F7601B"/>
    <w:rsid w:val="00F777E3"/>
    <w:rsid w:val="00F84067"/>
    <w:rsid w:val="00F91D8E"/>
    <w:rsid w:val="00F928CD"/>
    <w:rsid w:val="00FB1013"/>
    <w:rsid w:val="00FB309B"/>
    <w:rsid w:val="00FB350F"/>
    <w:rsid w:val="00FB6FF9"/>
    <w:rsid w:val="00FC5E6B"/>
    <w:rsid w:val="00FC66CA"/>
    <w:rsid w:val="00FC724F"/>
    <w:rsid w:val="00FD1ECD"/>
    <w:rsid w:val="00FE359C"/>
    <w:rsid w:val="00FF106E"/>
    <w:rsid w:val="03569BB1"/>
    <w:rsid w:val="1E22E280"/>
    <w:rsid w:val="226DC786"/>
    <w:rsid w:val="6DF94BEA"/>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FDD5"/>
  <w15:chartTrackingRefBased/>
  <w15:docId w15:val="{EDE33E9F-7068-40CC-9D91-7BD6F996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7FC"/>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367FC"/>
    <w:pPr>
      <w:ind w:left="720"/>
      <w:contextualSpacing/>
    </w:pPr>
  </w:style>
  <w:style w:type="character" w:styleId="Hyperlink">
    <w:name w:val="Hyperlink"/>
    <w:basedOn w:val="DefaultParagraphFont"/>
    <w:uiPriority w:val="99"/>
    <w:unhideWhenUsed/>
    <w:rsid w:val="007367FC"/>
    <w:rPr>
      <w:color w:val="0563C1" w:themeColor="hyperlink"/>
      <w:u w:val="single"/>
    </w:rPr>
  </w:style>
  <w:style w:type="paragraph" w:styleId="FootnoteText">
    <w:name w:val="footnote text"/>
    <w:basedOn w:val="Normal"/>
    <w:link w:val="FootnoteTextChar"/>
    <w:uiPriority w:val="99"/>
    <w:semiHidden/>
    <w:unhideWhenUsed/>
    <w:rsid w:val="007367F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367FC"/>
    <w:rPr>
      <w:sz w:val="20"/>
      <w:szCs w:val="20"/>
    </w:rPr>
  </w:style>
  <w:style w:type="character" w:styleId="FootnoteReference">
    <w:name w:val="footnote reference"/>
    <w:basedOn w:val="DefaultParagraphFont"/>
    <w:uiPriority w:val="99"/>
    <w:semiHidden/>
    <w:unhideWhenUsed/>
    <w:rsid w:val="007367FC"/>
    <w:rPr>
      <w:vertAlign w:val="superscript"/>
    </w:rPr>
  </w:style>
  <w:style w:type="table" w:styleId="TableGrid">
    <w:name w:val="Table Grid"/>
    <w:basedOn w:val="TableNormal"/>
    <w:uiPriority w:val="39"/>
    <w:rsid w:val="0073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67FC"/>
    <w:rPr>
      <w:sz w:val="16"/>
      <w:szCs w:val="16"/>
    </w:rPr>
  </w:style>
  <w:style w:type="paragraph" w:styleId="CommentText">
    <w:name w:val="annotation text"/>
    <w:basedOn w:val="Normal"/>
    <w:link w:val="CommentTextChar"/>
    <w:uiPriority w:val="99"/>
    <w:semiHidden/>
    <w:unhideWhenUsed/>
    <w:rsid w:val="007367F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7367FC"/>
    <w:rPr>
      <w:sz w:val="20"/>
      <w:szCs w:val="20"/>
    </w:rPr>
  </w:style>
  <w:style w:type="paragraph" w:styleId="BalloonText">
    <w:name w:val="Balloon Text"/>
    <w:basedOn w:val="Normal"/>
    <w:link w:val="BalloonTextChar"/>
    <w:uiPriority w:val="99"/>
    <w:semiHidden/>
    <w:unhideWhenUsed/>
    <w:rsid w:val="00736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7FC"/>
    <w:rPr>
      <w:rFonts w:ascii="Segoe UI" w:hAnsi="Segoe UI" w:cs="Segoe UI"/>
      <w:sz w:val="18"/>
      <w:szCs w:val="18"/>
      <w:lang w:val="nl-NL"/>
    </w:rPr>
  </w:style>
  <w:style w:type="paragraph" w:styleId="Header">
    <w:name w:val="header"/>
    <w:basedOn w:val="Normal"/>
    <w:link w:val="HeaderChar"/>
    <w:uiPriority w:val="99"/>
    <w:semiHidden/>
    <w:unhideWhenUsed/>
    <w:rsid w:val="002C11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1123"/>
    <w:rPr>
      <w:lang w:val="nl-NL"/>
    </w:rPr>
  </w:style>
  <w:style w:type="paragraph" w:styleId="Footer">
    <w:name w:val="footer"/>
    <w:basedOn w:val="Normal"/>
    <w:link w:val="FooterChar"/>
    <w:uiPriority w:val="99"/>
    <w:semiHidden/>
    <w:unhideWhenUsed/>
    <w:rsid w:val="002C11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1123"/>
    <w:rPr>
      <w:lang w:val="nl-NL"/>
    </w:rPr>
  </w:style>
  <w:style w:type="paragraph" w:styleId="NoSpacing">
    <w:name w:val="No Spacing"/>
    <w:uiPriority w:val="1"/>
    <w:qFormat/>
    <w:rsid w:val="00EA4675"/>
    <w:pPr>
      <w:spacing w:after="0" w:line="240" w:lineRule="auto"/>
    </w:pPr>
    <w:rPr>
      <w:lang w:val="nl-NL"/>
    </w:rPr>
  </w:style>
  <w:style w:type="character" w:styleId="Emphasis">
    <w:name w:val="Emphasis"/>
    <w:basedOn w:val="DefaultParagraphFont"/>
    <w:uiPriority w:val="20"/>
    <w:qFormat/>
    <w:rsid w:val="00BF3AE9"/>
    <w:rPr>
      <w:i/>
      <w:iCs/>
    </w:rPr>
  </w:style>
  <w:style w:type="paragraph" w:styleId="PlainText">
    <w:name w:val="Plain Text"/>
    <w:basedOn w:val="Normal"/>
    <w:link w:val="PlainTextChar"/>
    <w:uiPriority w:val="99"/>
    <w:unhideWhenUsed/>
    <w:rsid w:val="00BF3AE9"/>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BF3AE9"/>
    <w:rPr>
      <w:rFonts w:ascii="Calibri" w:eastAsiaTheme="minorEastAsia" w:hAnsi="Calibri"/>
      <w:szCs w:val="21"/>
      <w:lang w:val="nl-NL" w:eastAsia="zh-CN"/>
    </w:rPr>
  </w:style>
  <w:style w:type="paragraph" w:styleId="CommentSubject">
    <w:name w:val="annotation subject"/>
    <w:basedOn w:val="CommentText"/>
    <w:next w:val="CommentText"/>
    <w:link w:val="CommentSubjectChar"/>
    <w:uiPriority w:val="99"/>
    <w:semiHidden/>
    <w:unhideWhenUsed/>
    <w:rsid w:val="00FB1013"/>
    <w:rPr>
      <w:b/>
      <w:bCs/>
      <w:lang w:val="nl-NL"/>
    </w:rPr>
  </w:style>
  <w:style w:type="character" w:customStyle="1" w:styleId="CommentSubjectChar">
    <w:name w:val="Comment Subject Char"/>
    <w:basedOn w:val="CommentTextChar"/>
    <w:link w:val="CommentSubject"/>
    <w:uiPriority w:val="99"/>
    <w:semiHidden/>
    <w:rsid w:val="00FB1013"/>
    <w:rPr>
      <w:b/>
      <w:bCs/>
      <w:sz w:val="20"/>
      <w:szCs w:val="20"/>
      <w:lang w:val="nl-NL"/>
    </w:rPr>
  </w:style>
  <w:style w:type="paragraph" w:styleId="Revision">
    <w:name w:val="Revision"/>
    <w:hidden/>
    <w:uiPriority w:val="99"/>
    <w:semiHidden/>
    <w:rsid w:val="009D7A86"/>
    <w:pPr>
      <w:spacing w:after="0" w:line="240" w:lineRule="auto"/>
    </w:pPr>
    <w:rPr>
      <w:lang w:val="nl-NL"/>
    </w:rPr>
  </w:style>
  <w:style w:type="character" w:customStyle="1" w:styleId="bumpedfont15">
    <w:name w:val="bumpedfont15"/>
    <w:basedOn w:val="DefaultParagraphFont"/>
    <w:rsid w:val="00871C1B"/>
  </w:style>
  <w:style w:type="character" w:customStyle="1" w:styleId="normaltextrun">
    <w:name w:val="normaltextrun"/>
    <w:basedOn w:val="DefaultParagraphFont"/>
    <w:rsid w:val="00C84417"/>
  </w:style>
  <w:style w:type="paragraph" w:customStyle="1" w:styleId="paragraph">
    <w:name w:val="paragraph"/>
    <w:basedOn w:val="Normal"/>
    <w:rsid w:val="00C8441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DefaultParagraphFont"/>
    <w:rsid w:val="00C84417"/>
  </w:style>
  <w:style w:type="character" w:styleId="Strong">
    <w:name w:val="Strong"/>
    <w:basedOn w:val="DefaultParagraphFont"/>
    <w:uiPriority w:val="22"/>
    <w:qFormat/>
    <w:rsid w:val="00861ADC"/>
    <w:rPr>
      <w:b/>
      <w:bCs/>
    </w:rPr>
  </w:style>
  <w:style w:type="paragraph" w:styleId="NormalWeb">
    <w:name w:val="Normal (Web)"/>
    <w:basedOn w:val="Normal"/>
    <w:uiPriority w:val="99"/>
    <w:semiHidden/>
    <w:unhideWhenUsed/>
    <w:rsid w:val="00861ADC"/>
    <w:pPr>
      <w:spacing w:after="150" w:line="240" w:lineRule="auto"/>
    </w:pPr>
    <w:rPr>
      <w:rFonts w:ascii="Times New Roman" w:eastAsia="Times New Roman" w:hAnsi="Times New Roman" w:cs="Times New Roman"/>
      <w:sz w:val="24"/>
      <w:szCs w:val="24"/>
      <w:lang w:eastAsia="nl-NL"/>
    </w:rPr>
  </w:style>
  <w:style w:type="paragraph" w:customStyle="1" w:styleId="tussenkop">
    <w:name w:val="tussenkop"/>
    <w:basedOn w:val="Normal"/>
    <w:rsid w:val="00861ADC"/>
    <w:pPr>
      <w:spacing w:after="150" w:line="240" w:lineRule="auto"/>
    </w:pPr>
    <w:rPr>
      <w:rFonts w:ascii="Times New Roman" w:eastAsia="Times New Roman" w:hAnsi="Times New Roman" w:cs="Times New Roman"/>
      <w:sz w:val="24"/>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9E56B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8885">
      <w:bodyDiv w:val="1"/>
      <w:marLeft w:val="0"/>
      <w:marRight w:val="0"/>
      <w:marTop w:val="0"/>
      <w:marBottom w:val="0"/>
      <w:divBdr>
        <w:top w:val="none" w:sz="0" w:space="0" w:color="auto"/>
        <w:left w:val="none" w:sz="0" w:space="0" w:color="auto"/>
        <w:bottom w:val="none" w:sz="0" w:space="0" w:color="auto"/>
        <w:right w:val="none" w:sz="0" w:space="0" w:color="auto"/>
      </w:divBdr>
    </w:div>
    <w:div w:id="302660338">
      <w:bodyDiv w:val="1"/>
      <w:marLeft w:val="0"/>
      <w:marRight w:val="0"/>
      <w:marTop w:val="0"/>
      <w:marBottom w:val="0"/>
      <w:divBdr>
        <w:top w:val="none" w:sz="0" w:space="0" w:color="auto"/>
        <w:left w:val="none" w:sz="0" w:space="0" w:color="auto"/>
        <w:bottom w:val="none" w:sz="0" w:space="0" w:color="auto"/>
        <w:right w:val="none" w:sz="0" w:space="0" w:color="auto"/>
      </w:divBdr>
    </w:div>
    <w:div w:id="359203396">
      <w:bodyDiv w:val="1"/>
      <w:marLeft w:val="0"/>
      <w:marRight w:val="0"/>
      <w:marTop w:val="0"/>
      <w:marBottom w:val="0"/>
      <w:divBdr>
        <w:top w:val="none" w:sz="0" w:space="0" w:color="auto"/>
        <w:left w:val="none" w:sz="0" w:space="0" w:color="auto"/>
        <w:bottom w:val="none" w:sz="0" w:space="0" w:color="auto"/>
        <w:right w:val="none" w:sz="0" w:space="0" w:color="auto"/>
      </w:divBdr>
    </w:div>
    <w:div w:id="561866920">
      <w:bodyDiv w:val="1"/>
      <w:marLeft w:val="0"/>
      <w:marRight w:val="0"/>
      <w:marTop w:val="0"/>
      <w:marBottom w:val="0"/>
      <w:divBdr>
        <w:top w:val="none" w:sz="0" w:space="0" w:color="auto"/>
        <w:left w:val="none" w:sz="0" w:space="0" w:color="auto"/>
        <w:bottom w:val="none" w:sz="0" w:space="0" w:color="auto"/>
        <w:right w:val="none" w:sz="0" w:space="0" w:color="auto"/>
      </w:divBdr>
      <w:divsChild>
        <w:div w:id="648873872">
          <w:marLeft w:val="0"/>
          <w:marRight w:val="0"/>
          <w:marTop w:val="0"/>
          <w:marBottom w:val="300"/>
          <w:divBdr>
            <w:top w:val="none" w:sz="0" w:space="0" w:color="auto"/>
            <w:left w:val="none" w:sz="0" w:space="0" w:color="auto"/>
            <w:bottom w:val="none" w:sz="0" w:space="0" w:color="auto"/>
            <w:right w:val="none" w:sz="0" w:space="0" w:color="auto"/>
          </w:divBdr>
          <w:divsChild>
            <w:div w:id="1934047457">
              <w:marLeft w:val="0"/>
              <w:marRight w:val="0"/>
              <w:marTop w:val="0"/>
              <w:marBottom w:val="0"/>
              <w:divBdr>
                <w:top w:val="none" w:sz="0" w:space="0" w:color="auto"/>
                <w:left w:val="none" w:sz="0" w:space="0" w:color="auto"/>
                <w:bottom w:val="none" w:sz="0" w:space="0" w:color="auto"/>
                <w:right w:val="none" w:sz="0" w:space="0" w:color="auto"/>
              </w:divBdr>
              <w:divsChild>
                <w:div w:id="2134785451">
                  <w:marLeft w:val="0"/>
                  <w:marRight w:val="0"/>
                  <w:marTop w:val="0"/>
                  <w:marBottom w:val="0"/>
                  <w:divBdr>
                    <w:top w:val="none" w:sz="0" w:space="0" w:color="auto"/>
                    <w:left w:val="none" w:sz="0" w:space="0" w:color="auto"/>
                    <w:bottom w:val="none" w:sz="0" w:space="0" w:color="auto"/>
                    <w:right w:val="none" w:sz="0" w:space="0" w:color="auto"/>
                  </w:divBdr>
                  <w:divsChild>
                    <w:div w:id="1962413314">
                      <w:marLeft w:val="0"/>
                      <w:marRight w:val="0"/>
                      <w:marTop w:val="0"/>
                      <w:marBottom w:val="0"/>
                      <w:divBdr>
                        <w:top w:val="none" w:sz="0" w:space="0" w:color="auto"/>
                        <w:left w:val="none" w:sz="0" w:space="0" w:color="auto"/>
                        <w:bottom w:val="none" w:sz="0" w:space="0" w:color="auto"/>
                        <w:right w:val="none" w:sz="0" w:space="0" w:color="auto"/>
                      </w:divBdr>
                      <w:divsChild>
                        <w:div w:id="1896815801">
                          <w:marLeft w:val="0"/>
                          <w:marRight w:val="0"/>
                          <w:marTop w:val="0"/>
                          <w:marBottom w:val="0"/>
                          <w:divBdr>
                            <w:top w:val="none" w:sz="0" w:space="0" w:color="auto"/>
                            <w:left w:val="none" w:sz="0" w:space="0" w:color="auto"/>
                            <w:bottom w:val="none" w:sz="0" w:space="0" w:color="auto"/>
                            <w:right w:val="none" w:sz="0" w:space="0" w:color="auto"/>
                          </w:divBdr>
                          <w:divsChild>
                            <w:div w:id="5028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724245">
      <w:bodyDiv w:val="1"/>
      <w:marLeft w:val="0"/>
      <w:marRight w:val="0"/>
      <w:marTop w:val="0"/>
      <w:marBottom w:val="0"/>
      <w:divBdr>
        <w:top w:val="none" w:sz="0" w:space="0" w:color="auto"/>
        <w:left w:val="none" w:sz="0" w:space="0" w:color="auto"/>
        <w:bottom w:val="none" w:sz="0" w:space="0" w:color="auto"/>
        <w:right w:val="none" w:sz="0" w:space="0" w:color="auto"/>
      </w:divBdr>
    </w:div>
    <w:div w:id="767190568">
      <w:bodyDiv w:val="1"/>
      <w:marLeft w:val="0"/>
      <w:marRight w:val="0"/>
      <w:marTop w:val="0"/>
      <w:marBottom w:val="0"/>
      <w:divBdr>
        <w:top w:val="none" w:sz="0" w:space="0" w:color="auto"/>
        <w:left w:val="none" w:sz="0" w:space="0" w:color="auto"/>
        <w:bottom w:val="none" w:sz="0" w:space="0" w:color="auto"/>
        <w:right w:val="none" w:sz="0" w:space="0" w:color="auto"/>
      </w:divBdr>
    </w:div>
    <w:div w:id="784084387">
      <w:bodyDiv w:val="1"/>
      <w:marLeft w:val="0"/>
      <w:marRight w:val="0"/>
      <w:marTop w:val="0"/>
      <w:marBottom w:val="0"/>
      <w:divBdr>
        <w:top w:val="none" w:sz="0" w:space="0" w:color="auto"/>
        <w:left w:val="none" w:sz="0" w:space="0" w:color="auto"/>
        <w:bottom w:val="none" w:sz="0" w:space="0" w:color="auto"/>
        <w:right w:val="none" w:sz="0" w:space="0" w:color="auto"/>
      </w:divBdr>
    </w:div>
    <w:div w:id="894320698">
      <w:bodyDiv w:val="1"/>
      <w:marLeft w:val="0"/>
      <w:marRight w:val="0"/>
      <w:marTop w:val="0"/>
      <w:marBottom w:val="0"/>
      <w:divBdr>
        <w:top w:val="none" w:sz="0" w:space="0" w:color="auto"/>
        <w:left w:val="none" w:sz="0" w:space="0" w:color="auto"/>
        <w:bottom w:val="none" w:sz="0" w:space="0" w:color="auto"/>
        <w:right w:val="none" w:sz="0" w:space="0" w:color="auto"/>
      </w:divBdr>
      <w:divsChild>
        <w:div w:id="1019160837">
          <w:marLeft w:val="0"/>
          <w:marRight w:val="0"/>
          <w:marTop w:val="0"/>
          <w:marBottom w:val="300"/>
          <w:divBdr>
            <w:top w:val="none" w:sz="0" w:space="0" w:color="auto"/>
            <w:left w:val="none" w:sz="0" w:space="0" w:color="auto"/>
            <w:bottom w:val="none" w:sz="0" w:space="0" w:color="auto"/>
            <w:right w:val="none" w:sz="0" w:space="0" w:color="auto"/>
          </w:divBdr>
          <w:divsChild>
            <w:div w:id="1724022491">
              <w:marLeft w:val="0"/>
              <w:marRight w:val="0"/>
              <w:marTop w:val="0"/>
              <w:marBottom w:val="0"/>
              <w:divBdr>
                <w:top w:val="none" w:sz="0" w:space="0" w:color="auto"/>
                <w:left w:val="none" w:sz="0" w:space="0" w:color="auto"/>
                <w:bottom w:val="none" w:sz="0" w:space="0" w:color="auto"/>
                <w:right w:val="none" w:sz="0" w:space="0" w:color="auto"/>
              </w:divBdr>
              <w:divsChild>
                <w:div w:id="443117502">
                  <w:marLeft w:val="0"/>
                  <w:marRight w:val="0"/>
                  <w:marTop w:val="0"/>
                  <w:marBottom w:val="0"/>
                  <w:divBdr>
                    <w:top w:val="none" w:sz="0" w:space="0" w:color="auto"/>
                    <w:left w:val="none" w:sz="0" w:space="0" w:color="auto"/>
                    <w:bottom w:val="none" w:sz="0" w:space="0" w:color="auto"/>
                    <w:right w:val="none" w:sz="0" w:space="0" w:color="auto"/>
                  </w:divBdr>
                  <w:divsChild>
                    <w:div w:id="1067802928">
                      <w:marLeft w:val="0"/>
                      <w:marRight w:val="0"/>
                      <w:marTop w:val="0"/>
                      <w:marBottom w:val="0"/>
                      <w:divBdr>
                        <w:top w:val="none" w:sz="0" w:space="0" w:color="auto"/>
                        <w:left w:val="none" w:sz="0" w:space="0" w:color="auto"/>
                        <w:bottom w:val="none" w:sz="0" w:space="0" w:color="auto"/>
                        <w:right w:val="none" w:sz="0" w:space="0" w:color="auto"/>
                      </w:divBdr>
                      <w:divsChild>
                        <w:div w:id="1588229106">
                          <w:marLeft w:val="0"/>
                          <w:marRight w:val="0"/>
                          <w:marTop w:val="0"/>
                          <w:marBottom w:val="0"/>
                          <w:divBdr>
                            <w:top w:val="none" w:sz="0" w:space="0" w:color="auto"/>
                            <w:left w:val="none" w:sz="0" w:space="0" w:color="auto"/>
                            <w:bottom w:val="none" w:sz="0" w:space="0" w:color="auto"/>
                            <w:right w:val="none" w:sz="0" w:space="0" w:color="auto"/>
                          </w:divBdr>
                          <w:divsChild>
                            <w:div w:id="10760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4574">
      <w:bodyDiv w:val="1"/>
      <w:marLeft w:val="0"/>
      <w:marRight w:val="0"/>
      <w:marTop w:val="0"/>
      <w:marBottom w:val="0"/>
      <w:divBdr>
        <w:top w:val="none" w:sz="0" w:space="0" w:color="auto"/>
        <w:left w:val="none" w:sz="0" w:space="0" w:color="auto"/>
        <w:bottom w:val="none" w:sz="0" w:space="0" w:color="auto"/>
        <w:right w:val="none" w:sz="0" w:space="0" w:color="auto"/>
      </w:divBdr>
    </w:div>
    <w:div w:id="1258126786">
      <w:bodyDiv w:val="1"/>
      <w:marLeft w:val="0"/>
      <w:marRight w:val="0"/>
      <w:marTop w:val="0"/>
      <w:marBottom w:val="0"/>
      <w:divBdr>
        <w:top w:val="none" w:sz="0" w:space="0" w:color="auto"/>
        <w:left w:val="none" w:sz="0" w:space="0" w:color="auto"/>
        <w:bottom w:val="none" w:sz="0" w:space="0" w:color="auto"/>
        <w:right w:val="none" w:sz="0" w:space="0" w:color="auto"/>
      </w:divBdr>
    </w:div>
    <w:div w:id="1384866865">
      <w:bodyDiv w:val="1"/>
      <w:marLeft w:val="0"/>
      <w:marRight w:val="0"/>
      <w:marTop w:val="0"/>
      <w:marBottom w:val="0"/>
      <w:divBdr>
        <w:top w:val="none" w:sz="0" w:space="0" w:color="auto"/>
        <w:left w:val="none" w:sz="0" w:space="0" w:color="auto"/>
        <w:bottom w:val="none" w:sz="0" w:space="0" w:color="auto"/>
        <w:right w:val="none" w:sz="0" w:space="0" w:color="auto"/>
      </w:divBdr>
    </w:div>
    <w:div w:id="1558009201">
      <w:bodyDiv w:val="1"/>
      <w:marLeft w:val="0"/>
      <w:marRight w:val="0"/>
      <w:marTop w:val="0"/>
      <w:marBottom w:val="0"/>
      <w:divBdr>
        <w:top w:val="none" w:sz="0" w:space="0" w:color="auto"/>
        <w:left w:val="none" w:sz="0" w:space="0" w:color="auto"/>
        <w:bottom w:val="none" w:sz="0" w:space="0" w:color="auto"/>
        <w:right w:val="none" w:sz="0" w:space="0" w:color="auto"/>
      </w:divBdr>
      <w:divsChild>
        <w:div w:id="869730841">
          <w:marLeft w:val="0"/>
          <w:marRight w:val="0"/>
          <w:marTop w:val="0"/>
          <w:marBottom w:val="300"/>
          <w:divBdr>
            <w:top w:val="none" w:sz="0" w:space="0" w:color="auto"/>
            <w:left w:val="none" w:sz="0" w:space="0" w:color="auto"/>
            <w:bottom w:val="none" w:sz="0" w:space="0" w:color="auto"/>
            <w:right w:val="none" w:sz="0" w:space="0" w:color="auto"/>
          </w:divBdr>
          <w:divsChild>
            <w:div w:id="1886529236">
              <w:marLeft w:val="0"/>
              <w:marRight w:val="0"/>
              <w:marTop w:val="0"/>
              <w:marBottom w:val="0"/>
              <w:divBdr>
                <w:top w:val="none" w:sz="0" w:space="0" w:color="auto"/>
                <w:left w:val="none" w:sz="0" w:space="0" w:color="auto"/>
                <w:bottom w:val="none" w:sz="0" w:space="0" w:color="auto"/>
                <w:right w:val="none" w:sz="0" w:space="0" w:color="auto"/>
              </w:divBdr>
              <w:divsChild>
                <w:div w:id="125322675">
                  <w:marLeft w:val="0"/>
                  <w:marRight w:val="0"/>
                  <w:marTop w:val="0"/>
                  <w:marBottom w:val="0"/>
                  <w:divBdr>
                    <w:top w:val="none" w:sz="0" w:space="0" w:color="auto"/>
                    <w:left w:val="none" w:sz="0" w:space="0" w:color="auto"/>
                    <w:bottom w:val="none" w:sz="0" w:space="0" w:color="auto"/>
                    <w:right w:val="none" w:sz="0" w:space="0" w:color="auto"/>
                  </w:divBdr>
                  <w:divsChild>
                    <w:div w:id="1475247486">
                      <w:marLeft w:val="0"/>
                      <w:marRight w:val="0"/>
                      <w:marTop w:val="0"/>
                      <w:marBottom w:val="0"/>
                      <w:divBdr>
                        <w:top w:val="none" w:sz="0" w:space="0" w:color="auto"/>
                        <w:left w:val="none" w:sz="0" w:space="0" w:color="auto"/>
                        <w:bottom w:val="none" w:sz="0" w:space="0" w:color="auto"/>
                        <w:right w:val="none" w:sz="0" w:space="0" w:color="auto"/>
                      </w:divBdr>
                      <w:divsChild>
                        <w:div w:id="1893957563">
                          <w:marLeft w:val="0"/>
                          <w:marRight w:val="0"/>
                          <w:marTop w:val="0"/>
                          <w:marBottom w:val="0"/>
                          <w:divBdr>
                            <w:top w:val="none" w:sz="0" w:space="0" w:color="auto"/>
                            <w:left w:val="none" w:sz="0" w:space="0" w:color="auto"/>
                            <w:bottom w:val="none" w:sz="0" w:space="0" w:color="auto"/>
                            <w:right w:val="none" w:sz="0" w:space="0" w:color="auto"/>
                          </w:divBdr>
                          <w:divsChild>
                            <w:div w:id="10842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189324">
      <w:bodyDiv w:val="1"/>
      <w:marLeft w:val="0"/>
      <w:marRight w:val="0"/>
      <w:marTop w:val="0"/>
      <w:marBottom w:val="0"/>
      <w:divBdr>
        <w:top w:val="none" w:sz="0" w:space="0" w:color="auto"/>
        <w:left w:val="none" w:sz="0" w:space="0" w:color="auto"/>
        <w:bottom w:val="none" w:sz="0" w:space="0" w:color="auto"/>
        <w:right w:val="none" w:sz="0" w:space="0" w:color="auto"/>
      </w:divBdr>
    </w:div>
    <w:div w:id="1716805508">
      <w:bodyDiv w:val="1"/>
      <w:marLeft w:val="0"/>
      <w:marRight w:val="0"/>
      <w:marTop w:val="0"/>
      <w:marBottom w:val="0"/>
      <w:divBdr>
        <w:top w:val="none" w:sz="0" w:space="0" w:color="auto"/>
        <w:left w:val="none" w:sz="0" w:space="0" w:color="auto"/>
        <w:bottom w:val="none" w:sz="0" w:space="0" w:color="auto"/>
        <w:right w:val="none" w:sz="0" w:space="0" w:color="auto"/>
      </w:divBdr>
    </w:div>
    <w:div w:id="1791705375">
      <w:bodyDiv w:val="1"/>
      <w:marLeft w:val="0"/>
      <w:marRight w:val="0"/>
      <w:marTop w:val="0"/>
      <w:marBottom w:val="0"/>
      <w:divBdr>
        <w:top w:val="none" w:sz="0" w:space="0" w:color="auto"/>
        <w:left w:val="none" w:sz="0" w:space="0" w:color="auto"/>
        <w:bottom w:val="none" w:sz="0" w:space="0" w:color="auto"/>
        <w:right w:val="none" w:sz="0" w:space="0" w:color="auto"/>
      </w:divBdr>
    </w:div>
    <w:div w:id="20706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c.europa.eu/transparency/regcomitology/index.cfm?do=search.documentdetail&amp;Dos_ID=18505&amp;ds_id=63880&amp;version=3&amp;page=1" TargetMode="External" Id="rId13" /><Relationship Type="http://schemas.openxmlformats.org/officeDocument/2006/relationships/styles" Target="styles.xml" Id="rId7" /><Relationship Type="http://schemas.openxmlformats.org/officeDocument/2006/relationships/hyperlink" Target="http://trade.ec.europa.eu/doclib/docs/2014/september/tradoc_152806.pdf"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madb.europa.eu/madb/fta_canada.htm" TargetMode="External"/><Relationship Id="rId2" Type="http://schemas.openxmlformats.org/officeDocument/2006/relationships/hyperlink" Target="https://trade.ec.europa.eu/doclib/docs/2018/september/tradoc_157417.pdf" TargetMode="External"/><Relationship Id="rId1" Type="http://schemas.openxmlformats.org/officeDocument/2006/relationships/hyperlink" Target="http://data.consilium.europa.eu/doc/document/ST-10973-2016-ADD-5/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247.plaza.buzaservices.nl/subject/CETA/Shared%20Documents/Forms/BZ%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A544EE1640238248AB8284EDFF837A41" ma:contentTypeVersion="3" ma:contentTypeDescription="Nieuw document" ma:contentTypeScope="" ma:versionID="3e5725dc7391f13ae23941526a6bbea7">
  <xsd:schema xmlns:xsd="http://www.w3.org/2001/XMLSchema" xmlns:xs="http://www.w3.org/2001/XMLSchema" xmlns:p="http://schemas.microsoft.com/office/2006/metadata/properties" xmlns:ns2="6c2abafd-4478-4de7-a7e9-00da469cc2a2" xmlns:ns3="a968f643-972d-4667-9c7d-fd76f2567ee3" targetNamespace="http://schemas.microsoft.com/office/2006/metadata/properties" ma:root="true" ma:fieldsID="531b9c5bacd89377b3acb79049a5e3c2" ns2:_="" ns3:_="">
    <xsd:import namespace="6c2abafd-4478-4de7-a7e9-00da469cc2a2"/>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2:OpgesteldDoor" minOccurs="0"/>
                <xsd:element ref="ns3:n7e1752c52f54c38a7d7dd6f35c9ddb2" minOccurs="0"/>
                <xsd:element ref="ns2:TaxCatchAll" minOccurs="0"/>
                <xsd:element ref="ns2:TaxCatchAllLabel" minOccurs="0"/>
                <xsd:element ref="ns3:ReferentieKamer" minOccurs="0"/>
                <xsd:element ref="ns3:OpgesteldDoorDisplay" minOccurs="0"/>
                <xsd:element ref="ns3:UiterlijkB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abafd-4478-4de7-a7e9-00da469cc2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pgesteldDoor" ma:index="11" nillable="true" ma:displayName="Opgesteld door" ma:list="{6a192928-11a9-43f4-84be-0733496310ea}" ma:SearchPeopleOnly="false" ma:SharePointGroup="0" ma:internalName="OpgesteldDoor" ma:showField="ImnName" ma:web="6c2abafd-4478-4de7-a7e9-00da469cc2a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3" nillable="true" ma:displayName="Taxonomy Catch All Column" ma:hidden="true" ma:list="{bebebf09-1d98-4208-bc6c-61b5c4ec952d}" ma:internalName="TaxCatchAll" ma:showField="CatchAllData" ma:web="6c2abafd-4478-4de7-a7e9-00da469cc2a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bebf09-1d98-4208-bc6c-61b5c4ec952d}" ma:internalName="TaxCatchAllLabel" ma:readOnly="true" ma:showField="CatchAllDataLabel" ma:web="6c2abafd-4478-4de7-a7e9-00da469cc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n7e1752c52f54c38a7d7dd6f35c9ddb2" ma:index="12"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ReferentieKamer" ma:index="16" nillable="true" ma:displayName="Referentie Kamer" ma:internalName="ReferentieKamer">
      <xsd:simpleType>
        <xsd:restriction base="dms:Text"/>
      </xsd:simpleType>
    </xsd:element>
    <xsd:element name="OpgesteldDoorDisplay" ma:index="17" nillable="true" ma:displayName="Opgesteld Door Display" ma:internalName="OpgesteldDoorDisplay">
      <xsd:simpleType>
        <xsd:restriction base="dms:Note"/>
      </xsd:simpleType>
    </xsd:element>
    <xsd:element name="UiterlijkBij" ma:index="18" nillable="true" ma:displayName="Uiterlijk Bij" ma:internalName="UiterlijkBij">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04F42659-402A-4491-BCAE-4E3D791A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abafd-4478-4de7-a7e9-00da469cc2a2"/>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16</ap:Pages>
  <ap:Words>7231</ap:Words>
  <ap:Characters>39772</ap:Characters>
  <ap:DocSecurity>0</ap:DocSecurity>
  <ap:Lines>331</ap:Lines>
  <ap:Paragraphs>93</ap:Paragraphs>
  <ap:ScaleCrop>false</ap:ScaleCrop>
  <ap:HeadingPairs>
    <vt:vector baseType="variant" size="2">
      <vt:variant>
        <vt:lpstr>Title</vt:lpstr>
      </vt:variant>
      <vt:variant>
        <vt:i4>1</vt:i4>
      </vt:variant>
    </vt:vector>
  </ap:HeadingPairs>
  <ap:TitlesOfParts>
    <vt:vector baseType="lpstr" size="1">
      <vt:lpstr>factsheet en aanvullenden vragen CETA</vt:lpstr>
    </vt:vector>
  </ap:TitlesOfParts>
  <ap:LinksUpToDate>false</ap:LinksUpToDate>
  <ap:CharactersWithSpaces>46910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2019-12-16T13:13:00.0000000Z</lastPrinted>
  <dcterms:created xsi:type="dcterms:W3CDTF">2019-12-20T18:56:00.0000000Z</dcterms:created>
  <dcterms:modified xsi:type="dcterms:W3CDTF">2019-12-20T18:56:00.0000000Z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0x01010084F0EE217FABAE41ADBC342E17C5B951</vt:lpwstr>
  </property>
  <property fmtid="{D5CDD505-2E9C-101B-9397-08002B2CF9AE}" pid="3" name="nf4434b3fae540fe847866e45672fb3a">
    <vt:lpwstr>Not applicable|ec01d90b-9d0f-4785-8785-e1ea615196bf</vt:lpwstr>
  </property>
  <property fmtid="{D5CDD505-2E9C-101B-9397-08002B2CF9AE}" pid="4" name="a45510494d1a450e9cee6905c7ad8168">
    <vt:lpwstr>The Netherlands|7f69a7bb-478c-499d-a6cf-5869916dfee4</vt:lpwstr>
  </property>
  <property fmtid="{D5CDD505-2E9C-101B-9397-08002B2CF9AE}" pid="5" name="ge4bd621e46a403e97baf402a410deb5">
    <vt:lpwstr>Not applicable|0049e722-bfb1-4a3f-9d08-af7366a9af40</vt:lpwstr>
  </property>
  <property fmtid="{D5CDD505-2E9C-101B-9397-08002B2CF9AE}" pid="6" name="BZ_Country">
    <vt:lpwstr>2;#The Netherlands|7f69a7bb-478c-499d-a6cf-5869916dfee4</vt:lpwstr>
  </property>
  <property fmtid="{D5CDD505-2E9C-101B-9397-08002B2CF9AE}" pid="7" name="BZ_Classification">
    <vt:lpwstr>4;#Unclassified|d92c6340-bc14-4cb2-a9a6-6deda93c493b</vt:lpwstr>
  </property>
  <property fmtid="{D5CDD505-2E9C-101B-9397-08002B2CF9AE}" pid="8" name="BZ_Forum">
    <vt:lpwstr>3;#Not applicable|0049e722-bfb1-4a3f-9d08-af7366a9af40</vt:lpwstr>
  </property>
  <property fmtid="{D5CDD505-2E9C-101B-9397-08002B2CF9AE}" pid="9" name="BZ_Theme">
    <vt:lpwstr>1;#Not applicable|ec01d90b-9d0f-4785-8785-e1ea615196bf</vt:lpwstr>
  </property>
  <property fmtid="{D5CDD505-2E9C-101B-9397-08002B2CF9AE}" pid="10" name="DepartementDirectie">
    <vt:lpwstr>8;#IMH|10314c8e-b2f5-45b9-b656-62f7107f055e</vt:lpwstr>
  </property>
  <property fmtid="{D5CDD505-2E9C-101B-9397-08002B2CF9AE}" pid="11" name="_dlc_DocIdItemGuid">
    <vt:lpwstr>970358cd-b907-4130-ba98-f0ebc20ce508</vt:lpwstr>
  </property>
  <property fmtid="{D5CDD505-2E9C-101B-9397-08002B2CF9AE}" pid="12" name="_docset_NoMedatataSyncRequired">
    <vt:lpwstr>False</vt:lpwstr>
  </property>
</Properties>
</file>