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41" w:rsidRDefault="00480F97">
      <w:pPr>
        <w:pStyle w:val="Pagedecouverture"/>
        <w:rPr>
          <w:noProof/>
        </w:rPr>
      </w:pPr>
      <w:bookmarkStart w:name="LW_BM_COVERPAGE" w:id="0"/>
      <w:bookmarkStart w:name="_GoBack" w:id="1"/>
      <w:bookmarkEnd w:id="1"/>
      <w:r>
        <w:rPr>
          <w:noProof/>
          <w:lang w:eastAsia="nl-NL"/>
        </w:rPr>
        <w:drawing>
          <wp:inline distT="0" distB="0" distL="0" distR="0">
            <wp:extent cx="5724525" cy="4991100"/>
            <wp:effectExtent l="0" t="0" r="0" b="0"/>
            <wp:docPr id="1" name="Afbeelding 1" descr="F4A3337B-B3DA-4B1B-9D09-CFD8B4F9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4A3337B-B3DA-4B1B-9D09-CFD8B4F915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75141" w:rsidRDefault="00875141">
      <w:pPr>
        <w:rPr>
          <w:noProof/>
        </w:rPr>
        <w:sectPr w:rsidR="008751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26"/>
        </w:sectPr>
      </w:pPr>
    </w:p>
    <w:p w:rsidR="00875141" w:rsidRDefault="00480F97">
      <w:pPr>
        <w:pStyle w:val="Text1"/>
        <w:spacing w:after="120"/>
        <w:jc w:val="center"/>
        <w:rPr>
          <w:b/>
          <w:noProof/>
          <w:szCs w:val="24"/>
        </w:rPr>
      </w:pPr>
      <w:r>
        <w:rPr>
          <w:b/>
          <w:noProof/>
        </w:rPr>
        <w:lastRenderedPageBreak/>
        <w:t>Bijlage bij de mededeling over de Europese Green Deal</w:t>
      </w:r>
    </w:p>
    <w:p w:rsidR="00875141" w:rsidRDefault="00480F97">
      <w:pPr>
        <w:pStyle w:val="Text1"/>
        <w:spacing w:after="120"/>
        <w:jc w:val="center"/>
        <w:rPr>
          <w:b/>
          <w:noProof/>
          <w:szCs w:val="24"/>
        </w:rPr>
      </w:pPr>
      <w:r>
        <w:rPr>
          <w:b/>
          <w:noProof/>
        </w:rPr>
        <w:t>Routekaart – Belangrijkste acties</w:t>
      </w:r>
    </w:p>
    <w:p w:rsidR="00875141" w:rsidRDefault="00875141">
      <w:pPr>
        <w:pStyle w:val="Text1"/>
        <w:spacing w:after="120"/>
        <w:jc w:val="center"/>
        <w:rPr>
          <w:b/>
          <w:noProof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63"/>
        <w:gridCol w:w="2125"/>
      </w:tblGrid>
      <w:tr w:rsidR="00875141">
        <w:trPr>
          <w:tblHeader/>
        </w:trPr>
        <w:tc>
          <w:tcPr>
            <w:tcW w:w="385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2D69B" w:themeFill="accent3" w:themeFillTint="99"/>
          </w:tcPr>
          <w:p w:rsidR="00875141" w:rsidRDefault="00480F97">
            <w:pPr>
              <w:pStyle w:val="Text1"/>
              <w:spacing w:after="120"/>
              <w:ind w:left="55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Acties</w:t>
            </w:r>
          </w:p>
        </w:tc>
        <w:tc>
          <w:tcPr>
            <w:tcW w:w="114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2D69B" w:themeFill="accent3" w:themeFillTint="99"/>
          </w:tcPr>
          <w:p w:rsidR="00875141" w:rsidRDefault="00480F97">
            <w:pPr>
              <w:pStyle w:val="Text1"/>
              <w:spacing w:after="120"/>
              <w:ind w:left="132"/>
              <w:jc w:val="center"/>
              <w:rPr>
                <w:noProof/>
                <w:szCs w:val="24"/>
              </w:rPr>
            </w:pPr>
            <w:r>
              <w:rPr>
                <w:b/>
                <w:noProof/>
              </w:rPr>
              <w:t>Indicatief tijdschema</w:t>
            </w:r>
            <w:r>
              <w:rPr>
                <w:rStyle w:val="Voetnootmarkering"/>
                <w:b/>
                <w:noProof/>
              </w:rPr>
              <w:footnoteReference w:id="1"/>
            </w:r>
          </w:p>
        </w:tc>
      </w:tr>
      <w:tr w:rsidR="00875141">
        <w:tc>
          <w:tcPr>
            <w:tcW w:w="3856" w:type="pct"/>
            <w:shd w:val="clear" w:color="auto" w:fill="EAF1DD" w:themeFill="accent3" w:themeFillTint="33"/>
            <w:vAlign w:val="bottom"/>
          </w:tcPr>
          <w:p w:rsidR="00875141" w:rsidRDefault="00480F97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b/>
                <w:noProof/>
              </w:rPr>
              <w:t>Klimaatambitie</w:t>
            </w:r>
          </w:p>
        </w:tc>
        <w:tc>
          <w:tcPr>
            <w:tcW w:w="1144" w:type="pct"/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rPr>
                <w:noProof/>
                <w:szCs w:val="24"/>
              </w:rPr>
            </w:pPr>
            <w:r>
              <w:rPr>
                <w:noProof/>
              </w:rPr>
              <w:t xml:space="preserve">Voorstel voor een Europese klimaatwet waarin de doelstelling wordt vastgelegd om in 2050 klimaatneutraliteit te bereiken </w:t>
            </w:r>
          </w:p>
        </w:tc>
        <w:tc>
          <w:tcPr>
            <w:tcW w:w="1144" w:type="pct"/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Maart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Breed plan om de EU-klimaatdoelstelling voor 2030 op verantwoorde wijze tot ten minste 50 %, en 55 % als streefdoel, te ve</w:t>
            </w:r>
            <w:r>
              <w:rPr>
                <w:noProof/>
              </w:rPr>
              <w:t>rhogen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Zomer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rPr>
                <w:noProof/>
                <w:szCs w:val="24"/>
              </w:rPr>
            </w:pPr>
            <w:r>
              <w:rPr>
                <w:noProof/>
              </w:rPr>
              <w:t xml:space="preserve">Voorstellen voor herzieningen van relevante wetgevingsmaatregelen om de hogere ambities inzake het klimaat waar te maken, na de herziening van de richtlijn betreffende het systeem voor de handel in emissierechten;  Verordening inzake de </w:t>
            </w:r>
            <w:r>
              <w:rPr>
                <w:noProof/>
              </w:rPr>
              <w:t>verdeling van de inspanningen; Verordening inzake landgebruik, verandering in landgebruik en bosbouw; Richtlijn energie-efficiëntie; Richtlijn hernieuwbare energie; CO</w:t>
            </w:r>
            <w:r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-emissienormen voor auto’s en bestelwagens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Juni 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Voorstel voor een herziening van d</w:t>
            </w:r>
            <w:r>
              <w:rPr>
                <w:noProof/>
              </w:rPr>
              <w:t>e energiebelastingrichtlijn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Juni 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55"/>
              <w:rPr>
                <w:noProof/>
                <w:szCs w:val="24"/>
              </w:rPr>
            </w:pPr>
            <w:r>
              <w:rPr>
                <w:noProof/>
              </w:rPr>
              <w:t xml:space="preserve">Voorstel voor een koolstofgrenscorrectiemechanisme voor specifieke sectoren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Een nieuwe EU-strategie voor aanpassing aan de klimaatverandering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tegen 2020-2021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Schone, betaalbare en veilige energie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Beoordeling van de definitieve nationale energie- en klimaatplannen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Juni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Strategie voor slimme sectorintegratie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Renovatiegolf-initiatief voor de bouwsector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Evaluatie en herziening van de verordening betreffende trans-Europese </w:t>
            </w:r>
            <w:r>
              <w:rPr>
                <w:noProof/>
              </w:rPr>
              <w:t>energienetwerken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Strategie voor offshore-windenergie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b/>
                <w:noProof/>
              </w:rPr>
              <w:t>Industriële strategie voor een schone en circulaire economie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Industriële strategie van de EU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Maart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Actieplan voor de circulaire economie, met een initiatief voor duurzame producten en</w:t>
            </w:r>
            <w:r>
              <w:rPr>
                <w:noProof/>
              </w:rPr>
              <w:t xml:space="preserve"> bijzondere aandacht voor hulpbronnenintensieve sectoren zoals de textiel-, bouw-, elektronica- en kunststoffensector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Maart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lastRenderedPageBreak/>
              <w:t xml:space="preserve">Initiatieven om leidende markten voor klimaatneutrale en circulaire producten te stimuleren in energie-intensieve industriesectoren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tabs>
                <w:tab w:val="left" w:pos="228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Voorstel tot ondersteuning van procedures voor koolstofvrije staalproductieprocessen tegen 2030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tabs>
                <w:tab w:val="left" w:pos="120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Wetgeving</w:t>
            </w:r>
            <w:r>
              <w:rPr>
                <w:noProof/>
              </w:rPr>
              <w:t xml:space="preserve"> inzake batterijen ter ondersteuning van het strategisch actieplan voor batterijen en de circulaire economie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Oktober 2020</w:t>
            </w:r>
          </w:p>
        </w:tc>
      </w:tr>
      <w:tr w:rsidR="00875141">
        <w:trPr>
          <w:trHeight w:val="57"/>
        </w:trPr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tabs>
                <w:tab w:val="left" w:pos="120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Voorstellen voor hervorming van afvalwetgeving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rPr>
          <w:trHeight w:val="13"/>
        </w:trPr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Duurzame en slimme mobiliteit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55"/>
              <w:jc w:val="center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Strategie voor duurzame en slimme </w:t>
            </w:r>
            <w:r>
              <w:rPr>
                <w:noProof/>
              </w:rPr>
              <w:t>mobiliteit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Oproep tot financiering voor het ondersteunen van de uitrol van openbare oplaad- en tankpunten als onderdeel van een infrastructuur voor alternatieve brandstoffen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Beoordeling van wetgevende opties om de productie en voorziening</w:t>
            </w:r>
            <w:r>
              <w:rPr>
                <w:noProof/>
              </w:rPr>
              <w:t xml:space="preserve"> van duurzame alternatieve brandstoffen voor de verschillende vervoerswijzen te stimuleren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120"/>
              <w:ind w:left="283" w:hanging="283"/>
              <w:rPr>
                <w:noProof/>
                <w:szCs w:val="24"/>
              </w:rPr>
            </w:pPr>
            <w:r>
              <w:rPr>
                <w:noProof/>
              </w:rPr>
              <w:t>Herzien voorstel voor een richtlijn inzake gecombineerd vervoer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 xml:space="preserve">Herziening van de richtlijn betreffende infrastructuur voor alternatieve </w:t>
            </w:r>
            <w:r>
              <w:rPr>
                <w:noProof/>
              </w:rPr>
              <w:t>brandstoffen en de verordening betreffende trans-Europese energienetwerken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Initiatieven om de capaciteit van de spoorwegen en de binnenwateren te vergroten en beter te beheren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Voorstel voor strengere normen voor de emissie van </w:t>
            </w:r>
            <w:r>
              <w:rPr>
                <w:rFonts w:ascii="Times New Roman" w:hAnsi="Times New Roman"/>
                <w:noProof/>
              </w:rPr>
              <w:t>luchtverontreinigende stoffen voor voertuigen met verbrandingsmotoren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Vergroening van het gemeenschappelijk landbouwbeleid/ “van boer tot bord”-strategie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Onderzoek van de ontwerpen van nationale strategische plannen, met aandacht voor de ambities </w:t>
            </w:r>
            <w:r>
              <w:rPr>
                <w:noProof/>
              </w:rPr>
              <w:t>van de Europese Green Deal en de “van boer tot bord”-strategie.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2020-2021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“Van boer tot bord”-strategie</w:t>
            </w:r>
          </w:p>
          <w:p w:rsidR="00875141" w:rsidRDefault="00480F97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Maatregelen, waaronder wetgeving, om het gebruik en het risico van chemische pesticiden alsook het gebruik van meststoffen en antibiotica  sterk te </w:t>
            </w:r>
            <w:r>
              <w:rPr>
                <w:noProof/>
              </w:rPr>
              <w:t>beperken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Voorjaar 2020</w:t>
            </w:r>
          </w:p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In stand houden en beschermen van biodiversiteit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EU-biodiversiteitsstrategie voor 2030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Maart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Maatregelen om de belangrijkste oorzaken van het verlies aan biodiversiteit aan te pakken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Nieuwe EU-bosstrategie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Maatregelen ter ondersteuning van ontbossingsvrije waardeketens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Streven vervuiling tot nul terug te brengen voor een gifvrij milieu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Strategie voor duurzaam gebruik van chemische stoffen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Zomer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Actieplan om de vervuiling van lucht,</w:t>
            </w:r>
            <w:r>
              <w:rPr>
                <w:noProof/>
              </w:rPr>
              <w:t xml:space="preserve"> water en bodem terug te brengen tot nul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>Herziening van maatregelen ter bestrijding van de vervuiling door grote industriële installaties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Duurzaamheid integreren in alle beleidsmaatregelen van de EU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Voorstel voor een mechanisme voor een </w:t>
            </w:r>
            <w:r>
              <w:rPr>
                <w:noProof/>
              </w:rPr>
              <w:t>rechtvaardige transitie, met inbegrip van een fonds voor een rechtvaardige transitie, en een  investeringsplan voor een duurzaam Europa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Januari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Vernieuwde strategie voor duurzame financiering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Najaar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Herziening van de richtlijn inzake de </w:t>
            </w:r>
            <w:r>
              <w:rPr>
                <w:noProof/>
              </w:rPr>
              <w:t>bekendmaking van niet-financiële informatie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>Initiatieven om groene begrotingspraktijken van de lidstaten en de EU door te lichten en te benchmarken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Herziening van de relevante richtsnoeren betreffende staatssteun, waaronder die op het geb</w:t>
            </w:r>
            <w:r>
              <w:rPr>
                <w:rFonts w:ascii="Times New Roman" w:hAnsi="Times New Roman"/>
                <w:noProof/>
              </w:rPr>
              <w:t xml:space="preserve">ied van milieu en energie 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>Alle nieuwe initiatieven van de Commissie afstemmen op de doelstellingen van de Green Deal en innovatie bevorderen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Belanghebbenden identificeren en verhelpen van inconsistenties in de bestaande wet- en regelgev</w:t>
            </w:r>
            <w:r>
              <w:rPr>
                <w:rFonts w:ascii="Times New Roman" w:hAnsi="Times New Roman"/>
                <w:noProof/>
              </w:rPr>
              <w:t xml:space="preserve">ing die de uitvoering van de Europese Green Deal minder doeltreffend maken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Integratie van de doelstellingen voor duurzame ontwikkeling in het Europees semester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De EU als wereldleider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252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 xml:space="preserve">De EU blijft het voortouw nemen bij de </w:t>
            </w:r>
            <w:r>
              <w:rPr>
                <w:noProof/>
              </w:rPr>
              <w:t>internationale onderhandelingen over klimaat en biodiversiteit en zorgt voor verdere versterking van het internationale beleidskader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2019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0"/>
              <w:rPr>
                <w:noProof/>
                <w:szCs w:val="24"/>
              </w:rPr>
            </w:pPr>
            <w:r>
              <w:rPr>
                <w:noProof/>
              </w:rPr>
              <w:t>Samen met de lidstaten een krachtigere “Green Deal”-diplomatie ontwikkelen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 xml:space="preserve">Bilaterale inspanningen om partners tot handelen aan te zetten en de vergelijkbaarheid van acties en beleid te waarborgen 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Lijstopsomteken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>Groene agenda voor de Westelijke Balkan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Vanaf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Samenwerken – een Europees klimaatpact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="00875141" w:rsidRDefault="00875141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Start van het Europees </w:t>
            </w:r>
            <w:r>
              <w:rPr>
                <w:noProof/>
              </w:rPr>
              <w:t>klimaatpact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Maart 2020</w:t>
            </w:r>
          </w:p>
        </w:tc>
      </w:tr>
      <w:tr w:rsidR="00875141">
        <w:tc>
          <w:tcPr>
            <w:tcW w:w="3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Voorstel voor een 8e milieuactieprogramma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75141" w:rsidRDefault="00480F97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</w:tbl>
    <w:p w:rsidR="00875141" w:rsidRDefault="00875141">
      <w:pPr>
        <w:spacing w:after="120" w:line="240" w:lineRule="auto"/>
        <w:rPr>
          <w:rFonts w:ascii="Times New Roman" w:hAnsi="Times New Roman" w:cs="Times New Roman"/>
          <w:noProof/>
          <w:sz w:val="16"/>
          <w:szCs w:val="24"/>
        </w:rPr>
      </w:pPr>
    </w:p>
    <w:sectPr w:rsidR="008751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7" w:bottom="1134" w:left="1417" w:header="709" w:footer="709" w:gutter="0"/>
      <w:pgNumType w:start="2"/>
      <w:cols w:space="720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41" w:rsidRDefault="00480F97">
      <w:pPr>
        <w:spacing w:after="0" w:line="240" w:lineRule="auto"/>
      </w:pPr>
      <w:r>
        <w:separator/>
      </w:r>
    </w:p>
  </w:endnote>
  <w:endnote w:type="continuationSeparator" w:id="0">
    <w:p w:rsidR="00875141" w:rsidRDefault="0048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480F97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NL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6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75141" w:rsidRDefault="00480F97">
        <w:pPr>
          <w:pStyle w:val="Voettekst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FooterCover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41" w:rsidRDefault="00480F97">
      <w:pPr>
        <w:spacing w:after="0" w:line="240" w:lineRule="auto"/>
      </w:pPr>
      <w:r>
        <w:separator/>
      </w:r>
    </w:p>
  </w:footnote>
  <w:footnote w:type="continuationSeparator" w:id="0">
    <w:p w:rsidR="00875141" w:rsidRDefault="00480F97">
      <w:pPr>
        <w:spacing w:after="0" w:line="240" w:lineRule="auto"/>
      </w:pPr>
      <w:r>
        <w:continuationSeparator/>
      </w:r>
    </w:p>
  </w:footnote>
  <w:footnote w:id="1">
    <w:p w:rsidR="00875141" w:rsidRDefault="00480F97">
      <w:pPr>
        <w:pStyle w:val="Voetnoottekst"/>
        <w:ind w:left="284" w:hanging="284"/>
        <w:rPr>
          <w:rFonts w:ascii="Times New Roman" w:hAnsi="Times New Roman" w:cs="Times New Roman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Times New Roman" w:hAnsi="Times New Roman"/>
        </w:rPr>
        <w:tab/>
        <w:t xml:space="preserve">Het werkprogramma van de Commissie voor 2020 zal meer duidelijkheid bieden over de timing van de belangrijke acties die zijn aangekondigd </w:t>
      </w:r>
      <w:r>
        <w:rPr>
          <w:rFonts w:ascii="Times New Roman" w:hAnsi="Times New Roman"/>
        </w:rPr>
        <w:t>voor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HeaderCoverPag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41" w:rsidRDefault="00875141">
    <w:pPr>
      <w:pStyle w:val="HeaderCover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00F7"/>
    <w:multiLevelType w:val="multilevel"/>
    <w:tmpl w:val="746AA9A8"/>
    <w:name w:val="ListDash4Numbering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  <w:lvl w:ilvl="1">
      <w:start w:val="1"/>
      <w:numFmt w:val="bullet"/>
      <w:pStyle w:val="ListDash4Level2"/>
      <w:lvlText w:val="–"/>
      <w:lvlJc w:val="left"/>
      <w:pPr>
        <w:tabs>
          <w:tab w:val="num" w:pos="1769"/>
        </w:tabs>
        <w:ind w:left="1769" w:hanging="284"/>
      </w:pPr>
      <w:rPr>
        <w:rFonts w:ascii="Times New Roman" w:hAnsi="Times New Roman"/>
      </w:rPr>
    </w:lvl>
    <w:lvl w:ilvl="2">
      <w:start w:val="1"/>
      <w:numFmt w:val="bullet"/>
      <w:pStyle w:val="ListDash4Level3"/>
      <w:lvlText w:val="–"/>
      <w:lvlJc w:val="left"/>
      <w:pPr>
        <w:tabs>
          <w:tab w:val="num" w:pos="2052"/>
        </w:tabs>
        <w:ind w:left="2052" w:hanging="283"/>
      </w:pPr>
      <w:rPr>
        <w:rFonts w:ascii="Times New Roman" w:hAnsi="Times New Roman"/>
      </w:rPr>
    </w:lvl>
    <w:lvl w:ilvl="3">
      <w:start w:val="1"/>
      <w:numFmt w:val="bullet"/>
      <w:pStyle w:val="ListDash4Level4"/>
      <w:lvlText w:val="–"/>
      <w:lvlJc w:val="left"/>
      <w:pPr>
        <w:tabs>
          <w:tab w:val="num" w:pos="2336"/>
        </w:tabs>
        <w:ind w:left="2336" w:hanging="284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18F4FB3"/>
    <w:multiLevelType w:val="multilevel"/>
    <w:tmpl w:val="974834F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28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31821268"/>
    <w:multiLevelType w:val="hybridMultilevel"/>
    <w:tmpl w:val="B450DC5C"/>
    <w:lvl w:ilvl="0" w:tplc="A6CEA97E">
      <w:numFmt w:val="bullet"/>
      <w:lvlText w:val="-"/>
      <w:lvlJc w:val="left"/>
      <w:pPr>
        <w:ind w:left="41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3" w15:restartNumberingAfterBreak="0">
    <w:nsid w:val="3A74450D"/>
    <w:multiLevelType w:val="hybridMultilevel"/>
    <w:tmpl w:val="8CF8A022"/>
    <w:lvl w:ilvl="0" w:tplc="A6CEA97E">
      <w:numFmt w:val="bullet"/>
      <w:lvlText w:val="-"/>
      <w:lvlJc w:val="left"/>
      <w:pPr>
        <w:ind w:left="4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982C"/>
    <w:multiLevelType w:val="multilevel"/>
    <w:tmpl w:val="F8F8C3D6"/>
    <w:name w:val="ListBulletNumbering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bij d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F4A3337B-B3DA-4B1B-9D09-CFD8B4F91541"/>
    <w:docVar w:name="LW_COVERPAGE_TYPE" w:val="1"/>
    <w:docVar w:name="LW_CROSSREFERENCE" w:val="&lt;UNUSED&gt;"/>
    <w:docVar w:name="LW_DocType" w:val="NORMAL"/>
    <w:docVar w:name="LW_EMISSION" w:val="11.12.2019"/>
    <w:docVar w:name="LW_EMISSION_ISODATE" w:val="2019-12-11"/>
    <w:docVar w:name="LW_EMISSION_LOCATION" w:val="BRX"/>
    <w:docVar w:name="LW_EMISSION_PREFIX" w:val="Brussel, "/>
    <w:docVar w:name="LW_EMISSION_SUFFIX" w:val=" "/>
    <w:docVar w:name="LW_ID_DOCTYPE_NONLW" w:val="CP-039"/>
    <w:docVar w:name="LW_LANGUE" w:val="NL"/>
    <w:docVar w:name="LW_LEVEL_OF_SENSITIVITY" w:val="Standard treatment"/>
    <w:docVar w:name="LW_NOM.INST" w:val="EUROPESE COMMISSIE"/>
    <w:docVar w:name="LW_NOM.INST_JOINTDOC" w:val="&lt;EMPTY&gt;"/>
    <w:docVar w:name="LW_OBJETACTEPRINCIPAL.CP" w:val="De Europese Green Deal"/>
    <w:docVar w:name="LW_PART_NBR" w:val="1"/>
    <w:docVar w:name="LW_PART_NBR_TOTAL" w:val="1"/>
    <w:docVar w:name="LW_REF.INST.NEW" w:val="COM"/>
    <w:docVar w:name="LW_REF.INST.NEW_ADOPTED" w:val="final"/>
    <w:docVar w:name="LW_REF.INST.NEW_TEXT" w:val="(2019) 64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BIJLAGE_x000b_"/>
    <w:docVar w:name="LW_TYPEACTEPRINCIPAL.CP" w:val="MEDEDELING VAN DE COMMISSIE AAN HET EUROPEES PARLEMENT, DE EUROPESE RAAD, DE RAAD, HET EUROPEES ECONOMISCH EN SOCIAAL COMITÉ EN HET COMITÉ VAN DE REGIO'S"/>
  </w:docVars>
  <w:rsids>
    <w:rsidRoot w:val="00875141"/>
    <w:rsid w:val="00480F97"/>
    <w:rsid w:val="008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260C8DA-C6CB-4BFC-8507-F7EECFC1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arker">
    <w:name w:val="Marker"/>
    <w:basedOn w:val="Standaardalinea-lettertype"/>
    <w:rPr>
      <w:color w:val="0000FF"/>
      <w:shd w:val="clear" w:color="auto" w:fill="auto"/>
    </w:rPr>
  </w:style>
  <w:style w:type="paragraph" w:customStyle="1" w:styleId="Pagedecouverture">
    <w:name w:val="Page de couverture"/>
    <w:basedOn w:val="Standaard"/>
    <w:next w:val="Standaard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Koptekst">
    <w:name w:val="header"/>
    <w:basedOn w:val="Standaard"/>
    <w:link w:val="Kopteks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customStyle="1" w:styleId="FooterCoverPage">
    <w:name w:val="Footer Cover Page"/>
    <w:basedOn w:val="Standaard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Standaardalinea-lettertype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Standaard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Standaardalinea-lettertype"/>
    <w:link w:val="HeaderCoverPage"/>
    <w:rPr>
      <w:rFonts w:ascii="Times New Roman" w:hAnsi="Times New Roman" w:cs="Times New Roman"/>
      <w:sz w:val="24"/>
    </w:rPr>
  </w:style>
  <w:style w:type="paragraph" w:customStyle="1" w:styleId="Text1">
    <w:name w:val="Text 1"/>
    <w:basedOn w:val="Standaard"/>
    <w:link w:val="Text1Char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1Char">
    <w:name w:val="Text 1 Char"/>
    <w:link w:val="Text1"/>
    <w:rPr>
      <w:rFonts w:ascii="Times New Roman" w:eastAsia="Times New Roman" w:hAnsi="Times New Roman" w:cs="Times New Roman"/>
      <w:sz w:val="24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styleId="Lijstopsomteken">
    <w:name w:val="List Bullet"/>
    <w:basedOn w:val="Standaard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BulletLevel2">
    <w:name w:val="List Bullet (Level 2)"/>
    <w:basedOn w:val="Text1"/>
    <w:pPr>
      <w:numPr>
        <w:ilvl w:val="1"/>
        <w:numId w:val="2"/>
      </w:numPr>
    </w:pPr>
    <w:rPr>
      <w:lang w:eastAsia="en-GB"/>
    </w:rPr>
  </w:style>
  <w:style w:type="paragraph" w:customStyle="1" w:styleId="ListBulletLevel3">
    <w:name w:val="List Bullet (Level 3)"/>
    <w:basedOn w:val="Text1"/>
    <w:semiHidden/>
    <w:unhideWhenUsed/>
    <w:pPr>
      <w:numPr>
        <w:ilvl w:val="2"/>
        <w:numId w:val="2"/>
      </w:numPr>
    </w:pPr>
    <w:rPr>
      <w:lang w:eastAsia="en-GB"/>
    </w:rPr>
  </w:style>
  <w:style w:type="paragraph" w:customStyle="1" w:styleId="ListBulletLevel4">
    <w:name w:val="List Bullet (Level 4)"/>
    <w:basedOn w:val="Text1"/>
    <w:semiHidden/>
    <w:unhideWhenUsed/>
    <w:pPr>
      <w:numPr>
        <w:ilvl w:val="3"/>
        <w:numId w:val="2"/>
      </w:numPr>
    </w:pPr>
    <w:rPr>
      <w:lang w:eastAsia="en-GB"/>
    </w:rPr>
  </w:style>
  <w:style w:type="paragraph" w:customStyle="1" w:styleId="HistoryTable">
    <w:name w:val="HistoryTable"/>
    <w:basedOn w:val="Standaard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ListDash4">
    <w:name w:val="List Dash 4"/>
    <w:basedOn w:val="Standaard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2">
    <w:name w:val="List Dash 4 (Level 2)"/>
    <w:basedOn w:val="Standaard"/>
    <w:pPr>
      <w:numPr>
        <w:ilvl w:val="1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3">
    <w:name w:val="List Dash 4 (Level 3)"/>
    <w:basedOn w:val="Standaard"/>
    <w:semiHidden/>
    <w:unhideWhenUsed/>
    <w:pPr>
      <w:numPr>
        <w:ilvl w:val="2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4">
    <w:name w:val="List Dash 4 (Level 4)"/>
    <w:basedOn w:val="Standaard"/>
    <w:semiHidden/>
    <w:unhideWhenUsed/>
    <w:pPr>
      <w:numPr>
        <w:ilvl w:val="3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customStyle="1" w:styleId="FooterSensitivity">
    <w:name w:val="Footer Sensitivity"/>
    <w:basedOn w:val="Standaard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Text1Char"/>
    <w:link w:val="FooterSensitivity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erSensitivity">
    <w:name w:val="Header Sensitivity"/>
    <w:basedOn w:val="Standaard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Text1Char"/>
    <w:link w:val="HeaderSensitivity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erSensitivityRight">
    <w:name w:val="Header Sensitivity Right"/>
    <w:basedOn w:val="Standaard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Text1Char"/>
    <w:link w:val="HeaderSensitivityRight"/>
    <w:rPr>
      <w:rFonts w:ascii="Times New Roman" w:eastAsia="Times New Roman" w:hAnsi="Times New Roman" w:cs="Times New Roman"/>
      <w:sz w:val="28"/>
      <w:szCs w:val="20"/>
    </w:rPr>
  </w:style>
  <w:style w:type="paragraph" w:customStyle="1" w:styleId="Typedudocument">
    <w:name w:val="Type du document"/>
    <w:basedOn w:val="Standaard"/>
    <w:next w:val="Standaard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Accompagnant">
    <w:name w:val="Accompagnant"/>
    <w:basedOn w:val="Standaard"/>
    <w:next w:val="Standaard"/>
    <w:pPr>
      <w:spacing w:after="240" w:line="240" w:lineRule="auto"/>
      <w:jc w:val="center"/>
    </w:pPr>
    <w:rPr>
      <w:rFonts w:ascii="Times New Roman" w:hAnsi="Times New Roman" w:cs="Times New Roman"/>
      <w:b/>
      <w:i/>
      <w:sz w:val="24"/>
    </w:rPr>
  </w:style>
  <w:style w:type="paragraph" w:customStyle="1" w:styleId="Typeacteprincipal">
    <w:name w:val="Type acte principal"/>
    <w:basedOn w:val="Standaard"/>
    <w:next w:val="Standaard"/>
    <w:pPr>
      <w:spacing w:after="24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Objetacteprincipal">
    <w:name w:val="Objet acte principal"/>
    <w:basedOn w:val="Standaard"/>
    <w:next w:val="Standaard"/>
    <w:pPr>
      <w:spacing w:after="360" w:line="240" w:lineRule="auto"/>
      <w:jc w:val="center"/>
    </w:pPr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openxmlformats.org/officeDocument/2006/relationships/footer" Target="footer6.xml" Id="rId20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903</ap:Words>
  <ap:Characters>4970</ap:Characters>
  <ap:DocSecurity>4</ap:DocSecurity>
  <ap:Lines>41</ap:Lines>
  <ap:Paragraphs>11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2019-12-06T17:24:00.0000000Z</lastPrinted>
  <dcterms:created xsi:type="dcterms:W3CDTF">2019-12-18T11:49:00.0000000Z</dcterms:created>
  <dcterms:modified xsi:type="dcterms:W3CDTF">2019-12-18T11:49:00.0000000Z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_NewReviewCycle">
    <vt:lpwstr/>
  </property>
  <property fmtid="{D5CDD505-2E9C-101B-9397-08002B2CF9AE}" pid="8" name="Level of sensitivity">
    <vt:lpwstr>Standard treatment</vt:lpwstr>
  </property>
  <property fmtid="{D5CDD505-2E9C-101B-9397-08002B2CF9AE}" pid="9" name="Last edited using">
    <vt:lpwstr>LW 7.0.1, Build 20190916</vt:lpwstr>
  </property>
  <property fmtid="{D5CDD505-2E9C-101B-9397-08002B2CF9AE}" pid="10" name="Unique annex">
    <vt:lpwstr>1</vt:lpwstr>
  </property>
  <property fmtid="{D5CDD505-2E9C-101B-9397-08002B2CF9AE}" pid="11" name="CPTemplateID">
    <vt:lpwstr>CP-039</vt:lpwstr>
  </property>
  <property fmtid="{D5CDD505-2E9C-101B-9397-08002B2CF9AE}" pid="12" name="ContentTypeId">
    <vt:lpwstr>0x0101002D3F48139AF68C46BFBDFE4621C7B1C1</vt:lpwstr>
  </property>
</Properties>
</file>