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A70FF" w:rsidR="008A70FF" w:rsidP="000D0DF5" w:rsidRDefault="008A70FF">
            <w:pPr>
              <w:tabs>
                <w:tab w:val="left" w:pos="-1440"/>
                <w:tab w:val="left" w:pos="-720"/>
              </w:tabs>
              <w:suppressAutoHyphens/>
              <w:rPr>
                <w:rFonts w:ascii="Times New Roman" w:hAnsi="Times New Roman"/>
              </w:rPr>
            </w:pPr>
            <w:r w:rsidRPr="008A70FF">
              <w:rPr>
                <w:rFonts w:ascii="Times New Roman" w:hAnsi="Times New Roman"/>
              </w:rPr>
              <w:t>De Tweede Kamer der Staten-</w:t>
            </w:r>
            <w:r w:rsidRPr="008A70FF">
              <w:rPr>
                <w:rFonts w:ascii="Times New Roman" w:hAnsi="Times New Roman"/>
              </w:rPr>
              <w:fldChar w:fldCharType="begin"/>
            </w:r>
            <w:r w:rsidRPr="008A70FF">
              <w:rPr>
                <w:rFonts w:ascii="Times New Roman" w:hAnsi="Times New Roman"/>
              </w:rPr>
              <w:instrText xml:space="preserve">PRIVATE </w:instrText>
            </w:r>
            <w:r w:rsidRPr="008A70FF">
              <w:rPr>
                <w:rFonts w:ascii="Times New Roman" w:hAnsi="Times New Roman"/>
              </w:rPr>
              <w:fldChar w:fldCharType="end"/>
            </w:r>
          </w:p>
          <w:p w:rsidRPr="008A70FF" w:rsidR="008A70FF" w:rsidP="000D0DF5" w:rsidRDefault="008A70FF">
            <w:pPr>
              <w:tabs>
                <w:tab w:val="left" w:pos="-1440"/>
                <w:tab w:val="left" w:pos="-720"/>
              </w:tabs>
              <w:suppressAutoHyphens/>
              <w:rPr>
                <w:rFonts w:ascii="Times New Roman" w:hAnsi="Times New Roman"/>
              </w:rPr>
            </w:pPr>
            <w:r w:rsidRPr="008A70FF">
              <w:rPr>
                <w:rFonts w:ascii="Times New Roman" w:hAnsi="Times New Roman"/>
              </w:rPr>
              <w:t>Generaal zendt bijgaand door</w:t>
            </w:r>
          </w:p>
          <w:p w:rsidRPr="008A70FF" w:rsidR="008A70FF" w:rsidP="000D0DF5" w:rsidRDefault="008A70FF">
            <w:pPr>
              <w:tabs>
                <w:tab w:val="left" w:pos="-1440"/>
                <w:tab w:val="left" w:pos="-720"/>
              </w:tabs>
              <w:suppressAutoHyphens/>
              <w:rPr>
                <w:rFonts w:ascii="Times New Roman" w:hAnsi="Times New Roman"/>
              </w:rPr>
            </w:pPr>
            <w:r w:rsidRPr="008A70FF">
              <w:rPr>
                <w:rFonts w:ascii="Times New Roman" w:hAnsi="Times New Roman"/>
              </w:rPr>
              <w:t>haar aangenomen wetsvoorstel</w:t>
            </w:r>
          </w:p>
          <w:p w:rsidRPr="008A70FF" w:rsidR="008A70FF" w:rsidP="000D0DF5" w:rsidRDefault="008A70FF">
            <w:pPr>
              <w:tabs>
                <w:tab w:val="left" w:pos="-1440"/>
                <w:tab w:val="left" w:pos="-720"/>
              </w:tabs>
              <w:suppressAutoHyphens/>
              <w:rPr>
                <w:rFonts w:ascii="Times New Roman" w:hAnsi="Times New Roman"/>
              </w:rPr>
            </w:pPr>
            <w:r w:rsidRPr="008A70FF">
              <w:rPr>
                <w:rFonts w:ascii="Times New Roman" w:hAnsi="Times New Roman"/>
              </w:rPr>
              <w:t>aan de Eerste Kamer.</w:t>
            </w: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r w:rsidRPr="008A70FF">
              <w:rPr>
                <w:rFonts w:ascii="Times New Roman" w:hAnsi="Times New Roman"/>
              </w:rPr>
              <w:t>De Voorzitter,</w:t>
            </w: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tabs>
                <w:tab w:val="left" w:pos="-1440"/>
                <w:tab w:val="left" w:pos="-720"/>
              </w:tabs>
              <w:suppressAutoHyphens/>
              <w:rPr>
                <w:rFonts w:ascii="Times New Roman" w:hAnsi="Times New Roman"/>
              </w:rPr>
            </w:pPr>
          </w:p>
          <w:p w:rsidRPr="008A70FF" w:rsidR="008A70FF" w:rsidP="000D0DF5" w:rsidRDefault="008A70FF">
            <w:pPr>
              <w:rPr>
                <w:rFonts w:ascii="Times New Roman" w:hAnsi="Times New Roman"/>
              </w:rPr>
            </w:pPr>
          </w:p>
          <w:p w:rsidRPr="008A70FF" w:rsidR="00CB3578" w:rsidP="008A70FF" w:rsidRDefault="008A70FF">
            <w:pPr>
              <w:pStyle w:val="Amendement"/>
              <w:rPr>
                <w:rFonts w:ascii="Times New Roman" w:hAnsi="Times New Roman" w:cs="Times New Roman"/>
                <w:b w:val="0"/>
              </w:rPr>
            </w:pPr>
            <w:r w:rsidRPr="008A70FF">
              <w:rPr>
                <w:rFonts w:ascii="Times New Roman" w:hAnsi="Times New Roman" w:cs="Times New Roman"/>
                <w:b w:val="0"/>
                <w:sz w:val="20"/>
              </w:rPr>
              <w:t>3 december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A70FF" w:rsidTr="00E7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716DC" w:rsidR="008A70FF" w:rsidP="000D5BC4" w:rsidRDefault="008A70FF">
            <w:pPr>
              <w:rPr>
                <w:rFonts w:ascii="Times New Roman" w:hAnsi="Times New Roman"/>
                <w:b/>
                <w:sz w:val="24"/>
              </w:rPr>
            </w:pPr>
            <w:r w:rsidRPr="00D716DC">
              <w:rPr>
                <w:rFonts w:ascii="Times New Roman" w:hAnsi="Times New Roman"/>
                <w:b/>
                <w:sz w:val="24"/>
              </w:rPr>
              <w:t>Wijziging van de begrotingsstaten van het Ministerie van Landbouw, Natuur en Voedselkwaliteit (XIV) voor het jaar 2019 (Incidentele suppletoire begroting inzake Urgenda)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A70FF" w:rsidTr="005A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A70FF" w:rsidRDefault="008A70F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E5556" w:rsidR="00CB3578" w:rsidRDefault="00CB3578">
            <w:pPr>
              <w:pStyle w:val="Amendement"/>
              <w:rPr>
                <w:rFonts w:ascii="Times New Roman" w:hAnsi="Times New Roman" w:cs="Times New Roman"/>
                <w:b w:val="0"/>
              </w:rPr>
            </w:pPr>
          </w:p>
        </w:tc>
      </w:tr>
      <w:tr w:rsidRPr="002168F4" w:rsidR="00F4677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F4677B" w:rsidP="00D55648" w:rsidRDefault="00F4677B">
            <w:pPr>
              <w:pStyle w:val="Amendement"/>
              <w:rPr>
                <w:rFonts w:ascii="Times New Roman" w:hAnsi="Times New Roman" w:cs="Times New Roman"/>
              </w:rPr>
            </w:pPr>
          </w:p>
        </w:tc>
        <w:tc>
          <w:tcPr>
            <w:tcW w:w="6590" w:type="dxa"/>
            <w:tcBorders>
              <w:top w:val="nil"/>
              <w:left w:val="nil"/>
              <w:bottom w:val="nil"/>
              <w:right w:val="nil"/>
            </w:tcBorders>
          </w:tcPr>
          <w:p w:rsidRPr="006E5556" w:rsidR="00F4677B" w:rsidRDefault="00F4677B">
            <w:pPr>
              <w:pStyle w:val="Amendement"/>
              <w:rPr>
                <w:rFonts w:ascii="Times New Roman" w:hAnsi="Times New Roman" w:cs="Times New Roman"/>
                <w:b w:val="0"/>
              </w:rPr>
            </w:pPr>
          </w:p>
        </w:tc>
      </w:tr>
    </w:tbl>
    <w:p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Wij Willem-Alexander, bij de gratie Gods, Koning der Nederlanden, Prins van Oranje-Nassau, enz. enz. enz.</w:t>
      </w: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Allen, die deze zullen zien of horen lezen, saluut! doen te weten:</w:t>
      </w: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Alzo Wij in overweging genomen hebben, dat de noodzaak is gebleken van een wijziging van de departementale begrotingsstaat van het Ministerie van Landbouw, Natuur en Voedselkwaliteit (XIV), (van de begrotingsstaat inzake het agentschap van dit ministerie en van de begrotingsstaat van het Diergezondheidsfonds)  voor het jaar 2019;</w:t>
      </w:r>
    </w:p>
    <w:p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Zo is het, dat Wij met gemeen overleg der Staten-Generaal, hebben goedgevonden en verstaan, gelijk Wij g</w:t>
      </w:r>
      <w:r w:rsidR="0003404F">
        <w:rPr>
          <w:rFonts w:ascii="Times New Roman" w:hAnsi="Times New Roman"/>
          <w:sz w:val="24"/>
          <w:szCs w:val="20"/>
        </w:rPr>
        <w:t>oedvinden en verstaan bij deze:</w:t>
      </w: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p>
    <w:p w:rsidR="00D716DC" w:rsidP="00D716DC" w:rsidRDefault="00D716DC">
      <w:pPr>
        <w:tabs>
          <w:tab w:val="left" w:pos="284"/>
          <w:tab w:val="left" w:pos="567"/>
          <w:tab w:val="left" w:pos="851"/>
          <w:tab w:val="left" w:pos="9070"/>
        </w:tabs>
        <w:ind w:right="-2"/>
        <w:rPr>
          <w:rFonts w:ascii="Times New Roman" w:hAnsi="Times New Roman"/>
          <w:b/>
          <w:sz w:val="24"/>
          <w:szCs w:val="20"/>
        </w:rPr>
      </w:pPr>
      <w:r w:rsidRPr="00D716DC">
        <w:rPr>
          <w:rFonts w:ascii="Times New Roman" w:hAnsi="Times New Roman"/>
          <w:b/>
          <w:sz w:val="24"/>
          <w:szCs w:val="20"/>
        </w:rPr>
        <w:t>Artikel 1</w:t>
      </w:r>
    </w:p>
    <w:p w:rsidRPr="00D716DC" w:rsidR="00D716DC" w:rsidP="00D716DC" w:rsidRDefault="00D716DC">
      <w:pPr>
        <w:tabs>
          <w:tab w:val="left" w:pos="284"/>
          <w:tab w:val="left" w:pos="567"/>
          <w:tab w:val="left" w:pos="851"/>
          <w:tab w:val="left" w:pos="9070"/>
        </w:tabs>
        <w:ind w:right="-2"/>
        <w:rPr>
          <w:rFonts w:ascii="Times New Roman" w:hAnsi="Times New Roman"/>
          <w:b/>
          <w:sz w:val="24"/>
          <w:szCs w:val="20"/>
        </w:rPr>
      </w:pPr>
    </w:p>
    <w:p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De departementale begrotingsstaat voor het jaar 2019 wordt gewijzigd, zoals blijkt uit de desbetreffend</w:t>
      </w:r>
      <w:r w:rsidR="0003404F">
        <w:rPr>
          <w:rFonts w:ascii="Times New Roman" w:hAnsi="Times New Roman"/>
          <w:sz w:val="24"/>
          <w:szCs w:val="20"/>
        </w:rPr>
        <w:t>e bij deze wet behorende staat.</w:t>
      </w: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b/>
          <w:sz w:val="24"/>
          <w:szCs w:val="20"/>
        </w:rPr>
      </w:pPr>
      <w:r w:rsidRPr="00D716DC">
        <w:rPr>
          <w:rFonts w:ascii="Times New Roman" w:hAnsi="Times New Roman"/>
          <w:b/>
          <w:sz w:val="24"/>
          <w:szCs w:val="20"/>
        </w:rPr>
        <w:t>Artikel 2</w:t>
      </w: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De vaststelling van de begrotingsstaat</w:t>
      </w:r>
      <w:r w:rsidR="0003404F">
        <w:rPr>
          <w:rFonts w:ascii="Times New Roman" w:hAnsi="Times New Roman"/>
          <w:sz w:val="24"/>
          <w:szCs w:val="20"/>
        </w:rPr>
        <w:t xml:space="preserve"> geschiedt in duizenden euro’s.</w:t>
      </w: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b/>
          <w:sz w:val="24"/>
          <w:szCs w:val="20"/>
        </w:rPr>
      </w:pPr>
      <w:r w:rsidRPr="00D716DC">
        <w:rPr>
          <w:rFonts w:ascii="Times New Roman" w:hAnsi="Times New Roman"/>
          <w:b/>
          <w:sz w:val="24"/>
          <w:szCs w:val="20"/>
        </w:rPr>
        <w:t>Artikel 3</w:t>
      </w: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Deze wet treedt in werking met ingang van 1 juli van het onderhavige begrotingsjaar. Indien het Staatsblad waarin deze wet wordt geplaatst, wordt uitgegeven op of na de datum van 1 juli, dan treedt zij inwerking met ingang van de dag na de datum van uitgifte van dat Staatsblad en werkt zij terug tot en met 1 juli van het onderhavige begrotingsjaar.</w:t>
      </w: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D716D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Pr="00D716DC" w:rsidR="00D716DC" w:rsidP="00D716DC" w:rsidRDefault="00D716DC">
      <w:pPr>
        <w:tabs>
          <w:tab w:val="left" w:pos="284"/>
          <w:tab w:val="left" w:pos="567"/>
          <w:tab w:val="left" w:pos="851"/>
          <w:tab w:val="left" w:pos="9070"/>
        </w:tabs>
        <w:ind w:right="-2"/>
        <w:rPr>
          <w:rFonts w:ascii="Times New Roman" w:hAnsi="Times New Roman"/>
          <w:sz w:val="24"/>
          <w:szCs w:val="20"/>
        </w:rPr>
      </w:pPr>
      <w:r w:rsidRPr="00D716DC">
        <w:rPr>
          <w:rFonts w:ascii="Times New Roman" w:hAnsi="Times New Roman"/>
          <w:sz w:val="24"/>
          <w:szCs w:val="20"/>
        </w:rPr>
        <w:t>Gegeven</w:t>
      </w: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00D716DC" w:rsidP="00D716DC" w:rsidRDefault="00D716DC">
      <w:pPr>
        <w:tabs>
          <w:tab w:val="left" w:pos="284"/>
          <w:tab w:val="left" w:pos="567"/>
          <w:tab w:val="left" w:pos="851"/>
          <w:tab w:val="left" w:pos="9070"/>
        </w:tabs>
        <w:ind w:right="-2"/>
        <w:rPr>
          <w:rFonts w:ascii="Times New Roman" w:hAnsi="Times New Roman"/>
          <w:sz w:val="24"/>
          <w:szCs w:val="20"/>
        </w:rPr>
      </w:pPr>
    </w:p>
    <w:p w:rsidR="0003404F" w:rsidP="00D716DC" w:rsidRDefault="0003404F">
      <w:pPr>
        <w:tabs>
          <w:tab w:val="left" w:pos="284"/>
          <w:tab w:val="left" w:pos="567"/>
          <w:tab w:val="left" w:pos="851"/>
          <w:tab w:val="left" w:pos="9070"/>
        </w:tabs>
        <w:ind w:right="-2"/>
        <w:rPr>
          <w:rFonts w:ascii="Times New Roman" w:hAnsi="Times New Roman"/>
          <w:sz w:val="24"/>
          <w:szCs w:val="20"/>
        </w:rPr>
      </w:pPr>
    </w:p>
    <w:p w:rsidR="0003404F" w:rsidP="00D716DC" w:rsidRDefault="0003404F">
      <w:pPr>
        <w:tabs>
          <w:tab w:val="left" w:pos="284"/>
          <w:tab w:val="left" w:pos="567"/>
          <w:tab w:val="left" w:pos="851"/>
          <w:tab w:val="left" w:pos="9070"/>
        </w:tabs>
        <w:ind w:right="-2"/>
        <w:rPr>
          <w:rFonts w:ascii="Times New Roman" w:hAnsi="Times New Roman"/>
          <w:sz w:val="24"/>
          <w:szCs w:val="20"/>
        </w:rPr>
      </w:pPr>
    </w:p>
    <w:p w:rsidR="0003404F" w:rsidP="00D716DC" w:rsidRDefault="0003404F">
      <w:pPr>
        <w:tabs>
          <w:tab w:val="left" w:pos="284"/>
          <w:tab w:val="left" w:pos="567"/>
          <w:tab w:val="left" w:pos="851"/>
          <w:tab w:val="left" w:pos="9070"/>
        </w:tabs>
        <w:ind w:right="-2"/>
        <w:rPr>
          <w:rFonts w:ascii="Times New Roman" w:hAnsi="Times New Roman"/>
          <w:sz w:val="24"/>
          <w:szCs w:val="20"/>
        </w:rPr>
      </w:pPr>
    </w:p>
    <w:p w:rsidR="0003404F" w:rsidP="00D716DC" w:rsidRDefault="0003404F">
      <w:pPr>
        <w:tabs>
          <w:tab w:val="left" w:pos="284"/>
          <w:tab w:val="left" w:pos="567"/>
          <w:tab w:val="left" w:pos="851"/>
          <w:tab w:val="left" w:pos="9070"/>
        </w:tabs>
        <w:ind w:right="-2"/>
        <w:rPr>
          <w:rFonts w:ascii="Times New Roman" w:hAnsi="Times New Roman"/>
          <w:sz w:val="24"/>
          <w:szCs w:val="20"/>
        </w:rPr>
      </w:pPr>
    </w:p>
    <w:p w:rsidR="00CB3578" w:rsidP="00D716DC" w:rsidRDefault="00D716DC">
      <w:pPr>
        <w:tabs>
          <w:tab w:val="left" w:pos="284"/>
          <w:tab w:val="left" w:pos="567"/>
          <w:tab w:val="left" w:pos="851"/>
          <w:tab w:val="left" w:pos="9070"/>
        </w:tabs>
        <w:ind w:right="-2"/>
        <w:rPr>
          <w:rFonts w:ascii="Times New Roman" w:hAnsi="Times New Roman"/>
          <w:sz w:val="24"/>
          <w:szCs w:val="20"/>
        </w:rPr>
      </w:pPr>
      <w:r w:rsidRPr="00D716DC">
        <w:rPr>
          <w:rFonts w:ascii="Times New Roman" w:hAnsi="Times New Roman"/>
          <w:sz w:val="24"/>
          <w:szCs w:val="20"/>
        </w:rPr>
        <w:t xml:space="preserve">De </w:t>
      </w:r>
      <w:r w:rsidR="0003404F">
        <w:rPr>
          <w:rFonts w:ascii="Times New Roman" w:hAnsi="Times New Roman"/>
          <w:sz w:val="24"/>
          <w:szCs w:val="20"/>
        </w:rPr>
        <w:t>M</w:t>
      </w:r>
      <w:r w:rsidRPr="00D716DC">
        <w:rPr>
          <w:rFonts w:ascii="Times New Roman" w:hAnsi="Times New Roman"/>
          <w:sz w:val="24"/>
          <w:szCs w:val="20"/>
        </w:rPr>
        <w:t>inister van Landbouw, Natuur en Voedselkwaliteit</w:t>
      </w:r>
      <w:r w:rsidR="0003404F">
        <w:rPr>
          <w:rFonts w:ascii="Times New Roman" w:hAnsi="Times New Roman"/>
          <w:sz w:val="24"/>
          <w:szCs w:val="20"/>
        </w:rPr>
        <w:t>,</w:t>
      </w: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p>
    <w:p w:rsidR="008A70FF" w:rsidP="008A70FF" w:rsidRDefault="008A70FF">
      <w:pPr>
        <w:tabs>
          <w:tab w:val="left" w:pos="284"/>
          <w:tab w:val="left" w:pos="567"/>
          <w:tab w:val="left" w:pos="851"/>
          <w:tab w:val="left" w:pos="9070"/>
        </w:tabs>
        <w:ind w:right="-2"/>
        <w:rPr>
          <w:rFonts w:ascii="Times New Roman" w:hAnsi="Times New Roman"/>
          <w:sz w:val="24"/>
          <w:szCs w:val="20"/>
        </w:rPr>
      </w:pPr>
      <w:bookmarkStart w:name="_GoBack" w:id="0"/>
      <w:bookmarkEnd w:id="0"/>
      <w:r w:rsidRPr="00D716DC">
        <w:rPr>
          <w:rFonts w:ascii="Times New Roman" w:hAnsi="Times New Roman"/>
          <w:sz w:val="24"/>
          <w:szCs w:val="20"/>
        </w:rPr>
        <w:t xml:space="preserve">De </w:t>
      </w:r>
      <w:r>
        <w:rPr>
          <w:rFonts w:ascii="Times New Roman" w:hAnsi="Times New Roman"/>
          <w:sz w:val="24"/>
          <w:szCs w:val="20"/>
        </w:rPr>
        <w:t>M</w:t>
      </w:r>
      <w:r w:rsidRPr="00D716DC">
        <w:rPr>
          <w:rFonts w:ascii="Times New Roman" w:hAnsi="Times New Roman"/>
          <w:sz w:val="24"/>
          <w:szCs w:val="20"/>
        </w:rPr>
        <w:t>inister van Landbouw, Natuur en Voedselkwaliteit</w:t>
      </w:r>
      <w:r>
        <w:rPr>
          <w:rFonts w:ascii="Times New Roman" w:hAnsi="Times New Roman"/>
          <w:sz w:val="24"/>
          <w:szCs w:val="20"/>
        </w:rPr>
        <w:t>,</w:t>
      </w:r>
    </w:p>
    <w:p w:rsidR="00D716DC" w:rsidP="00D716DC" w:rsidRDefault="00D716DC">
      <w:pPr>
        <w:tabs>
          <w:tab w:val="left" w:pos="284"/>
          <w:tab w:val="left" w:pos="567"/>
          <w:tab w:val="left" w:pos="851"/>
          <w:tab w:val="left" w:pos="9070"/>
        </w:tabs>
        <w:ind w:right="-2"/>
        <w:rPr>
          <w:rFonts w:ascii="Times New Roman" w:hAnsi="Times New Roman"/>
          <w:sz w:val="24"/>
          <w:szCs w:val="20"/>
        </w:rPr>
        <w:sectPr w:rsidR="00D716DC" w:rsidSect="00A11E73">
          <w:footerReference w:type="even" r:id="rId6"/>
          <w:footerReference w:type="default" r:id="rId7"/>
          <w:pgSz w:w="11906" w:h="16838"/>
          <w:pgMar w:top="1418" w:right="1418" w:bottom="1418" w:left="1418" w:header="357" w:footer="1440" w:gutter="0"/>
          <w:pgNumType w:start="1"/>
          <w:cols w:space="708"/>
          <w:noEndnote/>
        </w:sectPr>
      </w:pPr>
    </w:p>
    <w:p w:rsidRPr="00D716DC" w:rsidR="00D716DC" w:rsidP="00D716DC" w:rsidRDefault="00D716DC">
      <w:pPr>
        <w:tabs>
          <w:tab w:val="left" w:pos="284"/>
          <w:tab w:val="left" w:pos="567"/>
          <w:tab w:val="left" w:pos="851"/>
          <w:tab w:val="left" w:pos="9070"/>
        </w:tabs>
        <w:ind w:right="-2"/>
        <w:rPr>
          <w:rFonts w:ascii="Times New Roman" w:hAnsi="Times New Roman"/>
          <w:b/>
          <w:sz w:val="24"/>
          <w:szCs w:val="20"/>
        </w:rPr>
      </w:pPr>
      <w:r w:rsidRPr="00D716DC">
        <w:rPr>
          <w:rFonts w:ascii="Times New Roman" w:hAnsi="Times New Roman"/>
          <w:b/>
          <w:sz w:val="24"/>
          <w:szCs w:val="20"/>
        </w:rPr>
        <w:lastRenderedPageBreak/>
        <w:t>Wijziging begrotingsstaat van het Ministerie van Landbouw, Natuur en Voedselkwaliteit (XIV) voor het jaar 2019</w:t>
      </w:r>
    </w:p>
    <w:p w:rsidR="00D716DC" w:rsidP="00D716DC" w:rsidRDefault="00D716DC">
      <w:pPr>
        <w:tabs>
          <w:tab w:val="left" w:pos="284"/>
          <w:tab w:val="left" w:pos="567"/>
          <w:tab w:val="left" w:pos="851"/>
          <w:tab w:val="left" w:pos="9070"/>
        </w:tabs>
        <w:ind w:right="-2"/>
        <w:rPr>
          <w:rFonts w:ascii="Times New Roman" w:hAnsi="Times New Roman"/>
          <w:b/>
          <w:sz w:val="24"/>
          <w:szCs w:val="20"/>
        </w:rPr>
      </w:pPr>
      <w:r w:rsidRPr="00D716DC">
        <w:rPr>
          <w:rFonts w:ascii="Times New Roman" w:hAnsi="Times New Roman"/>
          <w:b/>
          <w:sz w:val="24"/>
          <w:szCs w:val="20"/>
        </w:rPr>
        <w:t>(Incidentele suppletoire begroting inzake Urgenda) (Bedragen x € 1.000)</w:t>
      </w:r>
    </w:p>
    <w:p w:rsidR="00D716DC" w:rsidP="00D716DC" w:rsidRDefault="00D716DC">
      <w:pPr>
        <w:tabs>
          <w:tab w:val="left" w:pos="284"/>
          <w:tab w:val="left" w:pos="567"/>
          <w:tab w:val="left" w:pos="851"/>
          <w:tab w:val="left" w:pos="9070"/>
        </w:tabs>
        <w:ind w:right="-2"/>
        <w:rPr>
          <w:rFonts w:ascii="Times New Roman" w:hAnsi="Times New Roman"/>
          <w:b/>
          <w:sz w:val="24"/>
          <w:szCs w:val="20"/>
        </w:rPr>
      </w:pPr>
    </w:p>
    <w:tbl>
      <w:tblPr>
        <w:tblW w:w="13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815"/>
        <w:gridCol w:w="1819"/>
        <w:gridCol w:w="1440"/>
        <w:gridCol w:w="973"/>
        <w:gridCol w:w="1336"/>
        <w:gridCol w:w="1440"/>
        <w:gridCol w:w="973"/>
        <w:gridCol w:w="1336"/>
        <w:gridCol w:w="1434"/>
        <w:gridCol w:w="1132"/>
        <w:gridCol w:w="1294"/>
      </w:tblGrid>
      <w:tr w:rsidRPr="002C0BA1" w:rsidR="00D716DC" w:rsidTr="005C49EB">
        <w:trPr>
          <w:trHeight w:val="600"/>
        </w:trPr>
        <w:tc>
          <w:tcPr>
            <w:tcW w:w="812" w:type="dxa"/>
            <w:shd w:val="clear" w:color="auto" w:fill="auto"/>
            <w:hideMark/>
          </w:tcPr>
          <w:p w:rsidRPr="00326192" w:rsidR="00D716DC" w:rsidP="005C49EB" w:rsidRDefault="00D716DC">
            <w:pPr>
              <w:jc w:val="center"/>
              <w:rPr>
                <w:rFonts w:cs="Calibri"/>
                <w:b/>
                <w:bCs/>
                <w:color w:val="000000"/>
                <w:sz w:val="18"/>
                <w:szCs w:val="18"/>
              </w:rPr>
            </w:pPr>
            <w:r w:rsidRPr="00326192">
              <w:rPr>
                <w:rFonts w:cs="Calibri"/>
                <w:b/>
                <w:bCs/>
                <w:color w:val="000000"/>
                <w:sz w:val="18"/>
                <w:szCs w:val="18"/>
              </w:rPr>
              <w:t xml:space="preserve">Artikel </w:t>
            </w:r>
          </w:p>
        </w:tc>
        <w:tc>
          <w:tcPr>
            <w:tcW w:w="1851" w:type="dxa"/>
            <w:shd w:val="clear" w:color="auto" w:fill="auto"/>
            <w:hideMark/>
          </w:tcPr>
          <w:p w:rsidRPr="00326192" w:rsidR="00D716DC" w:rsidP="005C49EB" w:rsidRDefault="00D716DC">
            <w:pPr>
              <w:jc w:val="center"/>
              <w:rPr>
                <w:rFonts w:cs="Calibri"/>
                <w:b/>
                <w:bCs/>
                <w:color w:val="000000"/>
                <w:sz w:val="18"/>
                <w:szCs w:val="18"/>
              </w:rPr>
            </w:pPr>
            <w:r w:rsidRPr="00326192">
              <w:rPr>
                <w:rFonts w:cs="Calibri"/>
                <w:b/>
                <w:bCs/>
                <w:color w:val="000000"/>
                <w:sz w:val="18"/>
                <w:szCs w:val="18"/>
              </w:rPr>
              <w:t>Omschrijving</w:t>
            </w:r>
          </w:p>
        </w:tc>
        <w:tc>
          <w:tcPr>
            <w:tcW w:w="3752" w:type="dxa"/>
            <w:gridSpan w:val="3"/>
            <w:shd w:val="clear" w:color="auto" w:fill="auto"/>
            <w:hideMark/>
          </w:tcPr>
          <w:p w:rsidRPr="00326192" w:rsidR="00D716DC" w:rsidP="005C49EB" w:rsidRDefault="00D716DC">
            <w:pPr>
              <w:jc w:val="center"/>
              <w:rPr>
                <w:rFonts w:cs="Calibri"/>
                <w:b/>
                <w:bCs/>
                <w:color w:val="000000"/>
                <w:sz w:val="18"/>
                <w:szCs w:val="18"/>
              </w:rPr>
            </w:pPr>
            <w:r w:rsidRPr="00326192">
              <w:rPr>
                <w:rFonts w:cs="Calibri"/>
                <w:b/>
                <w:bCs/>
                <w:color w:val="000000"/>
                <w:sz w:val="18"/>
                <w:szCs w:val="18"/>
              </w:rPr>
              <w:t>Vastgestelde begroting</w:t>
            </w:r>
          </w:p>
        </w:tc>
        <w:tc>
          <w:tcPr>
            <w:tcW w:w="3752" w:type="dxa"/>
            <w:gridSpan w:val="3"/>
            <w:shd w:val="clear" w:color="auto" w:fill="auto"/>
            <w:hideMark/>
          </w:tcPr>
          <w:p w:rsidRPr="00326192" w:rsidR="00D716DC" w:rsidP="005C49EB" w:rsidRDefault="00D716DC">
            <w:pPr>
              <w:jc w:val="center"/>
              <w:rPr>
                <w:rFonts w:cs="Calibri"/>
                <w:b/>
                <w:bCs/>
                <w:color w:val="000000"/>
                <w:sz w:val="18"/>
                <w:szCs w:val="18"/>
              </w:rPr>
            </w:pPr>
            <w:r w:rsidRPr="00326192">
              <w:rPr>
                <w:rFonts w:cs="Calibri"/>
                <w:b/>
                <w:bCs/>
                <w:color w:val="000000"/>
                <w:sz w:val="18"/>
                <w:szCs w:val="18"/>
              </w:rPr>
              <w:t>Mutaties 1</w:t>
            </w:r>
            <w:r w:rsidRPr="00326192">
              <w:rPr>
                <w:rFonts w:cs="Calibri"/>
                <w:b/>
                <w:bCs/>
                <w:color w:val="000000"/>
                <w:sz w:val="18"/>
                <w:szCs w:val="18"/>
                <w:vertAlign w:val="superscript"/>
              </w:rPr>
              <w:t>e</w:t>
            </w:r>
            <w:r w:rsidRPr="00326192">
              <w:rPr>
                <w:rFonts w:cs="Calibri"/>
                <w:b/>
                <w:bCs/>
                <w:color w:val="000000"/>
                <w:sz w:val="18"/>
                <w:szCs w:val="18"/>
              </w:rPr>
              <w:t xml:space="preserve"> suppletoire begroting</w:t>
            </w:r>
          </w:p>
        </w:tc>
        <w:tc>
          <w:tcPr>
            <w:tcW w:w="3825" w:type="dxa"/>
            <w:gridSpan w:val="3"/>
          </w:tcPr>
          <w:p w:rsidRPr="00326192" w:rsidR="00D716DC" w:rsidP="005C49EB" w:rsidRDefault="00D716DC">
            <w:pPr>
              <w:jc w:val="center"/>
              <w:rPr>
                <w:rFonts w:cs="Calibri"/>
                <w:b/>
                <w:bCs/>
                <w:color w:val="000000"/>
                <w:sz w:val="18"/>
                <w:szCs w:val="18"/>
              </w:rPr>
            </w:pPr>
            <w:r w:rsidRPr="00326192">
              <w:rPr>
                <w:rFonts w:cs="Calibri"/>
                <w:b/>
                <w:bCs/>
                <w:color w:val="000000"/>
                <w:sz w:val="18"/>
                <w:szCs w:val="18"/>
              </w:rPr>
              <w:t>Mutaties incidentele suppletoire begroting</w:t>
            </w:r>
          </w:p>
        </w:tc>
      </w:tr>
      <w:tr w:rsidRPr="002C0BA1" w:rsidR="00D716DC" w:rsidTr="005C49EB">
        <w:trPr>
          <w:trHeight w:val="600"/>
        </w:trPr>
        <w:tc>
          <w:tcPr>
            <w:tcW w:w="812" w:type="dxa"/>
            <w:shd w:val="clear" w:color="auto" w:fill="auto"/>
            <w:vAlign w:val="center"/>
            <w:hideMark/>
          </w:tcPr>
          <w:p w:rsidRPr="00326192" w:rsidR="00D716DC" w:rsidP="005C49EB" w:rsidRDefault="00D716DC">
            <w:pPr>
              <w:jc w:val="center"/>
              <w:rPr>
                <w:rFonts w:cs="Calibri"/>
                <w:b/>
                <w:bCs/>
                <w:color w:val="000000"/>
                <w:sz w:val="18"/>
                <w:szCs w:val="18"/>
              </w:rPr>
            </w:pPr>
          </w:p>
        </w:tc>
        <w:tc>
          <w:tcPr>
            <w:tcW w:w="1851" w:type="dxa"/>
            <w:shd w:val="clear" w:color="auto" w:fill="auto"/>
            <w:vAlign w:val="center"/>
            <w:hideMark/>
          </w:tcPr>
          <w:p w:rsidRPr="00326192" w:rsidR="00D716DC" w:rsidP="005C49EB" w:rsidRDefault="00D716DC">
            <w:pPr>
              <w:rPr>
                <w:sz w:val="18"/>
                <w:szCs w:val="18"/>
              </w:rPr>
            </w:pPr>
          </w:p>
        </w:tc>
        <w:tc>
          <w:tcPr>
            <w:tcW w:w="1445"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Verplichtingen</w:t>
            </w:r>
          </w:p>
        </w:tc>
        <w:tc>
          <w:tcPr>
            <w:tcW w:w="940"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Uitgaven</w:t>
            </w:r>
          </w:p>
        </w:tc>
        <w:tc>
          <w:tcPr>
            <w:tcW w:w="1367"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Ontvangsten</w:t>
            </w:r>
          </w:p>
        </w:tc>
        <w:tc>
          <w:tcPr>
            <w:tcW w:w="1445"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Verplichtingen</w:t>
            </w:r>
          </w:p>
        </w:tc>
        <w:tc>
          <w:tcPr>
            <w:tcW w:w="940"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Uitgaven</w:t>
            </w:r>
          </w:p>
        </w:tc>
        <w:tc>
          <w:tcPr>
            <w:tcW w:w="1367"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Ontvangsten</w:t>
            </w:r>
          </w:p>
        </w:tc>
        <w:tc>
          <w:tcPr>
            <w:tcW w:w="1275" w:type="dxa"/>
          </w:tcPr>
          <w:p w:rsidRPr="00326192" w:rsidR="00D716DC" w:rsidP="005C49EB" w:rsidRDefault="00D716DC">
            <w:pPr>
              <w:rPr>
                <w:rFonts w:cs="Calibri"/>
                <w:color w:val="000000"/>
                <w:sz w:val="18"/>
                <w:szCs w:val="18"/>
              </w:rPr>
            </w:pPr>
            <w:r w:rsidRPr="00326192">
              <w:rPr>
                <w:rFonts w:cs="Calibri"/>
                <w:color w:val="000000"/>
                <w:sz w:val="18"/>
                <w:szCs w:val="18"/>
              </w:rPr>
              <w:t>Verplichtingen</w:t>
            </w:r>
          </w:p>
        </w:tc>
        <w:tc>
          <w:tcPr>
            <w:tcW w:w="1275" w:type="dxa"/>
          </w:tcPr>
          <w:p w:rsidRPr="00326192" w:rsidR="00D716DC" w:rsidP="005C49EB" w:rsidRDefault="00D716DC">
            <w:pPr>
              <w:rPr>
                <w:rFonts w:cs="Calibri"/>
                <w:color w:val="000000"/>
                <w:sz w:val="18"/>
                <w:szCs w:val="18"/>
              </w:rPr>
            </w:pPr>
            <w:r w:rsidRPr="00326192">
              <w:rPr>
                <w:rFonts w:cs="Calibri"/>
                <w:color w:val="000000"/>
                <w:sz w:val="18"/>
                <w:szCs w:val="18"/>
              </w:rPr>
              <w:t>Uitgaven</w:t>
            </w:r>
          </w:p>
        </w:tc>
        <w:tc>
          <w:tcPr>
            <w:tcW w:w="1275" w:type="dxa"/>
          </w:tcPr>
          <w:p w:rsidRPr="00326192" w:rsidR="00D716DC" w:rsidP="005C49EB" w:rsidRDefault="00D716DC">
            <w:pPr>
              <w:rPr>
                <w:rFonts w:cs="Calibri"/>
                <w:color w:val="000000"/>
                <w:sz w:val="18"/>
                <w:szCs w:val="18"/>
              </w:rPr>
            </w:pPr>
            <w:r w:rsidRPr="00326192">
              <w:rPr>
                <w:rFonts w:cs="Calibri"/>
                <w:color w:val="000000"/>
                <w:sz w:val="18"/>
                <w:szCs w:val="18"/>
              </w:rPr>
              <w:t>Ontvangsten</w:t>
            </w:r>
          </w:p>
        </w:tc>
      </w:tr>
      <w:tr w:rsidRPr="002C0BA1" w:rsidR="00D716DC" w:rsidTr="005C49EB">
        <w:trPr>
          <w:trHeight w:val="300"/>
        </w:trPr>
        <w:tc>
          <w:tcPr>
            <w:tcW w:w="812" w:type="dxa"/>
            <w:shd w:val="clear" w:color="auto" w:fill="auto"/>
            <w:vAlign w:val="center"/>
            <w:hideMark/>
          </w:tcPr>
          <w:p w:rsidRPr="00326192" w:rsidR="00D716DC" w:rsidP="005C49EB" w:rsidRDefault="00D716DC">
            <w:pPr>
              <w:rPr>
                <w:rFonts w:cs="Calibri"/>
                <w:color w:val="000000"/>
                <w:sz w:val="18"/>
                <w:szCs w:val="18"/>
              </w:rPr>
            </w:pPr>
          </w:p>
        </w:tc>
        <w:tc>
          <w:tcPr>
            <w:tcW w:w="1851" w:type="dxa"/>
            <w:shd w:val="clear" w:color="auto" w:fill="auto"/>
            <w:hideMark/>
          </w:tcPr>
          <w:p w:rsidRPr="00326192" w:rsidR="00D716DC" w:rsidP="005C49EB" w:rsidRDefault="00D716DC">
            <w:pPr>
              <w:rPr>
                <w:rFonts w:cs="Calibri"/>
                <w:b/>
                <w:bCs/>
                <w:color w:val="000000"/>
                <w:sz w:val="18"/>
                <w:szCs w:val="18"/>
              </w:rPr>
            </w:pPr>
            <w:r w:rsidRPr="00326192">
              <w:rPr>
                <w:rFonts w:cs="Calibri"/>
                <w:b/>
                <w:bCs/>
                <w:color w:val="000000"/>
                <w:sz w:val="18"/>
                <w:szCs w:val="18"/>
              </w:rPr>
              <w:t>Totaal</w:t>
            </w:r>
          </w:p>
        </w:tc>
        <w:tc>
          <w:tcPr>
            <w:tcW w:w="1445" w:type="dxa"/>
            <w:vAlign w:val="center"/>
            <w:hideMark/>
          </w:tcPr>
          <w:p w:rsidRPr="002C0BA1" w:rsidR="00D716DC" w:rsidP="005C49EB" w:rsidRDefault="00D716DC">
            <w:pPr>
              <w:jc w:val="right"/>
              <w:rPr>
                <w:b/>
                <w:color w:val="000000"/>
                <w:sz w:val="18"/>
                <w:szCs w:val="18"/>
              </w:rPr>
            </w:pPr>
            <w:r w:rsidRPr="002C0BA1">
              <w:rPr>
                <w:b/>
                <w:color w:val="000000"/>
                <w:sz w:val="18"/>
                <w:szCs w:val="18"/>
              </w:rPr>
              <w:t>999.569</w:t>
            </w:r>
          </w:p>
        </w:tc>
        <w:tc>
          <w:tcPr>
            <w:tcW w:w="940" w:type="dxa"/>
            <w:vAlign w:val="center"/>
            <w:hideMark/>
          </w:tcPr>
          <w:p w:rsidRPr="002C0BA1" w:rsidR="00D716DC" w:rsidP="005C49EB" w:rsidRDefault="00D716DC">
            <w:pPr>
              <w:jc w:val="right"/>
              <w:rPr>
                <w:b/>
                <w:color w:val="000000"/>
                <w:sz w:val="18"/>
                <w:szCs w:val="18"/>
              </w:rPr>
            </w:pPr>
            <w:r w:rsidRPr="002C0BA1">
              <w:rPr>
                <w:b/>
                <w:color w:val="000000"/>
                <w:sz w:val="18"/>
                <w:szCs w:val="18"/>
              </w:rPr>
              <w:t>914.741</w:t>
            </w:r>
          </w:p>
        </w:tc>
        <w:tc>
          <w:tcPr>
            <w:tcW w:w="1367" w:type="dxa"/>
            <w:vAlign w:val="center"/>
            <w:hideMark/>
          </w:tcPr>
          <w:p w:rsidRPr="002C0BA1" w:rsidR="00D716DC" w:rsidP="005C49EB" w:rsidRDefault="00D716DC">
            <w:pPr>
              <w:jc w:val="right"/>
              <w:rPr>
                <w:b/>
                <w:color w:val="000000"/>
                <w:sz w:val="18"/>
                <w:szCs w:val="18"/>
              </w:rPr>
            </w:pPr>
            <w:r w:rsidRPr="002C0BA1">
              <w:rPr>
                <w:b/>
                <w:color w:val="000000"/>
                <w:sz w:val="18"/>
                <w:szCs w:val="18"/>
              </w:rPr>
              <w:t>88.597</w:t>
            </w:r>
          </w:p>
        </w:tc>
        <w:tc>
          <w:tcPr>
            <w:tcW w:w="1445" w:type="dxa"/>
            <w:vAlign w:val="center"/>
            <w:hideMark/>
          </w:tcPr>
          <w:p w:rsidRPr="002C0BA1" w:rsidR="00D716DC" w:rsidP="005C49EB" w:rsidRDefault="00D716DC">
            <w:pPr>
              <w:jc w:val="right"/>
              <w:rPr>
                <w:b/>
                <w:color w:val="000000"/>
                <w:sz w:val="18"/>
                <w:szCs w:val="18"/>
              </w:rPr>
            </w:pPr>
            <w:r w:rsidRPr="002C0BA1">
              <w:rPr>
                <w:b/>
                <w:color w:val="000000"/>
                <w:sz w:val="18"/>
                <w:szCs w:val="18"/>
              </w:rPr>
              <w:t>137.885</w:t>
            </w:r>
          </w:p>
        </w:tc>
        <w:tc>
          <w:tcPr>
            <w:tcW w:w="940" w:type="dxa"/>
            <w:vAlign w:val="center"/>
            <w:hideMark/>
          </w:tcPr>
          <w:p w:rsidRPr="002C0BA1" w:rsidR="00D716DC" w:rsidP="005C49EB" w:rsidRDefault="00D716DC">
            <w:pPr>
              <w:jc w:val="right"/>
              <w:rPr>
                <w:b/>
                <w:color w:val="000000"/>
                <w:sz w:val="18"/>
                <w:szCs w:val="18"/>
              </w:rPr>
            </w:pPr>
            <w:r w:rsidRPr="002C0BA1">
              <w:rPr>
                <w:b/>
                <w:color w:val="000000"/>
                <w:sz w:val="18"/>
                <w:szCs w:val="18"/>
              </w:rPr>
              <w:t>137.887</w:t>
            </w:r>
          </w:p>
        </w:tc>
        <w:tc>
          <w:tcPr>
            <w:tcW w:w="1367" w:type="dxa"/>
            <w:vAlign w:val="center"/>
            <w:hideMark/>
          </w:tcPr>
          <w:p w:rsidRPr="002C0BA1" w:rsidR="00D716DC" w:rsidP="005C49EB" w:rsidRDefault="00D716DC">
            <w:pPr>
              <w:jc w:val="right"/>
              <w:rPr>
                <w:b/>
                <w:color w:val="000000"/>
                <w:sz w:val="18"/>
                <w:szCs w:val="18"/>
              </w:rPr>
            </w:pPr>
            <w:r w:rsidRPr="002C0BA1">
              <w:rPr>
                <w:b/>
                <w:color w:val="000000"/>
                <w:sz w:val="18"/>
                <w:szCs w:val="18"/>
              </w:rPr>
              <w:t>16.753</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14.000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14.000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0</w:t>
            </w:r>
          </w:p>
        </w:tc>
      </w:tr>
      <w:tr w:rsidRPr="002C0BA1" w:rsidR="00D716DC" w:rsidTr="005C49EB">
        <w:trPr>
          <w:trHeight w:val="300"/>
        </w:trPr>
        <w:tc>
          <w:tcPr>
            <w:tcW w:w="812" w:type="dxa"/>
            <w:shd w:val="clear" w:color="auto" w:fill="auto"/>
            <w:vAlign w:val="center"/>
            <w:hideMark/>
          </w:tcPr>
          <w:p w:rsidRPr="00326192" w:rsidR="00D716DC" w:rsidP="005C49EB" w:rsidRDefault="00D716DC">
            <w:pPr>
              <w:rPr>
                <w:sz w:val="18"/>
                <w:szCs w:val="18"/>
              </w:rPr>
            </w:pPr>
          </w:p>
        </w:tc>
        <w:tc>
          <w:tcPr>
            <w:tcW w:w="1851" w:type="dxa"/>
            <w:shd w:val="clear" w:color="auto" w:fill="auto"/>
            <w:vAlign w:val="center"/>
            <w:hideMark/>
          </w:tcPr>
          <w:p w:rsidRPr="00326192" w:rsidR="00D716DC" w:rsidP="005C49EB" w:rsidRDefault="00D716DC">
            <w:pPr>
              <w:rPr>
                <w:sz w:val="18"/>
                <w:szCs w:val="18"/>
              </w:rPr>
            </w:pP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275" w:type="dxa"/>
            <w:vAlign w:val="center"/>
          </w:tcPr>
          <w:p w:rsidRPr="002C0BA1" w:rsidR="00D716DC" w:rsidP="005C49EB" w:rsidRDefault="00D716DC">
            <w:pPr>
              <w:jc w:val="right"/>
              <w:rPr>
                <w:color w:val="000000"/>
                <w:sz w:val="18"/>
                <w:szCs w:val="18"/>
              </w:rPr>
            </w:pPr>
          </w:p>
        </w:tc>
        <w:tc>
          <w:tcPr>
            <w:tcW w:w="1275" w:type="dxa"/>
            <w:vAlign w:val="center"/>
          </w:tcPr>
          <w:p w:rsidRPr="002C0BA1" w:rsidR="00D716DC" w:rsidP="005C49EB" w:rsidRDefault="00D716DC">
            <w:pPr>
              <w:jc w:val="right"/>
              <w:rPr>
                <w:color w:val="000000"/>
                <w:sz w:val="18"/>
                <w:szCs w:val="18"/>
              </w:rPr>
            </w:pPr>
          </w:p>
        </w:tc>
        <w:tc>
          <w:tcPr>
            <w:tcW w:w="1275" w:type="dxa"/>
            <w:vAlign w:val="center"/>
          </w:tcPr>
          <w:p w:rsidRPr="002C0BA1" w:rsidR="00D716DC" w:rsidP="005C49EB" w:rsidRDefault="00D716DC">
            <w:pPr>
              <w:jc w:val="right"/>
              <w:rPr>
                <w:color w:val="000000"/>
                <w:sz w:val="18"/>
                <w:szCs w:val="18"/>
              </w:rPr>
            </w:pPr>
          </w:p>
        </w:tc>
      </w:tr>
      <w:tr w:rsidRPr="002C0BA1" w:rsidR="00D716DC" w:rsidTr="005C49EB">
        <w:trPr>
          <w:trHeight w:val="600"/>
        </w:trPr>
        <w:tc>
          <w:tcPr>
            <w:tcW w:w="812" w:type="dxa"/>
            <w:shd w:val="clear" w:color="auto" w:fill="auto"/>
            <w:vAlign w:val="center"/>
            <w:hideMark/>
          </w:tcPr>
          <w:p w:rsidRPr="00326192" w:rsidR="00D716DC" w:rsidP="005C49EB" w:rsidRDefault="00D716DC">
            <w:pPr>
              <w:rPr>
                <w:sz w:val="18"/>
                <w:szCs w:val="18"/>
              </w:rPr>
            </w:pPr>
          </w:p>
        </w:tc>
        <w:tc>
          <w:tcPr>
            <w:tcW w:w="1851" w:type="dxa"/>
            <w:shd w:val="clear" w:color="auto" w:fill="auto"/>
            <w:hideMark/>
          </w:tcPr>
          <w:p w:rsidRPr="00326192" w:rsidR="00D716DC" w:rsidP="005C49EB" w:rsidRDefault="00D716DC">
            <w:pPr>
              <w:rPr>
                <w:rFonts w:cs="Calibri"/>
                <w:b/>
                <w:bCs/>
                <w:color w:val="000000"/>
                <w:sz w:val="18"/>
                <w:szCs w:val="18"/>
              </w:rPr>
            </w:pPr>
            <w:r w:rsidRPr="00326192">
              <w:rPr>
                <w:rFonts w:cs="Calibri"/>
                <w:b/>
                <w:bCs/>
                <w:color w:val="000000"/>
                <w:sz w:val="18"/>
                <w:szCs w:val="18"/>
              </w:rPr>
              <w:t>Beleidsartikelen</w:t>
            </w:r>
          </w:p>
        </w:tc>
        <w:tc>
          <w:tcPr>
            <w:tcW w:w="1445" w:type="dxa"/>
            <w:vAlign w:val="center"/>
            <w:hideMark/>
          </w:tcPr>
          <w:p w:rsidRPr="002C0BA1" w:rsidR="00D716DC" w:rsidP="005C49EB" w:rsidRDefault="00D716DC">
            <w:pPr>
              <w:jc w:val="right"/>
              <w:rPr>
                <w:b/>
                <w:color w:val="000000"/>
                <w:sz w:val="18"/>
                <w:szCs w:val="18"/>
              </w:rPr>
            </w:pPr>
            <w:r w:rsidRPr="002C0BA1">
              <w:rPr>
                <w:b/>
                <w:color w:val="000000"/>
                <w:sz w:val="18"/>
                <w:szCs w:val="18"/>
              </w:rPr>
              <w:t>859.458</w:t>
            </w:r>
          </w:p>
        </w:tc>
        <w:tc>
          <w:tcPr>
            <w:tcW w:w="940" w:type="dxa"/>
            <w:vAlign w:val="center"/>
            <w:hideMark/>
          </w:tcPr>
          <w:p w:rsidRPr="002C0BA1" w:rsidR="00D716DC" w:rsidP="005C49EB" w:rsidRDefault="00D716DC">
            <w:pPr>
              <w:jc w:val="right"/>
              <w:rPr>
                <w:b/>
                <w:color w:val="000000"/>
                <w:sz w:val="18"/>
                <w:szCs w:val="18"/>
              </w:rPr>
            </w:pPr>
            <w:r w:rsidRPr="002C0BA1">
              <w:rPr>
                <w:b/>
                <w:color w:val="000000"/>
                <w:sz w:val="18"/>
                <w:szCs w:val="18"/>
              </w:rPr>
              <w:t>774.630</w:t>
            </w:r>
          </w:p>
        </w:tc>
        <w:tc>
          <w:tcPr>
            <w:tcW w:w="1367" w:type="dxa"/>
            <w:vAlign w:val="center"/>
            <w:hideMark/>
          </w:tcPr>
          <w:p w:rsidRPr="002C0BA1" w:rsidR="00D716DC" w:rsidP="005C49EB" w:rsidRDefault="00D716DC">
            <w:pPr>
              <w:jc w:val="right"/>
              <w:rPr>
                <w:b/>
                <w:color w:val="000000"/>
                <w:sz w:val="18"/>
                <w:szCs w:val="18"/>
              </w:rPr>
            </w:pPr>
            <w:r w:rsidRPr="002C0BA1">
              <w:rPr>
                <w:b/>
                <w:color w:val="000000"/>
                <w:sz w:val="18"/>
                <w:szCs w:val="18"/>
              </w:rPr>
              <w:t>85.811</w:t>
            </w:r>
          </w:p>
        </w:tc>
        <w:tc>
          <w:tcPr>
            <w:tcW w:w="1445" w:type="dxa"/>
            <w:vAlign w:val="center"/>
            <w:hideMark/>
          </w:tcPr>
          <w:p w:rsidRPr="002C0BA1" w:rsidR="00D716DC" w:rsidP="005C49EB" w:rsidRDefault="00D716DC">
            <w:pPr>
              <w:jc w:val="right"/>
              <w:rPr>
                <w:b/>
                <w:color w:val="000000"/>
                <w:sz w:val="18"/>
                <w:szCs w:val="18"/>
              </w:rPr>
            </w:pPr>
            <w:r w:rsidRPr="002C0BA1">
              <w:rPr>
                <w:b/>
                <w:color w:val="000000"/>
                <w:sz w:val="18"/>
                <w:szCs w:val="18"/>
              </w:rPr>
              <w:t>96.497</w:t>
            </w:r>
          </w:p>
        </w:tc>
        <w:tc>
          <w:tcPr>
            <w:tcW w:w="940" w:type="dxa"/>
            <w:vAlign w:val="center"/>
            <w:hideMark/>
          </w:tcPr>
          <w:p w:rsidRPr="002C0BA1" w:rsidR="00D716DC" w:rsidP="005C49EB" w:rsidRDefault="00D716DC">
            <w:pPr>
              <w:jc w:val="right"/>
              <w:rPr>
                <w:b/>
                <w:color w:val="000000"/>
                <w:sz w:val="18"/>
                <w:szCs w:val="18"/>
              </w:rPr>
            </w:pPr>
            <w:r w:rsidRPr="002C0BA1">
              <w:rPr>
                <w:b/>
                <w:color w:val="000000"/>
                <w:sz w:val="18"/>
                <w:szCs w:val="18"/>
              </w:rPr>
              <w:t>96.499</w:t>
            </w:r>
          </w:p>
        </w:tc>
        <w:tc>
          <w:tcPr>
            <w:tcW w:w="1367" w:type="dxa"/>
            <w:vAlign w:val="center"/>
            <w:hideMark/>
          </w:tcPr>
          <w:p w:rsidRPr="002C0BA1" w:rsidR="00D716DC" w:rsidP="005C49EB" w:rsidRDefault="00D716DC">
            <w:pPr>
              <w:jc w:val="right"/>
              <w:rPr>
                <w:b/>
                <w:color w:val="000000"/>
                <w:sz w:val="18"/>
                <w:szCs w:val="18"/>
              </w:rPr>
            </w:pPr>
            <w:r w:rsidRPr="002C0BA1">
              <w:rPr>
                <w:b/>
                <w:color w:val="000000"/>
                <w:sz w:val="18"/>
                <w:szCs w:val="18"/>
              </w:rPr>
              <w:t>16.753</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14.000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14.000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0</w:t>
            </w:r>
          </w:p>
        </w:tc>
      </w:tr>
      <w:tr w:rsidRPr="002C0BA1" w:rsidR="00D716DC" w:rsidTr="005C49EB">
        <w:trPr>
          <w:trHeight w:val="600"/>
        </w:trPr>
        <w:tc>
          <w:tcPr>
            <w:tcW w:w="812" w:type="dxa"/>
            <w:shd w:val="clear" w:color="auto" w:fill="auto"/>
            <w:hideMark/>
          </w:tcPr>
          <w:p w:rsidRPr="00326192" w:rsidR="00D716DC" w:rsidP="005C49EB" w:rsidRDefault="00D716DC">
            <w:pPr>
              <w:jc w:val="right"/>
              <w:rPr>
                <w:rFonts w:cs="Calibri"/>
                <w:color w:val="000000"/>
                <w:sz w:val="18"/>
                <w:szCs w:val="18"/>
              </w:rPr>
            </w:pPr>
            <w:r w:rsidRPr="00326192">
              <w:rPr>
                <w:rFonts w:cs="Calibri"/>
                <w:color w:val="000000"/>
                <w:sz w:val="18"/>
                <w:szCs w:val="18"/>
              </w:rPr>
              <w:t>11</w:t>
            </w:r>
          </w:p>
        </w:tc>
        <w:tc>
          <w:tcPr>
            <w:tcW w:w="1851"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Concurrerende, duurzame, veilige agro-, visserij-, en voedselketens</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745.594</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646.620</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39.950</w:t>
            </w:r>
          </w:p>
        </w:tc>
        <w:tc>
          <w:tcPr>
            <w:tcW w:w="1445" w:type="dxa"/>
            <w:shd w:val="clear" w:color="auto" w:fill="auto"/>
            <w:vAlign w:val="center"/>
            <w:hideMark/>
          </w:tcPr>
          <w:p w:rsidRPr="002C0BA1" w:rsidR="00D716DC" w:rsidP="005C49EB" w:rsidRDefault="00D716DC">
            <w:pPr>
              <w:jc w:val="right"/>
              <w:rPr>
                <w:color w:val="000000"/>
                <w:sz w:val="18"/>
                <w:szCs w:val="18"/>
              </w:rPr>
            </w:pPr>
            <w:r w:rsidRPr="002C0BA1">
              <w:rPr>
                <w:color w:val="000000"/>
                <w:sz w:val="18"/>
                <w:szCs w:val="18"/>
              </w:rPr>
              <w:t>100.028</w:t>
            </w:r>
          </w:p>
        </w:tc>
        <w:tc>
          <w:tcPr>
            <w:tcW w:w="940" w:type="dxa"/>
            <w:shd w:val="clear" w:color="auto" w:fill="auto"/>
            <w:vAlign w:val="center"/>
            <w:hideMark/>
          </w:tcPr>
          <w:p w:rsidRPr="002C0BA1" w:rsidR="00D716DC" w:rsidP="005C49EB" w:rsidRDefault="00D716DC">
            <w:pPr>
              <w:jc w:val="right"/>
              <w:rPr>
                <w:color w:val="000000"/>
                <w:sz w:val="18"/>
                <w:szCs w:val="18"/>
              </w:rPr>
            </w:pPr>
            <w:r w:rsidRPr="002C0BA1">
              <w:rPr>
                <w:color w:val="000000"/>
                <w:sz w:val="18"/>
                <w:szCs w:val="18"/>
              </w:rPr>
              <w:t>101.691</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15.954</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14.000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14.000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r>
      <w:tr w:rsidRPr="002C0BA1" w:rsidR="00D716DC" w:rsidTr="005C49EB">
        <w:trPr>
          <w:trHeight w:val="300"/>
        </w:trPr>
        <w:tc>
          <w:tcPr>
            <w:tcW w:w="812" w:type="dxa"/>
            <w:shd w:val="clear" w:color="auto" w:fill="auto"/>
            <w:hideMark/>
          </w:tcPr>
          <w:p w:rsidRPr="00326192" w:rsidR="00D716DC" w:rsidP="005C49EB" w:rsidRDefault="00D716DC">
            <w:pPr>
              <w:jc w:val="right"/>
              <w:rPr>
                <w:rFonts w:cs="Calibri"/>
                <w:color w:val="000000"/>
                <w:sz w:val="18"/>
                <w:szCs w:val="18"/>
              </w:rPr>
            </w:pPr>
            <w:r w:rsidRPr="00326192">
              <w:rPr>
                <w:rFonts w:cs="Calibri"/>
                <w:color w:val="000000"/>
                <w:sz w:val="18"/>
                <w:szCs w:val="18"/>
              </w:rPr>
              <w:t>12</w:t>
            </w:r>
          </w:p>
        </w:tc>
        <w:tc>
          <w:tcPr>
            <w:tcW w:w="1851"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Natuur en biodiversiteit</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113.864</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128.010</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45.861</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-3.531</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-5.192</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799</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r>
      <w:tr w:rsidRPr="002C0BA1" w:rsidR="00D716DC" w:rsidTr="005C49EB">
        <w:trPr>
          <w:trHeight w:val="300"/>
        </w:trPr>
        <w:tc>
          <w:tcPr>
            <w:tcW w:w="812" w:type="dxa"/>
            <w:shd w:val="clear" w:color="auto" w:fill="auto"/>
            <w:vAlign w:val="center"/>
            <w:hideMark/>
          </w:tcPr>
          <w:p w:rsidRPr="00326192" w:rsidR="00D716DC" w:rsidP="005C49EB" w:rsidRDefault="00D716DC">
            <w:pPr>
              <w:rPr>
                <w:sz w:val="18"/>
                <w:szCs w:val="18"/>
              </w:rPr>
            </w:pPr>
          </w:p>
        </w:tc>
        <w:tc>
          <w:tcPr>
            <w:tcW w:w="1851" w:type="dxa"/>
            <w:shd w:val="clear" w:color="auto" w:fill="auto"/>
            <w:vAlign w:val="center"/>
            <w:hideMark/>
          </w:tcPr>
          <w:p w:rsidRPr="00326192" w:rsidR="00D716DC" w:rsidP="005C49EB" w:rsidRDefault="00D716DC">
            <w:pPr>
              <w:rPr>
                <w:sz w:val="18"/>
                <w:szCs w:val="18"/>
              </w:rPr>
            </w:pP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 </w:t>
            </w:r>
          </w:p>
        </w:tc>
        <w:tc>
          <w:tcPr>
            <w:tcW w:w="1275" w:type="dxa"/>
            <w:vAlign w:val="center"/>
          </w:tcPr>
          <w:p w:rsidRPr="002C0BA1" w:rsidR="00D716DC" w:rsidP="005C49EB" w:rsidRDefault="00D716DC">
            <w:pPr>
              <w:jc w:val="right"/>
              <w:rPr>
                <w:color w:val="000000"/>
                <w:sz w:val="18"/>
                <w:szCs w:val="18"/>
              </w:rPr>
            </w:pPr>
          </w:p>
        </w:tc>
        <w:tc>
          <w:tcPr>
            <w:tcW w:w="1275" w:type="dxa"/>
            <w:vAlign w:val="center"/>
          </w:tcPr>
          <w:p w:rsidRPr="002C0BA1" w:rsidR="00D716DC" w:rsidP="005C49EB" w:rsidRDefault="00D716DC">
            <w:pPr>
              <w:jc w:val="right"/>
              <w:rPr>
                <w:color w:val="000000"/>
                <w:sz w:val="18"/>
                <w:szCs w:val="18"/>
              </w:rPr>
            </w:pPr>
          </w:p>
        </w:tc>
        <w:tc>
          <w:tcPr>
            <w:tcW w:w="1275" w:type="dxa"/>
            <w:vAlign w:val="center"/>
          </w:tcPr>
          <w:p w:rsidRPr="002C0BA1" w:rsidR="00D716DC" w:rsidP="005C49EB" w:rsidRDefault="00D716DC">
            <w:pPr>
              <w:jc w:val="right"/>
              <w:rPr>
                <w:color w:val="000000"/>
                <w:sz w:val="18"/>
                <w:szCs w:val="18"/>
              </w:rPr>
            </w:pPr>
          </w:p>
        </w:tc>
      </w:tr>
      <w:tr w:rsidRPr="002C0BA1" w:rsidR="00D716DC" w:rsidTr="005C49EB">
        <w:trPr>
          <w:trHeight w:val="461"/>
        </w:trPr>
        <w:tc>
          <w:tcPr>
            <w:tcW w:w="812" w:type="dxa"/>
            <w:shd w:val="clear" w:color="auto" w:fill="auto"/>
            <w:vAlign w:val="center"/>
            <w:hideMark/>
          </w:tcPr>
          <w:p w:rsidRPr="00326192" w:rsidR="00D716DC" w:rsidP="005C49EB" w:rsidRDefault="00D716DC">
            <w:pPr>
              <w:rPr>
                <w:sz w:val="18"/>
                <w:szCs w:val="18"/>
              </w:rPr>
            </w:pPr>
          </w:p>
        </w:tc>
        <w:tc>
          <w:tcPr>
            <w:tcW w:w="1851" w:type="dxa"/>
            <w:shd w:val="clear" w:color="auto" w:fill="auto"/>
            <w:hideMark/>
          </w:tcPr>
          <w:p w:rsidRPr="00326192" w:rsidR="00D716DC" w:rsidP="005C49EB" w:rsidRDefault="00D716DC">
            <w:pPr>
              <w:rPr>
                <w:rFonts w:cs="Calibri"/>
                <w:b/>
                <w:bCs/>
                <w:color w:val="000000"/>
                <w:sz w:val="18"/>
                <w:szCs w:val="18"/>
              </w:rPr>
            </w:pPr>
            <w:r w:rsidRPr="00326192">
              <w:rPr>
                <w:rFonts w:cs="Calibri"/>
                <w:b/>
                <w:bCs/>
                <w:color w:val="000000"/>
                <w:sz w:val="18"/>
                <w:szCs w:val="18"/>
              </w:rPr>
              <w:t>Niet-beleidsartikelen</w:t>
            </w:r>
          </w:p>
        </w:tc>
        <w:tc>
          <w:tcPr>
            <w:tcW w:w="1445" w:type="dxa"/>
            <w:vAlign w:val="center"/>
            <w:hideMark/>
          </w:tcPr>
          <w:p w:rsidRPr="002C0BA1" w:rsidR="00D716DC" w:rsidP="005C49EB" w:rsidRDefault="00D716DC">
            <w:pPr>
              <w:jc w:val="right"/>
              <w:rPr>
                <w:b/>
                <w:color w:val="000000"/>
                <w:sz w:val="18"/>
                <w:szCs w:val="18"/>
              </w:rPr>
            </w:pPr>
            <w:r w:rsidRPr="002C0BA1">
              <w:rPr>
                <w:b/>
                <w:color w:val="000000"/>
                <w:sz w:val="18"/>
                <w:szCs w:val="18"/>
              </w:rPr>
              <w:t>140.111</w:t>
            </w:r>
          </w:p>
        </w:tc>
        <w:tc>
          <w:tcPr>
            <w:tcW w:w="940" w:type="dxa"/>
            <w:vAlign w:val="center"/>
            <w:hideMark/>
          </w:tcPr>
          <w:p w:rsidRPr="002C0BA1" w:rsidR="00D716DC" w:rsidP="005C49EB" w:rsidRDefault="00D716DC">
            <w:pPr>
              <w:jc w:val="right"/>
              <w:rPr>
                <w:b/>
                <w:color w:val="000000"/>
                <w:sz w:val="18"/>
                <w:szCs w:val="18"/>
              </w:rPr>
            </w:pPr>
            <w:r w:rsidRPr="002C0BA1">
              <w:rPr>
                <w:b/>
                <w:color w:val="000000"/>
                <w:sz w:val="18"/>
                <w:szCs w:val="18"/>
              </w:rPr>
              <w:t>140.111</w:t>
            </w:r>
          </w:p>
        </w:tc>
        <w:tc>
          <w:tcPr>
            <w:tcW w:w="1367" w:type="dxa"/>
            <w:vAlign w:val="center"/>
            <w:hideMark/>
          </w:tcPr>
          <w:p w:rsidRPr="002C0BA1" w:rsidR="00D716DC" w:rsidP="005C49EB" w:rsidRDefault="00D716DC">
            <w:pPr>
              <w:jc w:val="right"/>
              <w:rPr>
                <w:b/>
                <w:color w:val="000000"/>
                <w:sz w:val="18"/>
                <w:szCs w:val="18"/>
              </w:rPr>
            </w:pPr>
            <w:r w:rsidRPr="002C0BA1">
              <w:rPr>
                <w:b/>
                <w:color w:val="000000"/>
                <w:sz w:val="18"/>
                <w:szCs w:val="18"/>
              </w:rPr>
              <w:t>2.786</w:t>
            </w:r>
          </w:p>
        </w:tc>
        <w:tc>
          <w:tcPr>
            <w:tcW w:w="1445" w:type="dxa"/>
            <w:vAlign w:val="center"/>
            <w:hideMark/>
          </w:tcPr>
          <w:p w:rsidRPr="002C0BA1" w:rsidR="00D716DC" w:rsidP="005C49EB" w:rsidRDefault="00D716DC">
            <w:pPr>
              <w:jc w:val="right"/>
              <w:rPr>
                <w:b/>
                <w:color w:val="000000"/>
                <w:sz w:val="18"/>
                <w:szCs w:val="18"/>
              </w:rPr>
            </w:pPr>
            <w:r w:rsidRPr="002C0BA1">
              <w:rPr>
                <w:b/>
                <w:color w:val="000000"/>
                <w:sz w:val="18"/>
                <w:szCs w:val="18"/>
              </w:rPr>
              <w:t>41.388</w:t>
            </w:r>
          </w:p>
        </w:tc>
        <w:tc>
          <w:tcPr>
            <w:tcW w:w="940" w:type="dxa"/>
            <w:vAlign w:val="center"/>
            <w:hideMark/>
          </w:tcPr>
          <w:p w:rsidRPr="002C0BA1" w:rsidR="00D716DC" w:rsidP="005C49EB" w:rsidRDefault="00D716DC">
            <w:pPr>
              <w:jc w:val="right"/>
              <w:rPr>
                <w:b/>
                <w:color w:val="000000"/>
                <w:sz w:val="18"/>
                <w:szCs w:val="18"/>
              </w:rPr>
            </w:pPr>
            <w:r w:rsidRPr="002C0BA1">
              <w:rPr>
                <w:b/>
                <w:color w:val="000000"/>
                <w:sz w:val="18"/>
                <w:szCs w:val="18"/>
              </w:rPr>
              <w:t>41.388</w:t>
            </w:r>
          </w:p>
        </w:tc>
        <w:tc>
          <w:tcPr>
            <w:tcW w:w="1367" w:type="dxa"/>
            <w:vAlign w:val="center"/>
          </w:tcPr>
          <w:p w:rsidRPr="002C0BA1" w:rsidR="00D716DC" w:rsidP="005C49EB" w:rsidRDefault="00D716DC">
            <w:pPr>
              <w:jc w:val="right"/>
              <w:rPr>
                <w:b/>
                <w:color w:val="000000"/>
                <w:sz w:val="18"/>
                <w:szCs w:val="18"/>
              </w:rPr>
            </w:pPr>
            <w:r w:rsidRPr="002C0BA1">
              <w:rPr>
                <w:b/>
                <w:color w:val="000000"/>
                <w:sz w:val="18"/>
                <w:szCs w:val="18"/>
              </w:rPr>
              <w:t>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0</w:t>
            </w:r>
          </w:p>
        </w:tc>
        <w:tc>
          <w:tcPr>
            <w:tcW w:w="1275" w:type="dxa"/>
            <w:vAlign w:val="center"/>
          </w:tcPr>
          <w:p w:rsidRPr="002C0BA1" w:rsidR="00D716DC" w:rsidP="005C49EB" w:rsidRDefault="00D716DC">
            <w:pPr>
              <w:jc w:val="right"/>
              <w:rPr>
                <w:b/>
                <w:color w:val="000000"/>
                <w:sz w:val="18"/>
                <w:szCs w:val="18"/>
              </w:rPr>
            </w:pPr>
            <w:r w:rsidRPr="002C0BA1">
              <w:rPr>
                <w:b/>
                <w:color w:val="000000"/>
                <w:sz w:val="18"/>
                <w:szCs w:val="18"/>
              </w:rPr>
              <w:t>0</w:t>
            </w:r>
          </w:p>
        </w:tc>
      </w:tr>
      <w:tr w:rsidRPr="002C0BA1" w:rsidR="00D716DC" w:rsidTr="005C49EB">
        <w:trPr>
          <w:trHeight w:val="114"/>
        </w:trPr>
        <w:tc>
          <w:tcPr>
            <w:tcW w:w="812" w:type="dxa"/>
            <w:shd w:val="clear" w:color="auto" w:fill="auto"/>
            <w:hideMark/>
          </w:tcPr>
          <w:p w:rsidRPr="00326192" w:rsidR="00D716DC" w:rsidP="005C49EB" w:rsidRDefault="00D716DC">
            <w:pPr>
              <w:jc w:val="right"/>
              <w:rPr>
                <w:rFonts w:cs="Calibri"/>
                <w:color w:val="000000"/>
                <w:sz w:val="18"/>
                <w:szCs w:val="18"/>
              </w:rPr>
            </w:pPr>
            <w:r w:rsidRPr="00326192">
              <w:rPr>
                <w:rFonts w:cs="Calibri"/>
                <w:color w:val="000000"/>
                <w:sz w:val="18"/>
                <w:szCs w:val="18"/>
              </w:rPr>
              <w:t>50</w:t>
            </w:r>
          </w:p>
        </w:tc>
        <w:tc>
          <w:tcPr>
            <w:tcW w:w="1851"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Apparaat</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108.907</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108.907</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2.786</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15.033</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15.033</w:t>
            </w:r>
          </w:p>
        </w:tc>
        <w:tc>
          <w:tcPr>
            <w:tcW w:w="1367"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r>
      <w:tr w:rsidRPr="002C0BA1" w:rsidR="00D716DC" w:rsidTr="005C49EB">
        <w:trPr>
          <w:trHeight w:val="900"/>
        </w:trPr>
        <w:tc>
          <w:tcPr>
            <w:tcW w:w="812" w:type="dxa"/>
            <w:shd w:val="clear" w:color="auto" w:fill="auto"/>
            <w:hideMark/>
          </w:tcPr>
          <w:p w:rsidRPr="00326192" w:rsidR="00D716DC" w:rsidP="005C49EB" w:rsidRDefault="00D716DC">
            <w:pPr>
              <w:jc w:val="right"/>
              <w:rPr>
                <w:rFonts w:cs="Calibri"/>
                <w:color w:val="000000"/>
                <w:sz w:val="18"/>
                <w:szCs w:val="18"/>
              </w:rPr>
            </w:pPr>
            <w:r w:rsidRPr="00326192">
              <w:rPr>
                <w:rFonts w:cs="Calibri"/>
                <w:color w:val="000000"/>
                <w:sz w:val="18"/>
                <w:szCs w:val="18"/>
              </w:rPr>
              <w:t>51</w:t>
            </w:r>
          </w:p>
        </w:tc>
        <w:tc>
          <w:tcPr>
            <w:tcW w:w="1851" w:type="dxa"/>
            <w:shd w:val="clear" w:color="auto" w:fill="auto"/>
            <w:hideMark/>
          </w:tcPr>
          <w:p w:rsidRPr="00326192" w:rsidR="00D716DC" w:rsidP="005C49EB" w:rsidRDefault="00D716DC">
            <w:pPr>
              <w:rPr>
                <w:rFonts w:cs="Calibri"/>
                <w:color w:val="000000"/>
                <w:sz w:val="18"/>
                <w:szCs w:val="18"/>
              </w:rPr>
            </w:pPr>
            <w:r w:rsidRPr="00326192">
              <w:rPr>
                <w:rFonts w:cs="Calibri"/>
                <w:color w:val="000000"/>
                <w:sz w:val="18"/>
                <w:szCs w:val="18"/>
              </w:rPr>
              <w:t>Nog onverdeeld</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31.204</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31.204</w:t>
            </w:r>
          </w:p>
        </w:tc>
        <w:tc>
          <w:tcPr>
            <w:tcW w:w="1367" w:type="dxa"/>
            <w:vAlign w:val="center"/>
            <w:hideMark/>
          </w:tcPr>
          <w:p w:rsidRPr="002C0BA1" w:rsidR="00D716DC" w:rsidP="005C49EB" w:rsidRDefault="00D716DC">
            <w:pPr>
              <w:jc w:val="right"/>
              <w:rPr>
                <w:color w:val="000000"/>
                <w:sz w:val="18"/>
                <w:szCs w:val="18"/>
              </w:rPr>
            </w:pPr>
            <w:r w:rsidRPr="002C0BA1">
              <w:rPr>
                <w:color w:val="000000"/>
                <w:sz w:val="18"/>
                <w:szCs w:val="18"/>
              </w:rPr>
              <w:t>0 </w:t>
            </w:r>
          </w:p>
        </w:tc>
        <w:tc>
          <w:tcPr>
            <w:tcW w:w="1445" w:type="dxa"/>
            <w:vAlign w:val="center"/>
            <w:hideMark/>
          </w:tcPr>
          <w:p w:rsidRPr="002C0BA1" w:rsidR="00D716DC" w:rsidP="005C49EB" w:rsidRDefault="00D716DC">
            <w:pPr>
              <w:jc w:val="right"/>
              <w:rPr>
                <w:color w:val="000000"/>
                <w:sz w:val="18"/>
                <w:szCs w:val="18"/>
              </w:rPr>
            </w:pPr>
            <w:r w:rsidRPr="002C0BA1">
              <w:rPr>
                <w:color w:val="000000"/>
                <w:sz w:val="18"/>
                <w:szCs w:val="18"/>
              </w:rPr>
              <w:t>26.355</w:t>
            </w:r>
          </w:p>
        </w:tc>
        <w:tc>
          <w:tcPr>
            <w:tcW w:w="940" w:type="dxa"/>
            <w:vAlign w:val="center"/>
            <w:hideMark/>
          </w:tcPr>
          <w:p w:rsidRPr="002C0BA1" w:rsidR="00D716DC" w:rsidP="005C49EB" w:rsidRDefault="00D716DC">
            <w:pPr>
              <w:jc w:val="right"/>
              <w:rPr>
                <w:color w:val="000000"/>
                <w:sz w:val="18"/>
                <w:szCs w:val="18"/>
              </w:rPr>
            </w:pPr>
            <w:r w:rsidRPr="002C0BA1">
              <w:rPr>
                <w:color w:val="000000"/>
                <w:sz w:val="18"/>
                <w:szCs w:val="18"/>
              </w:rPr>
              <w:t>26.355</w:t>
            </w:r>
          </w:p>
        </w:tc>
        <w:tc>
          <w:tcPr>
            <w:tcW w:w="1367"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c>
          <w:tcPr>
            <w:tcW w:w="1275" w:type="dxa"/>
            <w:vAlign w:val="center"/>
          </w:tcPr>
          <w:p w:rsidRPr="002C0BA1" w:rsidR="00D716DC" w:rsidP="005C49EB" w:rsidRDefault="00D716DC">
            <w:pPr>
              <w:jc w:val="right"/>
              <w:rPr>
                <w:color w:val="000000"/>
                <w:sz w:val="18"/>
                <w:szCs w:val="18"/>
              </w:rPr>
            </w:pPr>
            <w:r w:rsidRPr="002C0BA1">
              <w:rPr>
                <w:color w:val="000000"/>
                <w:sz w:val="18"/>
                <w:szCs w:val="18"/>
              </w:rPr>
              <w:t>0</w:t>
            </w:r>
          </w:p>
        </w:tc>
      </w:tr>
    </w:tbl>
    <w:p w:rsidRPr="00D716DC" w:rsidR="00D716DC" w:rsidP="00D716DC" w:rsidRDefault="00D716DC">
      <w:pPr>
        <w:tabs>
          <w:tab w:val="left" w:pos="284"/>
          <w:tab w:val="left" w:pos="567"/>
          <w:tab w:val="left" w:pos="851"/>
          <w:tab w:val="left" w:pos="9070"/>
        </w:tabs>
        <w:ind w:right="-2"/>
        <w:rPr>
          <w:rFonts w:ascii="Times New Roman" w:hAnsi="Times New Roman"/>
          <w:b/>
          <w:sz w:val="24"/>
          <w:szCs w:val="20"/>
        </w:rPr>
      </w:pPr>
    </w:p>
    <w:sectPr w:rsidRPr="00D716DC" w:rsidR="00D716DC" w:rsidSect="00D716DC">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6DC" w:rsidRDefault="00D716DC">
      <w:pPr>
        <w:spacing w:line="20" w:lineRule="exact"/>
      </w:pPr>
    </w:p>
  </w:endnote>
  <w:endnote w:type="continuationSeparator" w:id="0">
    <w:p w:rsidR="00D716DC" w:rsidRDefault="00D716DC">
      <w:pPr>
        <w:pStyle w:val="Amendement"/>
      </w:pPr>
      <w:r>
        <w:rPr>
          <w:b w:val="0"/>
          <w:bCs w:val="0"/>
        </w:rPr>
        <w:t xml:space="preserve"> </w:t>
      </w:r>
    </w:p>
  </w:endnote>
  <w:endnote w:type="continuationNotice" w:id="1">
    <w:p w:rsidR="00D716DC" w:rsidRDefault="00D716D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A70F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6DC" w:rsidRDefault="00D716DC">
      <w:pPr>
        <w:pStyle w:val="Amendement"/>
      </w:pPr>
      <w:r>
        <w:rPr>
          <w:b w:val="0"/>
          <w:bCs w:val="0"/>
        </w:rPr>
        <w:separator/>
      </w:r>
    </w:p>
  </w:footnote>
  <w:footnote w:type="continuationSeparator" w:id="0">
    <w:p w:rsidR="00D716DC" w:rsidRDefault="00D71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DC"/>
    <w:rsid w:val="00012DBE"/>
    <w:rsid w:val="0003404F"/>
    <w:rsid w:val="000A1D81"/>
    <w:rsid w:val="000B4F98"/>
    <w:rsid w:val="00111ED3"/>
    <w:rsid w:val="001C190E"/>
    <w:rsid w:val="002168F4"/>
    <w:rsid w:val="002A727C"/>
    <w:rsid w:val="005D2707"/>
    <w:rsid w:val="00606255"/>
    <w:rsid w:val="006B607A"/>
    <w:rsid w:val="006E5556"/>
    <w:rsid w:val="007D451C"/>
    <w:rsid w:val="00826224"/>
    <w:rsid w:val="008A70FF"/>
    <w:rsid w:val="008F2290"/>
    <w:rsid w:val="008F258A"/>
    <w:rsid w:val="00930A23"/>
    <w:rsid w:val="009C7354"/>
    <w:rsid w:val="009E6D7F"/>
    <w:rsid w:val="00A11D2E"/>
    <w:rsid w:val="00A11E73"/>
    <w:rsid w:val="00A2521E"/>
    <w:rsid w:val="00A34E23"/>
    <w:rsid w:val="00AE436A"/>
    <w:rsid w:val="00C135B1"/>
    <w:rsid w:val="00C8022E"/>
    <w:rsid w:val="00C92DF8"/>
    <w:rsid w:val="00CB3578"/>
    <w:rsid w:val="00D20AFA"/>
    <w:rsid w:val="00D55648"/>
    <w:rsid w:val="00D716DC"/>
    <w:rsid w:val="00E16443"/>
    <w:rsid w:val="00E36EE9"/>
    <w:rsid w:val="00F13442"/>
    <w:rsid w:val="00F4677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39BB5"/>
  <w15:docId w15:val="{EB217F8A-06A1-4603-89A7-554B566E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8A7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452</ap:Words>
  <ap:Characters>2489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2019-12-03T16:27:00.0000000Z</dcterms:created>
  <dcterms:modified xsi:type="dcterms:W3CDTF">2019-12-03T16:27:00.0000000Z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0x01010075AAA0DF33CB2A42B0AF0ECB81598E2E</vt:lpwstr>
  </property>
</Properties>
</file>