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30551" w:rsidR="00A30551" w:rsidP="000D0DF5" w:rsidRDefault="00A305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0551">
              <w:rPr>
                <w:rFonts w:ascii="Times New Roman" w:hAnsi="Times New Roman"/>
              </w:rPr>
              <w:t>De Tweede Kamer der Staten-</w:t>
            </w:r>
            <w:r w:rsidRPr="00A30551">
              <w:rPr>
                <w:rFonts w:ascii="Times New Roman" w:hAnsi="Times New Roman"/>
              </w:rPr>
              <w:fldChar w:fldCharType="begin"/>
            </w:r>
            <w:r w:rsidRPr="00A30551">
              <w:rPr>
                <w:rFonts w:ascii="Times New Roman" w:hAnsi="Times New Roman"/>
              </w:rPr>
              <w:instrText xml:space="preserve">PRIVATE </w:instrText>
            </w:r>
            <w:r w:rsidRPr="00A30551">
              <w:rPr>
                <w:rFonts w:ascii="Times New Roman" w:hAnsi="Times New Roman"/>
              </w:rPr>
              <w:fldChar w:fldCharType="end"/>
            </w:r>
          </w:p>
          <w:p w:rsidRPr="00A30551" w:rsidR="00A30551" w:rsidP="000D0DF5" w:rsidRDefault="00A305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0551">
              <w:rPr>
                <w:rFonts w:ascii="Times New Roman" w:hAnsi="Times New Roman"/>
              </w:rPr>
              <w:t>Generaal zendt bijgaand door</w:t>
            </w:r>
          </w:p>
          <w:p w:rsidRPr="00A30551" w:rsidR="00A30551" w:rsidP="000D0DF5" w:rsidRDefault="00A305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0551">
              <w:rPr>
                <w:rFonts w:ascii="Times New Roman" w:hAnsi="Times New Roman"/>
              </w:rPr>
              <w:t>haar aangenomen wetsvoorstel</w:t>
            </w:r>
          </w:p>
          <w:p w:rsidRPr="00A30551" w:rsidR="00A30551" w:rsidP="000D0DF5" w:rsidRDefault="00A305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0551">
              <w:rPr>
                <w:rFonts w:ascii="Times New Roman" w:hAnsi="Times New Roman"/>
              </w:rPr>
              <w:t>aan de Eerste Kamer.</w:t>
            </w:r>
          </w:p>
          <w:p w:rsidRPr="00A30551" w:rsidR="00A30551" w:rsidP="000D0DF5" w:rsidRDefault="00A305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0551" w:rsidR="00A30551" w:rsidP="000D0DF5" w:rsidRDefault="00A305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0551">
              <w:rPr>
                <w:rFonts w:ascii="Times New Roman" w:hAnsi="Times New Roman"/>
              </w:rPr>
              <w:t>De Voorzitter,</w:t>
            </w:r>
          </w:p>
          <w:p w:rsidRPr="00A30551" w:rsidR="00A30551" w:rsidP="000D0DF5" w:rsidRDefault="00A305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0551" w:rsidR="00A30551" w:rsidP="000D0DF5" w:rsidRDefault="00A305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0551" w:rsidR="00A30551" w:rsidP="000D0DF5" w:rsidRDefault="00A305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0551" w:rsidR="00A30551" w:rsidP="000D0DF5" w:rsidRDefault="00A305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0551" w:rsidR="00A30551" w:rsidP="000D0DF5" w:rsidRDefault="00A305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0551" w:rsidR="00A30551" w:rsidP="000D0DF5" w:rsidRDefault="00A305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0551" w:rsidR="00A30551" w:rsidP="000D0DF5" w:rsidRDefault="00A305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0551" w:rsidR="00A30551" w:rsidP="000D0DF5" w:rsidRDefault="00A305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0551" w:rsidR="00A30551" w:rsidP="000D0DF5" w:rsidRDefault="00A30551">
            <w:pPr>
              <w:rPr>
                <w:rFonts w:ascii="Times New Roman" w:hAnsi="Times New Roman"/>
              </w:rPr>
            </w:pPr>
          </w:p>
          <w:p w:rsidRPr="00A30551" w:rsidR="00CB3578" w:rsidP="00A30551" w:rsidRDefault="00A30551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A30551">
              <w:rPr>
                <w:rFonts w:ascii="Times New Roman" w:hAnsi="Times New Roman" w:cs="Times New Roman"/>
                <w:b w:val="0"/>
                <w:sz w:val="20"/>
              </w:rPr>
              <w:t>3 december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A30551" w:rsidTr="001B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01629" w:rsidR="00A30551" w:rsidP="000D5BC4" w:rsidRDefault="00A30551">
            <w:pPr>
              <w:rPr>
                <w:rFonts w:ascii="Times New Roman" w:hAnsi="Times New Roman"/>
                <w:b/>
                <w:sz w:val="24"/>
              </w:rPr>
            </w:pPr>
            <w:r w:rsidRPr="00E01629">
              <w:rPr>
                <w:rFonts w:ascii="Times New Roman" w:hAnsi="Times New Roman"/>
                <w:b/>
                <w:sz w:val="24"/>
              </w:rPr>
              <w:t>Wijziging van de begrotingsstaten van het Ministerie van Economische Zaken en Klimaat (XIII) voor het jaar 2019 (incidentele suppletoire begroting inzake Urgenda)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A30551" w:rsidTr="00F8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A30551" w:rsidRDefault="00A30551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83F1B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  <w:tr w:rsidRPr="002168F4" w:rsidR="00E83F1B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E83F1B" w:rsidP="00D55648" w:rsidRDefault="00E83F1B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E83F1B" w:rsidRDefault="00E83F1B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01629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01629">
        <w:rPr>
          <w:rFonts w:ascii="Times New Roman" w:hAnsi="Times New Roman"/>
          <w:sz w:val="24"/>
          <w:szCs w:val="20"/>
        </w:rPr>
        <w:t>Allen, die deze zullen zien of hore</w:t>
      </w:r>
      <w:r w:rsidR="00C369B7">
        <w:rPr>
          <w:rFonts w:ascii="Times New Roman" w:hAnsi="Times New Roman"/>
          <w:sz w:val="24"/>
          <w:szCs w:val="20"/>
        </w:rPr>
        <w:t>n lezen, saluut! doen te weten:</w:t>
      </w: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01629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Economische Zaken en Kli</w:t>
      </w:r>
      <w:r w:rsidR="00C369B7">
        <w:rPr>
          <w:rFonts w:ascii="Times New Roman" w:hAnsi="Times New Roman"/>
          <w:sz w:val="24"/>
          <w:szCs w:val="20"/>
        </w:rPr>
        <w:t>maat (XIII) voor het jaar 2019;</w:t>
      </w: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01629">
        <w:rPr>
          <w:rFonts w:ascii="Times New Roman" w:hAnsi="Times New Roman"/>
          <w:sz w:val="24"/>
          <w:szCs w:val="20"/>
        </w:rPr>
        <w:t>Zo is het, dat Wij met gemeen overleg der Staten-Generaal, hebben goedgevonden en verstaan, gelijk Wij g</w:t>
      </w:r>
      <w:r w:rsidR="00C369B7">
        <w:rPr>
          <w:rFonts w:ascii="Times New Roman" w:hAnsi="Times New Roman"/>
          <w:sz w:val="24"/>
          <w:szCs w:val="20"/>
        </w:rPr>
        <w:t>oedvinden en verstaan bij deze:</w:t>
      </w:r>
    </w:p>
    <w:p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01629">
        <w:rPr>
          <w:rFonts w:ascii="Times New Roman" w:hAnsi="Times New Roman"/>
          <w:b/>
          <w:sz w:val="24"/>
          <w:szCs w:val="20"/>
        </w:rPr>
        <w:t>Artikel 1</w:t>
      </w: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01629">
        <w:rPr>
          <w:rFonts w:ascii="Times New Roman" w:hAnsi="Times New Roman"/>
          <w:sz w:val="24"/>
          <w:szCs w:val="20"/>
        </w:rPr>
        <w:t>De departementale begrotingsstaat voor het jaar 2019 wordt gewijzigd, zoals blijkt uit de desbetreffend</w:t>
      </w:r>
      <w:r w:rsidR="00C369B7">
        <w:rPr>
          <w:rFonts w:ascii="Times New Roman" w:hAnsi="Times New Roman"/>
          <w:sz w:val="24"/>
          <w:szCs w:val="20"/>
        </w:rPr>
        <w:t>e bij deze wet behorende staat.</w:t>
      </w: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01629">
        <w:rPr>
          <w:rFonts w:ascii="Times New Roman" w:hAnsi="Times New Roman"/>
          <w:b/>
          <w:sz w:val="24"/>
          <w:szCs w:val="20"/>
        </w:rPr>
        <w:t>Artikel 2</w:t>
      </w: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01629">
        <w:rPr>
          <w:rFonts w:ascii="Times New Roman" w:hAnsi="Times New Roman"/>
          <w:sz w:val="24"/>
          <w:szCs w:val="20"/>
        </w:rPr>
        <w:t>De vaststelling van de begrotingsstaten</w:t>
      </w:r>
      <w:r w:rsidR="00C369B7">
        <w:rPr>
          <w:rFonts w:ascii="Times New Roman" w:hAnsi="Times New Roman"/>
          <w:sz w:val="24"/>
          <w:szCs w:val="20"/>
        </w:rPr>
        <w:t xml:space="preserve"> geschiedt in duizenden euro’s.</w:t>
      </w: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01629">
        <w:rPr>
          <w:rFonts w:ascii="Times New Roman" w:hAnsi="Times New Roman"/>
          <w:b/>
          <w:sz w:val="24"/>
          <w:szCs w:val="20"/>
        </w:rPr>
        <w:t>Artikel 3</w:t>
      </w: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01629">
        <w:rPr>
          <w:rFonts w:ascii="Times New Roman" w:hAnsi="Times New Roman"/>
          <w:sz w:val="24"/>
          <w:szCs w:val="20"/>
        </w:rPr>
        <w:t>Deze wet treedt in werking met ingang van 1 juli van het onderhavige begrotingsjaar. Indien het Staatsblad waarin deze wet wordt geplaatst, wordt uitgegeven op of na de datum van 1 juli, dan treedt zij inwerking met ingang van de dag na de datum van uitgifte van dat Staatsblad en werkt zij terug tot en met 1 juli van het onderhavige begrotingsjaar.</w:t>
      </w: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E01629">
        <w:rPr>
          <w:rFonts w:ascii="Times New Roman" w:hAnsi="Times New Roman"/>
          <w:sz w:val="24"/>
          <w:szCs w:val="20"/>
        </w:rPr>
        <w:t xml:space="preserve">Lasten en bevelen dat deze in het Staatsblad zal worden geplaatst en dat alle ministeries, autoriteiten, colleges en ambtenaren die zulks aangaat, aan de nauwkeurige uitvoering de </w:t>
      </w:r>
      <w:r w:rsidR="00C369B7">
        <w:rPr>
          <w:rFonts w:ascii="Times New Roman" w:hAnsi="Times New Roman"/>
          <w:sz w:val="24"/>
          <w:szCs w:val="20"/>
        </w:rPr>
        <w:t>hand zullen houden.</w:t>
      </w: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01629">
        <w:rPr>
          <w:rFonts w:ascii="Times New Roman" w:hAnsi="Times New Roman"/>
          <w:sz w:val="24"/>
          <w:szCs w:val="20"/>
        </w:rPr>
        <w:t>Gegeven</w:t>
      </w:r>
    </w:p>
    <w:p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369B7" w:rsidP="00E01629" w:rsidRDefault="00C369B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369B7" w:rsidP="00E01629" w:rsidRDefault="00C369B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369B7" w:rsidP="00E01629" w:rsidRDefault="00C369B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B3578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01629">
        <w:rPr>
          <w:rFonts w:ascii="Times New Roman" w:hAnsi="Times New Roman"/>
          <w:sz w:val="24"/>
          <w:szCs w:val="20"/>
        </w:rPr>
        <w:t>De Minister van Economische Zaken en Klimaat</w:t>
      </w:r>
      <w:r w:rsidR="00C369B7">
        <w:rPr>
          <w:rFonts w:ascii="Times New Roman" w:hAnsi="Times New Roman"/>
          <w:sz w:val="24"/>
          <w:szCs w:val="20"/>
        </w:rPr>
        <w:t>,</w:t>
      </w:r>
    </w:p>
    <w:p w:rsidRPr="00E01629" w:rsidR="00A30551" w:rsidP="00A30551" w:rsidRDefault="00A305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30551" w:rsidP="00A30551" w:rsidRDefault="00A305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30551" w:rsidP="00A30551" w:rsidRDefault="00A305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30551" w:rsidP="00A30551" w:rsidRDefault="00A305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30551" w:rsidP="00A30551" w:rsidRDefault="00A305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30551" w:rsidP="00A30551" w:rsidRDefault="00A305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30551" w:rsidP="00A30551" w:rsidRDefault="00A305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30551" w:rsidP="00A30551" w:rsidRDefault="00A305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30551" w:rsidP="00A30551" w:rsidRDefault="00A305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30551" w:rsidP="00A30551" w:rsidRDefault="00A305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01629">
        <w:rPr>
          <w:rFonts w:ascii="Times New Roman" w:hAnsi="Times New Roman"/>
          <w:sz w:val="24"/>
          <w:szCs w:val="20"/>
        </w:rPr>
        <w:t>De Minister van Economische Zaken en Klimaat</w:t>
      </w:r>
      <w:r>
        <w:rPr>
          <w:rFonts w:ascii="Times New Roman" w:hAnsi="Times New Roman"/>
          <w:sz w:val="24"/>
          <w:szCs w:val="20"/>
        </w:rPr>
        <w:t>,</w:t>
      </w:r>
    </w:p>
    <w:p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E01629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01629">
        <w:rPr>
          <w:rFonts w:ascii="Times New Roman" w:hAnsi="Times New Roman"/>
          <w:b/>
          <w:sz w:val="24"/>
          <w:szCs w:val="20"/>
        </w:rPr>
        <w:lastRenderedPageBreak/>
        <w:t>Wijziging begrotingsstaat van het Ministerie van Economische Zaken en Klimaat (XIII) voor het jaar 2019</w:t>
      </w:r>
    </w:p>
    <w:tbl>
      <w:tblPr>
        <w:tblpPr w:leftFromText="141" w:rightFromText="141" w:vertAnchor="page" w:horzAnchor="margin" w:tblpXSpec="center" w:tblpY="2011"/>
        <w:tblW w:w="5414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03"/>
        <w:gridCol w:w="2534"/>
        <w:gridCol w:w="1540"/>
        <w:gridCol w:w="1269"/>
        <w:gridCol w:w="1407"/>
        <w:gridCol w:w="1552"/>
        <w:gridCol w:w="1068"/>
        <w:gridCol w:w="1407"/>
        <w:gridCol w:w="1552"/>
        <w:gridCol w:w="1068"/>
        <w:gridCol w:w="1395"/>
      </w:tblGrid>
      <w:tr w:rsidRPr="00B1215D" w:rsidR="00A30551" w:rsidTr="00A30551">
        <w:trPr>
          <w:trHeight w:val="243"/>
        </w:trPr>
        <w:tc>
          <w:tcPr>
            <w:tcW w:w="196" w:type="pct"/>
            <w:tcBorders>
              <w:bottom w:val="single" w:color="auto" w:sz="4" w:space="0"/>
            </w:tcBorders>
            <w:shd w:val="clear" w:color="auto" w:fill="auto"/>
            <w:hideMark/>
          </w:tcPr>
          <w:p w:rsidRPr="00B1215D" w:rsidR="00A30551" w:rsidP="00A30551" w:rsidRDefault="00A30551">
            <w:pPr>
              <w:jc w:val="center"/>
              <w:rPr>
                <w:b/>
                <w:bCs/>
                <w:sz w:val="18"/>
                <w:szCs w:val="18"/>
              </w:rPr>
            </w:pPr>
            <w:r w:rsidRPr="00B1215D">
              <w:rPr>
                <w:b/>
                <w:bCs/>
                <w:sz w:val="18"/>
                <w:szCs w:val="18"/>
              </w:rPr>
              <w:t>Art.</w:t>
            </w:r>
          </w:p>
        </w:tc>
        <w:tc>
          <w:tcPr>
            <w:tcW w:w="823" w:type="pct"/>
            <w:tcBorders>
              <w:bottom w:val="single" w:color="auto" w:sz="4" w:space="0"/>
            </w:tcBorders>
            <w:shd w:val="clear" w:color="auto" w:fill="auto"/>
            <w:hideMark/>
          </w:tcPr>
          <w:p w:rsidRPr="00B1215D" w:rsidR="00A30551" w:rsidP="00A30551" w:rsidRDefault="00A30551">
            <w:pPr>
              <w:jc w:val="center"/>
              <w:rPr>
                <w:b/>
                <w:bCs/>
                <w:sz w:val="18"/>
                <w:szCs w:val="18"/>
              </w:rPr>
            </w:pPr>
            <w:r w:rsidRPr="00B1215D">
              <w:rPr>
                <w:b/>
                <w:bCs/>
                <w:sz w:val="18"/>
                <w:szCs w:val="18"/>
              </w:rPr>
              <w:t>Omschrijving</w:t>
            </w:r>
          </w:p>
        </w:tc>
        <w:tc>
          <w:tcPr>
            <w:tcW w:w="1369" w:type="pct"/>
            <w:gridSpan w:val="3"/>
            <w:tcBorders>
              <w:bottom w:val="single" w:color="auto" w:sz="4" w:space="0"/>
            </w:tcBorders>
            <w:shd w:val="clear" w:color="auto" w:fill="auto"/>
            <w:hideMark/>
          </w:tcPr>
          <w:p w:rsidRPr="00B1215D" w:rsidR="00A30551" w:rsidP="00A30551" w:rsidRDefault="00A30551">
            <w:pPr>
              <w:jc w:val="center"/>
              <w:rPr>
                <w:b/>
                <w:bCs/>
                <w:sz w:val="18"/>
                <w:szCs w:val="18"/>
              </w:rPr>
            </w:pPr>
            <w:r w:rsidRPr="00B1215D">
              <w:rPr>
                <w:b/>
                <w:bCs/>
                <w:sz w:val="18"/>
                <w:szCs w:val="18"/>
              </w:rPr>
              <w:t>Vastgestelde begroting (incl. NvW)</w:t>
            </w:r>
          </w:p>
        </w:tc>
        <w:tc>
          <w:tcPr>
            <w:tcW w:w="1308" w:type="pct"/>
            <w:gridSpan w:val="3"/>
            <w:tcBorders>
              <w:bottom w:val="single" w:color="auto" w:sz="4" w:space="0"/>
            </w:tcBorders>
            <w:shd w:val="clear" w:color="auto" w:fill="auto"/>
          </w:tcPr>
          <w:p w:rsidRPr="00B1215D" w:rsidR="00A30551" w:rsidP="00A30551" w:rsidRDefault="00A30551">
            <w:pPr>
              <w:jc w:val="center"/>
              <w:rPr>
                <w:b/>
                <w:bCs/>
                <w:sz w:val="18"/>
                <w:szCs w:val="18"/>
              </w:rPr>
            </w:pPr>
            <w:r w:rsidRPr="00B1215D">
              <w:rPr>
                <w:b/>
                <w:bCs/>
                <w:sz w:val="18"/>
                <w:szCs w:val="18"/>
              </w:rPr>
              <w:t>Mutaties 1</w:t>
            </w:r>
            <w:r w:rsidRPr="00B1215D">
              <w:rPr>
                <w:b/>
                <w:bCs/>
                <w:sz w:val="18"/>
                <w:szCs w:val="18"/>
                <w:vertAlign w:val="superscript"/>
              </w:rPr>
              <w:t>e</w:t>
            </w:r>
            <w:r w:rsidRPr="00B1215D">
              <w:rPr>
                <w:b/>
                <w:bCs/>
                <w:sz w:val="18"/>
                <w:szCs w:val="18"/>
              </w:rPr>
              <w:t xml:space="preserve"> suppletoire begroting</w:t>
            </w:r>
          </w:p>
        </w:tc>
        <w:tc>
          <w:tcPr>
            <w:tcW w:w="1304" w:type="pct"/>
            <w:gridSpan w:val="3"/>
            <w:tcBorders>
              <w:bottom w:val="single" w:color="auto" w:sz="4" w:space="0"/>
            </w:tcBorders>
            <w:shd w:val="clear" w:color="auto" w:fill="auto"/>
            <w:hideMark/>
          </w:tcPr>
          <w:p w:rsidRPr="00B1215D" w:rsidR="00A30551" w:rsidP="00A30551" w:rsidRDefault="00A30551">
            <w:pPr>
              <w:jc w:val="center"/>
              <w:rPr>
                <w:b/>
                <w:bCs/>
                <w:sz w:val="18"/>
                <w:szCs w:val="18"/>
              </w:rPr>
            </w:pPr>
            <w:r w:rsidRPr="00B1215D">
              <w:rPr>
                <w:b/>
                <w:bCs/>
                <w:sz w:val="18"/>
                <w:szCs w:val="18"/>
              </w:rPr>
              <w:t>Mutaties incidentele suppletoire begroting</w:t>
            </w:r>
          </w:p>
        </w:tc>
      </w:tr>
      <w:tr w:rsidRPr="00B1215D" w:rsidR="00A30551" w:rsidTr="00A30551">
        <w:trPr>
          <w:trHeight w:val="226"/>
        </w:trPr>
        <w:tc>
          <w:tcPr>
            <w:tcW w:w="196" w:type="pct"/>
            <w:tcBorders>
              <w:top w:val="single" w:color="auto" w:sz="4" w:space="0"/>
            </w:tcBorders>
            <w:shd w:val="clear" w:color="auto" w:fill="auto"/>
            <w:hideMark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single" w:color="auto" w:sz="4" w:space="0"/>
            </w:tcBorders>
            <w:shd w:val="clear" w:color="auto" w:fill="auto"/>
            <w:hideMark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single" w:color="auto" w:sz="4" w:space="0"/>
            </w:tcBorders>
            <w:shd w:val="clear" w:color="auto" w:fill="auto"/>
            <w:hideMark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Verplichtingen</w:t>
            </w:r>
          </w:p>
        </w:tc>
        <w:tc>
          <w:tcPr>
            <w:tcW w:w="412" w:type="pct"/>
            <w:tcBorders>
              <w:top w:val="single" w:color="auto" w:sz="4" w:space="0"/>
            </w:tcBorders>
            <w:shd w:val="clear" w:color="auto" w:fill="auto"/>
            <w:hideMark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Uitgaven</w:t>
            </w:r>
          </w:p>
        </w:tc>
        <w:tc>
          <w:tcPr>
            <w:tcW w:w="456" w:type="pct"/>
            <w:tcBorders>
              <w:top w:val="single" w:color="auto" w:sz="4" w:space="0"/>
            </w:tcBorders>
            <w:shd w:val="clear" w:color="auto" w:fill="auto"/>
            <w:hideMark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Ontvangsten</w:t>
            </w:r>
          </w:p>
        </w:tc>
        <w:tc>
          <w:tcPr>
            <w:tcW w:w="504" w:type="pct"/>
            <w:tcBorders>
              <w:top w:val="single" w:color="auto" w:sz="4" w:space="0"/>
            </w:tcBorders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Verplichtingen</w:t>
            </w:r>
          </w:p>
        </w:tc>
        <w:tc>
          <w:tcPr>
            <w:tcW w:w="347" w:type="pct"/>
            <w:tcBorders>
              <w:top w:val="single" w:color="auto" w:sz="4" w:space="0"/>
            </w:tcBorders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Uitgaven</w:t>
            </w:r>
          </w:p>
        </w:tc>
        <w:tc>
          <w:tcPr>
            <w:tcW w:w="457" w:type="pct"/>
            <w:tcBorders>
              <w:top w:val="single" w:color="auto" w:sz="4" w:space="0"/>
            </w:tcBorders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Ontvangsten</w:t>
            </w:r>
          </w:p>
        </w:tc>
        <w:tc>
          <w:tcPr>
            <w:tcW w:w="504" w:type="pct"/>
            <w:tcBorders>
              <w:top w:val="single" w:color="auto" w:sz="4" w:space="0"/>
            </w:tcBorders>
            <w:shd w:val="clear" w:color="auto" w:fill="auto"/>
            <w:hideMark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Verplichtingen</w:t>
            </w:r>
          </w:p>
        </w:tc>
        <w:tc>
          <w:tcPr>
            <w:tcW w:w="347" w:type="pct"/>
            <w:tcBorders>
              <w:top w:val="single" w:color="auto" w:sz="4" w:space="0"/>
            </w:tcBorders>
            <w:shd w:val="clear" w:color="auto" w:fill="auto"/>
            <w:hideMark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Uitgaven</w:t>
            </w:r>
          </w:p>
        </w:tc>
        <w:tc>
          <w:tcPr>
            <w:tcW w:w="453" w:type="pct"/>
            <w:tcBorders>
              <w:top w:val="single" w:color="auto" w:sz="4" w:space="0"/>
            </w:tcBorders>
            <w:shd w:val="clear" w:color="auto" w:fill="auto"/>
            <w:hideMark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Ontvangsten</w:t>
            </w:r>
          </w:p>
        </w:tc>
      </w:tr>
      <w:tr w:rsidRPr="00B1215D" w:rsidR="00A30551" w:rsidTr="00A30551">
        <w:trPr>
          <w:trHeight w:val="275"/>
        </w:trPr>
        <w:tc>
          <w:tcPr>
            <w:tcW w:w="196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</w:p>
        </w:tc>
        <w:tc>
          <w:tcPr>
            <w:tcW w:w="823" w:type="pct"/>
            <w:shd w:val="clear" w:color="auto" w:fill="auto"/>
          </w:tcPr>
          <w:p w:rsidRPr="00B1215D" w:rsidR="00A30551" w:rsidP="00A30551" w:rsidRDefault="00A30551">
            <w:pPr>
              <w:rPr>
                <w:b/>
                <w:sz w:val="18"/>
                <w:szCs w:val="18"/>
              </w:rPr>
            </w:pPr>
            <w:r w:rsidRPr="00B1215D">
              <w:rPr>
                <w:b/>
                <w:sz w:val="18"/>
                <w:szCs w:val="18"/>
              </w:rPr>
              <w:t>Totaal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Pr="00B1215D" w:rsidR="00A30551" w:rsidP="00A30551" w:rsidRDefault="00A3055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215D">
              <w:rPr>
                <w:b/>
                <w:bCs/>
                <w:color w:val="000000"/>
                <w:sz w:val="18"/>
                <w:szCs w:val="18"/>
              </w:rPr>
              <w:t>13.582.971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Pr="00B1215D" w:rsidR="00A30551" w:rsidP="00A30551" w:rsidRDefault="00A3055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215D">
              <w:rPr>
                <w:b/>
                <w:bCs/>
                <w:color w:val="000000"/>
                <w:sz w:val="18"/>
                <w:szCs w:val="18"/>
              </w:rPr>
              <w:t>4.609.162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Pr="00B1215D" w:rsidR="00A30551" w:rsidP="00A30551" w:rsidRDefault="00A3055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215D">
              <w:rPr>
                <w:b/>
                <w:bCs/>
                <w:color w:val="000000"/>
                <w:sz w:val="18"/>
                <w:szCs w:val="18"/>
              </w:rPr>
              <w:t>4.179.847</w:t>
            </w:r>
          </w:p>
        </w:tc>
        <w:tc>
          <w:tcPr>
            <w:tcW w:w="504" w:type="pct"/>
            <w:shd w:val="clear" w:color="auto" w:fill="auto"/>
            <w:vAlign w:val="bottom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  <w:r w:rsidRPr="00B1215D">
              <w:rPr>
                <w:b/>
                <w:sz w:val="18"/>
                <w:szCs w:val="18"/>
              </w:rPr>
              <w:t>332.412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  <w:r w:rsidRPr="00B1215D">
              <w:rPr>
                <w:b/>
                <w:sz w:val="18"/>
                <w:szCs w:val="18"/>
              </w:rPr>
              <w:t>300.867</w:t>
            </w:r>
          </w:p>
        </w:tc>
        <w:tc>
          <w:tcPr>
            <w:tcW w:w="457" w:type="pct"/>
            <w:shd w:val="clear" w:color="auto" w:fill="auto"/>
            <w:vAlign w:val="bottom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  <w:r w:rsidRPr="00B1215D">
              <w:rPr>
                <w:b/>
                <w:sz w:val="18"/>
                <w:szCs w:val="18"/>
              </w:rPr>
              <w:t>71.385</w:t>
            </w:r>
          </w:p>
        </w:tc>
        <w:tc>
          <w:tcPr>
            <w:tcW w:w="504" w:type="pct"/>
            <w:shd w:val="clear" w:color="auto" w:fill="auto"/>
            <w:vAlign w:val="bottom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  <w:r w:rsidRPr="00B1215D">
              <w:rPr>
                <w:b/>
                <w:bCs/>
                <w:sz w:val="18"/>
                <w:szCs w:val="18"/>
              </w:rPr>
              <w:t>117.900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  <w:r w:rsidRPr="00B1215D">
              <w:rPr>
                <w:b/>
                <w:bCs/>
                <w:sz w:val="18"/>
                <w:szCs w:val="18"/>
              </w:rPr>
              <w:t>114.400</w:t>
            </w:r>
          </w:p>
        </w:tc>
        <w:tc>
          <w:tcPr>
            <w:tcW w:w="453" w:type="pct"/>
            <w:shd w:val="clear" w:color="auto" w:fill="auto"/>
            <w:vAlign w:val="bottom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  <w:r w:rsidRPr="00B1215D">
              <w:rPr>
                <w:b/>
                <w:bCs/>
                <w:sz w:val="18"/>
                <w:szCs w:val="18"/>
              </w:rPr>
              <w:t>170.950</w:t>
            </w:r>
          </w:p>
        </w:tc>
      </w:tr>
      <w:tr w:rsidRPr="00B1215D" w:rsidR="00A30551" w:rsidTr="00A30551">
        <w:trPr>
          <w:trHeight w:val="257"/>
        </w:trPr>
        <w:tc>
          <w:tcPr>
            <w:tcW w:w="196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</w:p>
        </w:tc>
        <w:tc>
          <w:tcPr>
            <w:tcW w:w="823" w:type="pct"/>
            <w:shd w:val="clear" w:color="auto" w:fill="auto"/>
          </w:tcPr>
          <w:p w:rsidRPr="00B1215D" w:rsidR="00A30551" w:rsidP="00A30551" w:rsidRDefault="00A30551">
            <w:pPr>
              <w:rPr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Pr="00B1215D" w:rsidR="00A30551" w:rsidTr="00A30551">
        <w:trPr>
          <w:trHeight w:val="257"/>
        </w:trPr>
        <w:tc>
          <w:tcPr>
            <w:tcW w:w="196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</w:p>
        </w:tc>
        <w:tc>
          <w:tcPr>
            <w:tcW w:w="823" w:type="pct"/>
            <w:shd w:val="clear" w:color="auto" w:fill="auto"/>
          </w:tcPr>
          <w:p w:rsidRPr="00B1215D" w:rsidR="00A30551" w:rsidP="00A30551" w:rsidRDefault="00A30551">
            <w:pPr>
              <w:rPr>
                <w:b/>
                <w:sz w:val="18"/>
                <w:szCs w:val="18"/>
              </w:rPr>
            </w:pPr>
            <w:r w:rsidRPr="00B1215D">
              <w:rPr>
                <w:b/>
                <w:sz w:val="18"/>
                <w:szCs w:val="18"/>
              </w:rPr>
              <w:t>Beleidsartikelen</w:t>
            </w:r>
          </w:p>
        </w:tc>
        <w:tc>
          <w:tcPr>
            <w:tcW w:w="500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215D">
              <w:rPr>
                <w:b/>
                <w:bCs/>
                <w:color w:val="000000"/>
                <w:sz w:val="18"/>
                <w:szCs w:val="18"/>
              </w:rPr>
              <w:t>13.304.589</w:t>
            </w:r>
          </w:p>
        </w:tc>
        <w:tc>
          <w:tcPr>
            <w:tcW w:w="412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215D">
              <w:rPr>
                <w:b/>
                <w:bCs/>
                <w:color w:val="000000"/>
                <w:sz w:val="18"/>
                <w:szCs w:val="18"/>
              </w:rPr>
              <w:t>4.330.780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Pr="00B1215D" w:rsidR="00A30551" w:rsidP="00A30551" w:rsidRDefault="00A3055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215D">
              <w:rPr>
                <w:b/>
                <w:bCs/>
                <w:color w:val="000000"/>
                <w:sz w:val="18"/>
                <w:szCs w:val="18"/>
              </w:rPr>
              <w:t>4.154.421</w:t>
            </w:r>
          </w:p>
        </w:tc>
        <w:tc>
          <w:tcPr>
            <w:tcW w:w="504" w:type="pct"/>
            <w:shd w:val="clear" w:color="auto" w:fill="auto"/>
            <w:vAlign w:val="bottom"/>
          </w:tcPr>
          <w:p w:rsidRPr="00B1215D" w:rsidR="00A30551" w:rsidP="00A30551" w:rsidRDefault="00A30551">
            <w:pPr>
              <w:jc w:val="right"/>
              <w:rPr>
                <w:b/>
                <w:bCs/>
                <w:sz w:val="18"/>
                <w:szCs w:val="18"/>
              </w:rPr>
            </w:pPr>
            <w:r w:rsidRPr="00B1215D">
              <w:rPr>
                <w:b/>
                <w:bCs/>
                <w:sz w:val="18"/>
                <w:szCs w:val="18"/>
              </w:rPr>
              <w:t>275.872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Pr="00B1215D" w:rsidR="00A30551" w:rsidP="00A30551" w:rsidRDefault="00A30551">
            <w:pPr>
              <w:jc w:val="right"/>
              <w:rPr>
                <w:b/>
                <w:bCs/>
                <w:sz w:val="18"/>
                <w:szCs w:val="18"/>
              </w:rPr>
            </w:pPr>
            <w:r w:rsidRPr="00B1215D">
              <w:rPr>
                <w:b/>
                <w:bCs/>
                <w:sz w:val="18"/>
                <w:szCs w:val="18"/>
              </w:rPr>
              <w:t>244.327</w:t>
            </w:r>
          </w:p>
        </w:tc>
        <w:tc>
          <w:tcPr>
            <w:tcW w:w="457" w:type="pct"/>
            <w:shd w:val="clear" w:color="auto" w:fill="auto"/>
            <w:vAlign w:val="bottom"/>
          </w:tcPr>
          <w:p w:rsidRPr="00B1215D" w:rsidR="00A30551" w:rsidP="00A30551" w:rsidRDefault="00A30551">
            <w:pPr>
              <w:jc w:val="right"/>
              <w:rPr>
                <w:b/>
                <w:bCs/>
                <w:sz w:val="18"/>
                <w:szCs w:val="18"/>
              </w:rPr>
            </w:pPr>
            <w:r w:rsidRPr="00B1215D">
              <w:rPr>
                <w:b/>
                <w:bCs/>
                <w:sz w:val="18"/>
                <w:szCs w:val="18"/>
              </w:rPr>
              <w:t>71.385</w:t>
            </w:r>
          </w:p>
        </w:tc>
        <w:tc>
          <w:tcPr>
            <w:tcW w:w="504" w:type="pct"/>
            <w:shd w:val="clear" w:color="auto" w:fill="auto"/>
            <w:vAlign w:val="bottom"/>
          </w:tcPr>
          <w:p w:rsidRPr="00B1215D" w:rsidR="00A30551" w:rsidP="00A30551" w:rsidRDefault="00A30551">
            <w:pPr>
              <w:jc w:val="right"/>
              <w:rPr>
                <w:b/>
                <w:bCs/>
                <w:sz w:val="18"/>
                <w:szCs w:val="18"/>
              </w:rPr>
            </w:pPr>
            <w:r w:rsidRPr="00B1215D">
              <w:rPr>
                <w:b/>
                <w:bCs/>
                <w:sz w:val="18"/>
                <w:szCs w:val="18"/>
              </w:rPr>
              <w:t>117.900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Pr="00B1215D" w:rsidR="00A30551" w:rsidP="00A30551" w:rsidRDefault="00A30551">
            <w:pPr>
              <w:jc w:val="right"/>
              <w:rPr>
                <w:b/>
                <w:bCs/>
                <w:sz w:val="18"/>
                <w:szCs w:val="18"/>
              </w:rPr>
            </w:pPr>
            <w:r w:rsidRPr="00B1215D">
              <w:rPr>
                <w:b/>
                <w:bCs/>
                <w:sz w:val="18"/>
                <w:szCs w:val="18"/>
              </w:rPr>
              <w:t>114.400</w:t>
            </w:r>
          </w:p>
        </w:tc>
        <w:tc>
          <w:tcPr>
            <w:tcW w:w="453" w:type="pct"/>
            <w:shd w:val="clear" w:color="auto" w:fill="auto"/>
            <w:vAlign w:val="bottom"/>
          </w:tcPr>
          <w:p w:rsidRPr="00B1215D" w:rsidR="00A30551" w:rsidP="00A30551" w:rsidRDefault="00A30551">
            <w:pPr>
              <w:jc w:val="right"/>
              <w:rPr>
                <w:b/>
                <w:bCs/>
                <w:sz w:val="18"/>
                <w:szCs w:val="18"/>
              </w:rPr>
            </w:pPr>
            <w:r w:rsidRPr="00B1215D">
              <w:rPr>
                <w:b/>
                <w:bCs/>
                <w:sz w:val="18"/>
                <w:szCs w:val="18"/>
              </w:rPr>
              <w:t>170.950</w:t>
            </w:r>
          </w:p>
        </w:tc>
      </w:tr>
      <w:tr w:rsidRPr="00B1215D" w:rsidR="00A30551" w:rsidTr="00A30551">
        <w:trPr>
          <w:trHeight w:val="487"/>
        </w:trPr>
        <w:tc>
          <w:tcPr>
            <w:tcW w:w="196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1</w:t>
            </w:r>
          </w:p>
        </w:tc>
        <w:tc>
          <w:tcPr>
            <w:tcW w:w="823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Goed functionerende economie en markten</w:t>
            </w:r>
          </w:p>
        </w:tc>
        <w:tc>
          <w:tcPr>
            <w:tcW w:w="500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197.060</w:t>
            </w:r>
          </w:p>
        </w:tc>
        <w:tc>
          <w:tcPr>
            <w:tcW w:w="412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196.389</w:t>
            </w:r>
          </w:p>
        </w:tc>
        <w:tc>
          <w:tcPr>
            <w:tcW w:w="456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color w:val="000000"/>
                <w:sz w:val="18"/>
                <w:szCs w:val="18"/>
              </w:rPr>
            </w:pPr>
            <w:r w:rsidRPr="00B1215D">
              <w:rPr>
                <w:color w:val="000000"/>
                <w:sz w:val="18"/>
                <w:szCs w:val="18"/>
              </w:rPr>
              <w:t>31.062</w:t>
            </w: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12.649</w:t>
            </w: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4.271</w:t>
            </w:r>
          </w:p>
        </w:tc>
        <w:tc>
          <w:tcPr>
            <w:tcW w:w="45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872</w:t>
            </w: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</w:tr>
      <w:tr w:rsidRPr="00B1215D" w:rsidR="00A30551" w:rsidTr="00A30551">
        <w:trPr>
          <w:trHeight w:val="472"/>
        </w:trPr>
        <w:tc>
          <w:tcPr>
            <w:tcW w:w="196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2</w:t>
            </w:r>
          </w:p>
        </w:tc>
        <w:tc>
          <w:tcPr>
            <w:tcW w:w="823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Bedrijvenbeleid: innovatie en duurzaam ondernemen</w:t>
            </w:r>
          </w:p>
        </w:tc>
        <w:tc>
          <w:tcPr>
            <w:tcW w:w="500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color w:val="000000"/>
                <w:sz w:val="18"/>
                <w:szCs w:val="18"/>
              </w:rPr>
            </w:pPr>
            <w:r w:rsidRPr="00B1215D">
              <w:rPr>
                <w:color w:val="000000"/>
                <w:sz w:val="18"/>
                <w:szCs w:val="18"/>
              </w:rPr>
              <w:t>2.135.414</w:t>
            </w:r>
          </w:p>
        </w:tc>
        <w:tc>
          <w:tcPr>
            <w:tcW w:w="412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color w:val="000000"/>
                <w:sz w:val="18"/>
                <w:szCs w:val="18"/>
              </w:rPr>
            </w:pPr>
            <w:r w:rsidRPr="00B1215D">
              <w:rPr>
                <w:color w:val="000000"/>
                <w:sz w:val="18"/>
                <w:szCs w:val="18"/>
              </w:rPr>
              <w:t>937.668</w:t>
            </w:r>
          </w:p>
        </w:tc>
        <w:tc>
          <w:tcPr>
            <w:tcW w:w="456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color w:val="000000"/>
                <w:sz w:val="18"/>
                <w:szCs w:val="18"/>
              </w:rPr>
            </w:pPr>
            <w:r w:rsidRPr="00B1215D">
              <w:rPr>
                <w:color w:val="000000"/>
                <w:sz w:val="18"/>
                <w:szCs w:val="18"/>
              </w:rPr>
              <w:t>113.157</w:t>
            </w: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62.550</w:t>
            </w: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37.338</w:t>
            </w:r>
          </w:p>
        </w:tc>
        <w:tc>
          <w:tcPr>
            <w:tcW w:w="45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11.333</w:t>
            </w: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21.000</w:t>
            </w: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17.500</w:t>
            </w:r>
          </w:p>
        </w:tc>
        <w:tc>
          <w:tcPr>
            <w:tcW w:w="453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0</w:t>
            </w:r>
          </w:p>
        </w:tc>
      </w:tr>
      <w:tr w:rsidRPr="00B1215D" w:rsidR="00A30551" w:rsidTr="00A30551">
        <w:trPr>
          <w:trHeight w:val="275"/>
        </w:trPr>
        <w:tc>
          <w:tcPr>
            <w:tcW w:w="196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3</w:t>
            </w:r>
          </w:p>
        </w:tc>
        <w:tc>
          <w:tcPr>
            <w:tcW w:w="823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Toekomstfonds</w:t>
            </w:r>
          </w:p>
        </w:tc>
        <w:tc>
          <w:tcPr>
            <w:tcW w:w="500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color w:val="000000"/>
                <w:sz w:val="18"/>
                <w:szCs w:val="18"/>
              </w:rPr>
            </w:pPr>
            <w:r w:rsidRPr="00B1215D">
              <w:rPr>
                <w:color w:val="000000"/>
                <w:sz w:val="18"/>
                <w:szCs w:val="18"/>
              </w:rPr>
              <w:t>145.275</w:t>
            </w:r>
          </w:p>
        </w:tc>
        <w:tc>
          <w:tcPr>
            <w:tcW w:w="412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color w:val="000000"/>
                <w:sz w:val="18"/>
                <w:szCs w:val="18"/>
              </w:rPr>
            </w:pPr>
            <w:r w:rsidRPr="00B1215D">
              <w:rPr>
                <w:color w:val="000000"/>
                <w:sz w:val="18"/>
                <w:szCs w:val="18"/>
              </w:rPr>
              <w:t>177.977</w:t>
            </w:r>
          </w:p>
        </w:tc>
        <w:tc>
          <w:tcPr>
            <w:tcW w:w="456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color w:val="000000"/>
                <w:sz w:val="18"/>
                <w:szCs w:val="18"/>
              </w:rPr>
            </w:pPr>
            <w:r w:rsidRPr="00B1215D">
              <w:rPr>
                <w:color w:val="000000"/>
                <w:sz w:val="18"/>
                <w:szCs w:val="18"/>
              </w:rPr>
              <w:t>28.500</w:t>
            </w: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89.133</w:t>
            </w: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85.521</w:t>
            </w:r>
          </w:p>
        </w:tc>
        <w:tc>
          <w:tcPr>
            <w:tcW w:w="45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0</w:t>
            </w: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</w:tr>
      <w:tr w:rsidRPr="00B1215D" w:rsidR="00A30551" w:rsidTr="00A30551">
        <w:trPr>
          <w:trHeight w:val="945"/>
        </w:trPr>
        <w:tc>
          <w:tcPr>
            <w:tcW w:w="196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4</w:t>
            </w:r>
          </w:p>
        </w:tc>
        <w:tc>
          <w:tcPr>
            <w:tcW w:w="823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Een doelmatige energievoorziening en beperking van de klimaatverandering</w:t>
            </w:r>
          </w:p>
        </w:tc>
        <w:tc>
          <w:tcPr>
            <w:tcW w:w="500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color w:val="000000"/>
                <w:sz w:val="18"/>
                <w:szCs w:val="18"/>
              </w:rPr>
            </w:pPr>
            <w:r w:rsidRPr="00B1215D">
              <w:rPr>
                <w:color w:val="000000"/>
                <w:sz w:val="18"/>
                <w:szCs w:val="18"/>
              </w:rPr>
              <w:t>10.686.729</w:t>
            </w:r>
          </w:p>
        </w:tc>
        <w:tc>
          <w:tcPr>
            <w:tcW w:w="412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color w:val="000000"/>
                <w:sz w:val="18"/>
                <w:szCs w:val="18"/>
              </w:rPr>
            </w:pPr>
            <w:r w:rsidRPr="00B1215D">
              <w:rPr>
                <w:color w:val="000000"/>
                <w:sz w:val="18"/>
                <w:szCs w:val="18"/>
              </w:rPr>
              <w:t>2.878.275</w:t>
            </w:r>
          </w:p>
        </w:tc>
        <w:tc>
          <w:tcPr>
            <w:tcW w:w="456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color w:val="000000"/>
                <w:sz w:val="18"/>
                <w:szCs w:val="18"/>
              </w:rPr>
            </w:pPr>
            <w:r w:rsidRPr="00B1215D">
              <w:rPr>
                <w:color w:val="000000"/>
                <w:sz w:val="18"/>
                <w:szCs w:val="18"/>
              </w:rPr>
              <w:t>2.232.211</w:t>
            </w: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4.618</w:t>
            </w: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10.275</w:t>
            </w:r>
          </w:p>
        </w:tc>
        <w:tc>
          <w:tcPr>
            <w:tcW w:w="45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87.874</w:t>
            </w: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96.900</w:t>
            </w: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96.900</w:t>
            </w:r>
          </w:p>
        </w:tc>
        <w:tc>
          <w:tcPr>
            <w:tcW w:w="453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170.950</w:t>
            </w:r>
          </w:p>
        </w:tc>
      </w:tr>
      <w:tr w:rsidRPr="00B1215D" w:rsidR="00A30551" w:rsidTr="00A30551">
        <w:trPr>
          <w:trHeight w:val="596"/>
        </w:trPr>
        <w:tc>
          <w:tcPr>
            <w:tcW w:w="196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5</w:t>
            </w:r>
          </w:p>
        </w:tc>
        <w:tc>
          <w:tcPr>
            <w:tcW w:w="823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Een veilig Groningen met perspectief</w:t>
            </w:r>
          </w:p>
        </w:tc>
        <w:tc>
          <w:tcPr>
            <w:tcW w:w="500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color w:val="000000"/>
                <w:sz w:val="18"/>
                <w:szCs w:val="18"/>
              </w:rPr>
            </w:pPr>
            <w:r w:rsidRPr="00B1215D">
              <w:rPr>
                <w:color w:val="000000"/>
                <w:sz w:val="18"/>
                <w:szCs w:val="18"/>
              </w:rPr>
              <w:t>140.111</w:t>
            </w:r>
          </w:p>
        </w:tc>
        <w:tc>
          <w:tcPr>
            <w:tcW w:w="412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color w:val="000000"/>
                <w:sz w:val="18"/>
                <w:szCs w:val="18"/>
              </w:rPr>
            </w:pPr>
            <w:r w:rsidRPr="00B1215D">
              <w:rPr>
                <w:color w:val="000000"/>
                <w:sz w:val="18"/>
                <w:szCs w:val="18"/>
              </w:rPr>
              <w:t>140.471</w:t>
            </w:r>
          </w:p>
        </w:tc>
        <w:tc>
          <w:tcPr>
            <w:tcW w:w="456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color w:val="000000"/>
                <w:sz w:val="18"/>
                <w:szCs w:val="18"/>
              </w:rPr>
            </w:pPr>
            <w:r w:rsidRPr="00B1215D">
              <w:rPr>
                <w:color w:val="000000"/>
                <w:sz w:val="18"/>
                <w:szCs w:val="18"/>
              </w:rPr>
              <w:t>1.749.491</w:t>
            </w: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106.922</w:t>
            </w: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106.922</w:t>
            </w:r>
          </w:p>
        </w:tc>
        <w:tc>
          <w:tcPr>
            <w:tcW w:w="45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-28.694</w:t>
            </w: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</w:tr>
      <w:tr w:rsidRPr="00B1215D" w:rsidR="00A30551" w:rsidTr="00A30551">
        <w:trPr>
          <w:trHeight w:val="275"/>
        </w:trPr>
        <w:tc>
          <w:tcPr>
            <w:tcW w:w="196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</w:p>
        </w:tc>
        <w:tc>
          <w:tcPr>
            <w:tcW w:w="823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</w:tr>
      <w:tr w:rsidRPr="00B1215D" w:rsidR="00A30551" w:rsidTr="00A30551">
        <w:trPr>
          <w:trHeight w:val="257"/>
        </w:trPr>
        <w:tc>
          <w:tcPr>
            <w:tcW w:w="196" w:type="pct"/>
            <w:shd w:val="clear" w:color="auto" w:fill="auto"/>
          </w:tcPr>
          <w:p w:rsidRPr="00B1215D" w:rsidR="00A30551" w:rsidP="00A30551" w:rsidRDefault="00A30551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pct"/>
            <w:shd w:val="clear" w:color="auto" w:fill="auto"/>
          </w:tcPr>
          <w:p w:rsidRPr="00B1215D" w:rsidR="00A30551" w:rsidP="00A30551" w:rsidRDefault="00A30551">
            <w:pPr>
              <w:rPr>
                <w:b/>
                <w:sz w:val="18"/>
                <w:szCs w:val="18"/>
              </w:rPr>
            </w:pPr>
            <w:r w:rsidRPr="00B1215D">
              <w:rPr>
                <w:b/>
                <w:sz w:val="18"/>
                <w:szCs w:val="18"/>
              </w:rPr>
              <w:t>Niet-beleidsartikelen</w:t>
            </w:r>
          </w:p>
        </w:tc>
        <w:tc>
          <w:tcPr>
            <w:tcW w:w="500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  <w:r w:rsidRPr="00B1215D">
              <w:rPr>
                <w:b/>
                <w:sz w:val="18"/>
                <w:szCs w:val="18"/>
              </w:rPr>
              <w:t>278.382</w:t>
            </w:r>
          </w:p>
        </w:tc>
        <w:tc>
          <w:tcPr>
            <w:tcW w:w="412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  <w:r w:rsidRPr="00B1215D">
              <w:rPr>
                <w:b/>
                <w:sz w:val="18"/>
                <w:szCs w:val="18"/>
              </w:rPr>
              <w:t>278.382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  <w:r w:rsidRPr="00B1215D">
              <w:rPr>
                <w:b/>
                <w:sz w:val="18"/>
                <w:szCs w:val="18"/>
              </w:rPr>
              <w:t>25.426</w:t>
            </w: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  <w:r w:rsidRPr="00B1215D">
              <w:rPr>
                <w:b/>
                <w:sz w:val="18"/>
                <w:szCs w:val="18"/>
              </w:rPr>
              <w:t>56.540</w:t>
            </w: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  <w:r w:rsidRPr="00B1215D">
              <w:rPr>
                <w:b/>
                <w:sz w:val="18"/>
                <w:szCs w:val="18"/>
              </w:rPr>
              <w:t>56.540</w:t>
            </w:r>
          </w:p>
        </w:tc>
        <w:tc>
          <w:tcPr>
            <w:tcW w:w="45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  <w:r w:rsidRPr="00B1215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Pr="00B1215D" w:rsidR="00A30551" w:rsidTr="00A30551">
        <w:trPr>
          <w:trHeight w:val="257"/>
        </w:trPr>
        <w:tc>
          <w:tcPr>
            <w:tcW w:w="196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40</w:t>
            </w:r>
          </w:p>
        </w:tc>
        <w:tc>
          <w:tcPr>
            <w:tcW w:w="823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Apparaat</w:t>
            </w:r>
          </w:p>
        </w:tc>
        <w:tc>
          <w:tcPr>
            <w:tcW w:w="500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278.382</w:t>
            </w:r>
          </w:p>
        </w:tc>
        <w:tc>
          <w:tcPr>
            <w:tcW w:w="412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278.382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Pr="00B1215D" w:rsidR="00A30551" w:rsidP="00A30551" w:rsidRDefault="00A30551">
            <w:pPr>
              <w:jc w:val="right"/>
              <w:rPr>
                <w:color w:val="000000"/>
                <w:sz w:val="18"/>
                <w:szCs w:val="18"/>
              </w:rPr>
            </w:pPr>
            <w:r w:rsidRPr="00B1215D">
              <w:rPr>
                <w:color w:val="000000"/>
                <w:sz w:val="18"/>
                <w:szCs w:val="18"/>
              </w:rPr>
              <w:t>25.426</w:t>
            </w: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9.589</w:t>
            </w: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9.589</w:t>
            </w:r>
          </w:p>
        </w:tc>
        <w:tc>
          <w:tcPr>
            <w:tcW w:w="45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0</w:t>
            </w: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</w:tr>
      <w:tr w:rsidRPr="00B1215D" w:rsidR="00A30551" w:rsidTr="00A30551">
        <w:trPr>
          <w:trHeight w:val="275"/>
        </w:trPr>
        <w:tc>
          <w:tcPr>
            <w:tcW w:w="196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41</w:t>
            </w:r>
          </w:p>
        </w:tc>
        <w:tc>
          <w:tcPr>
            <w:tcW w:w="823" w:type="pct"/>
            <w:shd w:val="clear" w:color="auto" w:fill="auto"/>
          </w:tcPr>
          <w:p w:rsidRPr="00B1215D" w:rsidR="00A30551" w:rsidP="00A30551" w:rsidRDefault="00A30551">
            <w:pPr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Nog onverdeeld</w:t>
            </w:r>
          </w:p>
        </w:tc>
        <w:tc>
          <w:tcPr>
            <w:tcW w:w="500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0</w:t>
            </w: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46.951</w:t>
            </w: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46.951</w:t>
            </w:r>
          </w:p>
        </w:tc>
        <w:tc>
          <w:tcPr>
            <w:tcW w:w="45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  <w:r w:rsidRPr="00B1215D">
              <w:rPr>
                <w:sz w:val="18"/>
                <w:szCs w:val="18"/>
              </w:rPr>
              <w:t>0</w:t>
            </w:r>
          </w:p>
        </w:tc>
        <w:tc>
          <w:tcPr>
            <w:tcW w:w="504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auto"/>
          </w:tcPr>
          <w:p w:rsidRPr="00B1215D" w:rsidR="00A30551" w:rsidP="00A30551" w:rsidRDefault="00A30551">
            <w:pPr>
              <w:jc w:val="right"/>
              <w:rPr>
                <w:sz w:val="18"/>
                <w:szCs w:val="18"/>
              </w:rPr>
            </w:pPr>
          </w:p>
        </w:tc>
      </w:tr>
    </w:tbl>
    <w:p w:rsidR="00E01629" w:rsidP="00E01629" w:rsidRDefault="00A305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01629">
        <w:rPr>
          <w:rFonts w:ascii="Times New Roman" w:hAnsi="Times New Roman"/>
          <w:b/>
          <w:sz w:val="24"/>
          <w:szCs w:val="20"/>
        </w:rPr>
        <w:t xml:space="preserve"> </w:t>
      </w:r>
      <w:r w:rsidRPr="00E01629" w:rsidR="00E01629">
        <w:rPr>
          <w:rFonts w:ascii="Times New Roman" w:hAnsi="Times New Roman"/>
          <w:b/>
          <w:sz w:val="24"/>
          <w:szCs w:val="20"/>
        </w:rPr>
        <w:t>(incidentele suppletoire begroting inzake Urgenda) (Bedragen x € 1.000)</w:t>
      </w:r>
    </w:p>
    <w:p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01629" w:rsidR="00E01629" w:rsidP="00E01629" w:rsidRDefault="00E016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bookmarkStart w:name="_GoBack" w:id="0"/>
      <w:bookmarkEnd w:id="0"/>
    </w:p>
    <w:sectPr w:rsidRPr="00E01629" w:rsidR="00E01629" w:rsidSect="00E01629">
      <w:pgSz w:w="16838" w:h="11906" w:orient="landscape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629" w:rsidRDefault="00E01629">
      <w:pPr>
        <w:spacing w:line="20" w:lineRule="exact"/>
      </w:pPr>
    </w:p>
  </w:endnote>
  <w:endnote w:type="continuationSeparator" w:id="0">
    <w:p w:rsidR="00E01629" w:rsidRDefault="00E0162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01629" w:rsidRDefault="00E0162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30551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629" w:rsidRDefault="00E0162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01629" w:rsidRDefault="00E01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29"/>
    <w:rsid w:val="00012DBE"/>
    <w:rsid w:val="000A1D81"/>
    <w:rsid w:val="00111ED3"/>
    <w:rsid w:val="001C190E"/>
    <w:rsid w:val="00212D8A"/>
    <w:rsid w:val="002168F4"/>
    <w:rsid w:val="002A727C"/>
    <w:rsid w:val="005D2707"/>
    <w:rsid w:val="00606255"/>
    <w:rsid w:val="006B607A"/>
    <w:rsid w:val="007D451C"/>
    <w:rsid w:val="00826224"/>
    <w:rsid w:val="008D1655"/>
    <w:rsid w:val="00930A23"/>
    <w:rsid w:val="009C7354"/>
    <w:rsid w:val="009E6D7F"/>
    <w:rsid w:val="00A11E73"/>
    <w:rsid w:val="00A2521E"/>
    <w:rsid w:val="00A30551"/>
    <w:rsid w:val="00A56456"/>
    <w:rsid w:val="00AE436A"/>
    <w:rsid w:val="00C135B1"/>
    <w:rsid w:val="00C369B7"/>
    <w:rsid w:val="00C92DF8"/>
    <w:rsid w:val="00CB3578"/>
    <w:rsid w:val="00D20AFA"/>
    <w:rsid w:val="00D55648"/>
    <w:rsid w:val="00E01629"/>
    <w:rsid w:val="00E16443"/>
    <w:rsid w:val="00E36EE9"/>
    <w:rsid w:val="00E83F1B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02E88"/>
  <w15:docId w15:val="{800133E5-5B2F-4FD7-902F-6CDF6C8F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A3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475</ap:Words>
  <ap:Characters>2614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2019-12-03T16:24:00.0000000Z</dcterms:created>
  <dcterms:modified xsi:type="dcterms:W3CDTF">2019-12-03T16:24:00.0000000Z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0x01010075AAA0DF33CB2A42B0AF0ECB81598E2E</vt:lpwstr>
  </property>
</Properties>
</file>