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610D" w:rsidR="0075610D" w:rsidP="0075610D" w:rsidRDefault="0075610D">
      <w:pPr>
        <w:spacing w:before="100" w:beforeAutospacing="1" w:after="100" w:afterAutospacing="1" w:line="240" w:lineRule="auto"/>
        <w:outlineLvl w:val="0"/>
        <w:rPr>
          <w:rFonts w:ascii="Arial" w:hAnsi="Arial" w:eastAsia="Times New Roman" w:cs="Arial"/>
          <w:b/>
          <w:bCs/>
          <w:kern w:val="36"/>
          <w:lang w:eastAsia="nl-NL"/>
        </w:rPr>
      </w:pPr>
      <w:r w:rsidRPr="0075610D">
        <w:rPr>
          <w:rFonts w:ascii="Arial" w:hAnsi="Arial" w:eastAsia="Times New Roman" w:cs="Arial"/>
          <w:b/>
          <w:bCs/>
          <w:kern w:val="36"/>
          <w:lang w:eastAsia="nl-NL"/>
        </w:rPr>
        <w:t>Hamerstuk</w:t>
      </w:r>
    </w:p>
    <w:p w:rsidRPr="0075610D" w:rsidR="0075610D" w:rsidP="0075610D" w:rsidRDefault="0075610D">
      <w:pPr>
        <w:rPr>
          <w:rFonts w:ascii="Arial" w:hAnsi="Arial" w:eastAsia="Times New Roman" w:cs="Arial"/>
        </w:rPr>
      </w:pPr>
      <w:r w:rsidRPr="0075610D">
        <w:rPr>
          <w:rFonts w:ascii="Arial" w:hAnsi="Arial" w:eastAsia="Times New Roman" w:cs="Arial"/>
        </w:rPr>
        <w:t>Aan de orde is de behandeling van:</w:t>
      </w:r>
    </w:p>
    <w:p w:rsidRPr="0075610D" w:rsidR="0075610D" w:rsidP="0075610D" w:rsidRDefault="0075610D">
      <w:pPr>
        <w:numPr>
          <w:ilvl w:val="0"/>
          <w:numId w:val="1"/>
        </w:numPr>
        <w:spacing w:before="100" w:beforeAutospacing="1" w:after="100" w:afterAutospacing="1" w:line="240" w:lineRule="auto"/>
        <w:rPr>
          <w:rFonts w:ascii="Arial" w:hAnsi="Arial" w:eastAsia="Times New Roman" w:cs="Arial"/>
        </w:rPr>
      </w:pPr>
      <w:r w:rsidRPr="0075610D">
        <w:rPr>
          <w:rFonts w:ascii="Arial" w:hAnsi="Arial" w:eastAsia="Times New Roman" w:cs="Arial"/>
          <w:b/>
          <w:bCs/>
        </w:rPr>
        <w:t>het wetsvoorstel Wijziging van de Advocatenwet, de Gerechtsdeurwaarderswet, de Wet op het notarisambt en de Wet positie en toezicht advocatuur in verband met het opnemen van een grondslag voor de verwerking van bijzondere persoonsgegevens ten behoeve van de uitvoering van kwaliteitstoetsen bij advocaten, gerechtsdeurwaarders en notarissen en diverse aanpassingen van overwegend wetstechnische aard (35262);</w:t>
      </w:r>
    </w:p>
    <w:p w:rsidRPr="0075610D" w:rsidR="0075610D" w:rsidP="0075610D" w:rsidRDefault="0075610D">
      <w:pPr>
        <w:spacing w:after="240"/>
        <w:rPr>
          <w:rFonts w:ascii="Arial" w:hAnsi="Arial" w:eastAsia="Times New Roman" w:cs="Arial"/>
        </w:rPr>
      </w:pPr>
      <w:bookmarkStart w:name="_GoBack" w:id="0"/>
      <w:bookmarkEnd w:id="0"/>
      <w:r w:rsidRPr="0075610D">
        <w:rPr>
          <w:rFonts w:ascii="Arial" w:hAnsi="Arial" w:eastAsia="Times New Roman" w:cs="Arial"/>
        </w:rPr>
        <w:t>Dit wetsvoorstel wordt zonder beraadslaging en, na goedkeuring van de onderdelen, zonder stemming aangenomen.</w:t>
      </w:r>
    </w:p>
    <w:p w:rsidR="000D5708" w:rsidRDefault="000D5708"/>
    <w:sectPr w:rsidR="000D570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15ED9"/>
    <w:multiLevelType w:val="multilevel"/>
    <w:tmpl w:val="F7C4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10D"/>
    <w:rsid w:val="000D5708"/>
    <w:rsid w:val="00456CA4"/>
    <w:rsid w:val="007561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A1917-B5F1-4190-9308-D52D1D62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2019-12-13T09:00:00.0000000Z</dcterms:created>
  <dcterms:modified xsi:type="dcterms:W3CDTF">2019-12-13T09:01:00.0000000Z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0x01010075AAA0DF33CB2A42B0AF0ECB81598E2E</vt:lpwstr>
  </property>
</Properties>
</file>