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D63B3" w:rsidR="009D63B3" w:rsidP="009D63B3" w:rsidRDefault="009D63B3" w14:paraId="03A93DBB" w14:textId="77777777">
      <w:pPr>
        <w:spacing w:after="0"/>
        <w:rPr>
          <w:b/>
          <w:bCs/>
          <w:sz w:val="28"/>
          <w:szCs w:val="28"/>
        </w:rPr>
      </w:pPr>
      <w:r w:rsidRPr="009D63B3">
        <w:rPr>
          <w:b/>
          <w:bCs/>
          <w:sz w:val="28"/>
          <w:szCs w:val="28"/>
        </w:rPr>
        <w:t xml:space="preserve">Rondetafelgesprek over de Omgevingswet </w:t>
      </w:r>
    </w:p>
    <w:p w:rsidR="005F078E" w:rsidP="009D63B3" w:rsidRDefault="009D63B3" w14:paraId="0EB1DBF8" w14:textId="77777777">
      <w:pPr>
        <w:spacing w:after="0"/>
      </w:pPr>
      <w:r>
        <w:t>Vaste commissie voor Binnenlandse Zaken</w:t>
      </w:r>
    </w:p>
    <w:p w:rsidR="009D63B3" w:rsidP="009D63B3" w:rsidRDefault="009D63B3" w14:paraId="585072F0" w14:textId="77777777">
      <w:pPr>
        <w:spacing w:after="0"/>
      </w:pPr>
    </w:p>
    <w:p w:rsidRPr="009D63B3" w:rsidR="009D63B3" w:rsidP="009D63B3" w:rsidRDefault="009D63B3" w14:paraId="215643B8" w14:textId="77777777">
      <w:pPr>
        <w:spacing w:after="0"/>
        <w:rPr>
          <w:b/>
          <w:bCs/>
        </w:rPr>
      </w:pPr>
      <w:r w:rsidRPr="009D63B3">
        <w:rPr>
          <w:b/>
          <w:bCs/>
        </w:rPr>
        <w:t>Inleiding</w:t>
      </w:r>
    </w:p>
    <w:p w:rsidR="009D63B3" w:rsidP="009D63B3" w:rsidRDefault="009D63B3" w14:paraId="0570BE38" w14:textId="77777777">
      <w:pPr>
        <w:spacing w:after="0"/>
      </w:pPr>
      <w:r>
        <w:t xml:space="preserve">Eén van de uitgangspunten van de Omgevingswet is dat het moet gaan om gelijkwaardige bescherming: het niveau van bescherming van gezondheid, veiligheid en omgevingskwaliteit blijft gelijkwaardig aan het oude niveau. Ook de rechtsbescherming mag niet minder worden. </w:t>
      </w:r>
    </w:p>
    <w:p w:rsidR="00B72D64" w:rsidP="009D63B3" w:rsidRDefault="009D63B3" w14:paraId="513E0BB0" w14:textId="13A87795">
      <w:pPr>
        <w:spacing w:after="0"/>
      </w:pPr>
      <w:r>
        <w:t>D</w:t>
      </w:r>
      <w:r w:rsidR="007C5A05">
        <w:t>eze</w:t>
      </w:r>
      <w:r>
        <w:t xml:space="preserve"> uitgangspunt</w:t>
      </w:r>
      <w:r w:rsidR="007C5A05">
        <w:t>en</w:t>
      </w:r>
      <w:r>
        <w:t xml:space="preserve"> staa</w:t>
      </w:r>
      <w:r w:rsidR="007C5A05">
        <w:t>n</w:t>
      </w:r>
      <w:r>
        <w:t xml:space="preserve"> op gespannen voet met de </w:t>
      </w:r>
      <w:r w:rsidR="00B72D64">
        <w:t xml:space="preserve">volgende </w:t>
      </w:r>
      <w:r>
        <w:t>verbeterdoelen van de wet</w:t>
      </w:r>
      <w:r w:rsidR="00B72D64">
        <w:t>:</w:t>
      </w:r>
      <w:r w:rsidR="00B72D64">
        <w:br/>
        <w:t>-</w:t>
      </w:r>
      <w:r>
        <w:t xml:space="preserve"> </w:t>
      </w:r>
      <w:r w:rsidR="00B72D64">
        <w:t>het v</w:t>
      </w:r>
      <w:r w:rsidRPr="00B72D64" w:rsidR="00B72D64">
        <w:t>ergroten van de bestuurlijke afwegingsruimte door een actieve en flexibele aanpak mogelijk te maken voor het bereiken van doelen voor de fysieke leefomgeving, en</w:t>
      </w:r>
    </w:p>
    <w:p w:rsidR="009D63B3" w:rsidP="009D63B3" w:rsidRDefault="00B72D64" w14:paraId="54533242" w14:textId="77777777">
      <w:pPr>
        <w:spacing w:after="0"/>
      </w:pPr>
      <w:r>
        <w:t>-</w:t>
      </w:r>
      <w:r w:rsidRPr="00B72D64">
        <w:t xml:space="preserve"> het versnellen en verbeteren van besluitvorming over projecten in de fysieke leefomgeving</w:t>
      </w:r>
      <w:r>
        <w:t>.</w:t>
      </w:r>
    </w:p>
    <w:p w:rsidR="00B72D64" w:rsidP="009D63B3" w:rsidRDefault="00B72D64" w14:paraId="16BBE738" w14:textId="77777777">
      <w:pPr>
        <w:spacing w:after="0"/>
      </w:pPr>
    </w:p>
    <w:p w:rsidR="00EC1E2A" w:rsidP="009D63B3" w:rsidRDefault="009D63B3" w14:paraId="59D04FAA" w14:textId="3925CDF5">
      <w:pPr>
        <w:spacing w:after="0"/>
      </w:pPr>
      <w:r>
        <w:t xml:space="preserve">Vooruitlopend op de inwerking van de wet </w:t>
      </w:r>
      <w:r w:rsidR="00B72D64">
        <w:t xml:space="preserve">is deze spanning al zichtbaar. </w:t>
      </w:r>
      <w:r w:rsidR="007C5A05">
        <w:t xml:space="preserve">Voor </w:t>
      </w:r>
      <w:r w:rsidR="00286729">
        <w:t xml:space="preserve">de </w:t>
      </w:r>
      <w:r w:rsidR="007C5A05">
        <w:t>uitgangspunten</w:t>
      </w:r>
      <w:r w:rsidR="00EC1E2A">
        <w:t xml:space="preserve"> </w:t>
      </w:r>
      <w:r w:rsidR="007C5A05">
        <w:t xml:space="preserve">gelijkwaardige bescherming </w:t>
      </w:r>
      <w:r w:rsidR="00EC1E2A">
        <w:t>leefomg</w:t>
      </w:r>
      <w:r w:rsidR="00286729">
        <w:t>e</w:t>
      </w:r>
      <w:r w:rsidR="00EC1E2A">
        <w:t xml:space="preserve">ving </w:t>
      </w:r>
      <w:r w:rsidR="007C5A05">
        <w:t xml:space="preserve">en </w:t>
      </w:r>
      <w:r w:rsidR="00EC1E2A">
        <w:t xml:space="preserve">rechtsbescherming zijn waarborgen nodig.  </w:t>
      </w:r>
      <w:r w:rsidR="00C31A6D">
        <w:t>W</w:t>
      </w:r>
      <w:r w:rsidR="00EC1E2A">
        <w:t xml:space="preserve">aarborgen </w:t>
      </w:r>
      <w:r w:rsidR="00C31A6D">
        <w:t xml:space="preserve">die </w:t>
      </w:r>
      <w:r w:rsidR="00EC1E2A">
        <w:t xml:space="preserve">echter juist </w:t>
      </w:r>
      <w:r w:rsidR="00CD0C49">
        <w:t xml:space="preserve">als </w:t>
      </w:r>
      <w:r w:rsidR="00EC1E2A">
        <w:t xml:space="preserve">een sta-in-de-weg </w:t>
      </w:r>
      <w:r w:rsidR="00CD0C49">
        <w:t>worden gezien</w:t>
      </w:r>
      <w:r w:rsidR="00C31A6D">
        <w:t xml:space="preserve"> </w:t>
      </w:r>
      <w:r w:rsidR="00EC1E2A">
        <w:t xml:space="preserve">voor de verbeterdoelen afwegingsruimte en versnelling besluitvorming. </w:t>
      </w:r>
    </w:p>
    <w:p w:rsidR="00EC1E2A" w:rsidP="009D63B3" w:rsidRDefault="00EC1E2A" w14:paraId="6B8487BF" w14:textId="77777777">
      <w:pPr>
        <w:spacing w:after="0"/>
      </w:pPr>
    </w:p>
    <w:p w:rsidR="009D63B3" w:rsidP="009D63B3" w:rsidRDefault="00B72D64" w14:paraId="41A20FA2" w14:textId="7BB83602">
      <w:pPr>
        <w:spacing w:after="0"/>
      </w:pPr>
      <w:r>
        <w:t xml:space="preserve">In de volgende </w:t>
      </w:r>
      <w:r w:rsidR="00EC1E2A">
        <w:t xml:space="preserve">zeven </w:t>
      </w:r>
      <w:r>
        <w:t xml:space="preserve">punten </w:t>
      </w:r>
      <w:r w:rsidR="00C31A6D">
        <w:t xml:space="preserve">wordt </w:t>
      </w:r>
      <w:r>
        <w:t xml:space="preserve">de vraag gesteld of </w:t>
      </w:r>
      <w:r w:rsidR="00C31A6D">
        <w:t xml:space="preserve">onder de Omgevingswet </w:t>
      </w:r>
      <w:r w:rsidR="00EC1E2A">
        <w:t xml:space="preserve">waarborgen dusdanig </w:t>
      </w:r>
      <w:r w:rsidR="00C31A6D">
        <w:t>zijn</w:t>
      </w:r>
      <w:r w:rsidR="00EC1E2A">
        <w:t xml:space="preserve"> </w:t>
      </w:r>
      <w:r w:rsidR="00C31A6D">
        <w:t>of worden verzwakt</w:t>
      </w:r>
      <w:r w:rsidR="00EC1E2A">
        <w:t xml:space="preserve"> dat </w:t>
      </w:r>
      <w:r>
        <w:t xml:space="preserve">nog sprake </w:t>
      </w:r>
      <w:r w:rsidR="00C31A6D">
        <w:t xml:space="preserve">kan zijn </w:t>
      </w:r>
      <w:r>
        <w:t>van een gelijkwaardige bescherming van de fysieke leefomgeving.</w:t>
      </w:r>
    </w:p>
    <w:p w:rsidR="009D63B3" w:rsidP="009D63B3" w:rsidRDefault="009D63B3" w14:paraId="013E8DDA" w14:textId="77777777">
      <w:pPr>
        <w:spacing w:after="0"/>
      </w:pPr>
    </w:p>
    <w:p w:rsidRPr="00FB531A" w:rsidR="00B72D64" w:rsidP="00D33C08" w:rsidRDefault="00D33C08" w14:paraId="57D4890F" w14:textId="77777777">
      <w:pPr>
        <w:pStyle w:val="Lijstalinea"/>
        <w:numPr>
          <w:ilvl w:val="0"/>
          <w:numId w:val="1"/>
        </w:numPr>
        <w:spacing w:after="0"/>
        <w:rPr>
          <w:b/>
          <w:bCs/>
        </w:rPr>
      </w:pPr>
      <w:r w:rsidRPr="00FB531A">
        <w:rPr>
          <w:b/>
          <w:bCs/>
        </w:rPr>
        <w:t>Omgevingsvisie en milieueffectrapportage</w:t>
      </w:r>
    </w:p>
    <w:p w:rsidR="00A7726D" w:rsidP="004E034E" w:rsidRDefault="004E034E" w14:paraId="3E4C2E27" w14:textId="3DCD6AED">
      <w:pPr>
        <w:spacing w:after="0"/>
      </w:pPr>
      <w:r>
        <w:t>Allereerst valt het de Commissie op dat voor veel omgevingsvisies die nu in voorbereiding zijn geen milieueffectrapport wordt opgesteld. Bevoegde instanties laten weten dat ze vinden dat hun visie geen richtinggevende uitspraken doe</w:t>
      </w:r>
      <w:r w:rsidR="00286729">
        <w:t>t</w:t>
      </w:r>
      <w:r>
        <w:t xml:space="preserve"> waardoor geen sprake </w:t>
      </w:r>
      <w:r w:rsidR="009A751C">
        <w:t xml:space="preserve">is of zou zijn </w:t>
      </w:r>
      <w:r>
        <w:t xml:space="preserve">van de noodzaak een </w:t>
      </w:r>
      <w:r w:rsidR="00C35772">
        <w:t xml:space="preserve">milieueffectrapport te maken. </w:t>
      </w:r>
      <w:r w:rsidR="00EC1E2A">
        <w:t xml:space="preserve">Dit baart de Commissie zorgen. </w:t>
      </w:r>
      <w:r w:rsidR="00C35772">
        <w:t>Als visies geen richtinggevende uitspraken doen, dan is de vraag wat de meerwaarde van dergelijke visies is. En als ze wel degelijk richtinggevende uitspraken doen, dan is het nodig dat de gevolgen hiervan worden onderzocht in een milieueffectrapport</w:t>
      </w:r>
      <w:r w:rsidR="00DF48C7">
        <w:t xml:space="preserve"> en dat hierop wordt toegezien</w:t>
      </w:r>
      <w:r w:rsidR="00286729">
        <w:t>.</w:t>
      </w:r>
    </w:p>
    <w:p w:rsidR="004E034E" w:rsidP="004E034E" w:rsidRDefault="004E034E" w14:paraId="456B01B5" w14:textId="77777777">
      <w:pPr>
        <w:spacing w:after="0"/>
      </w:pPr>
    </w:p>
    <w:p w:rsidRPr="00FB531A" w:rsidR="00D33C08" w:rsidP="00D33C08" w:rsidRDefault="00D33C08" w14:paraId="352D46A2" w14:textId="77777777">
      <w:pPr>
        <w:pStyle w:val="Lijstalinea"/>
        <w:numPr>
          <w:ilvl w:val="0"/>
          <w:numId w:val="1"/>
        </w:numPr>
        <w:spacing w:after="0"/>
        <w:rPr>
          <w:b/>
          <w:bCs/>
        </w:rPr>
      </w:pPr>
      <w:r w:rsidRPr="00FB531A">
        <w:rPr>
          <w:b/>
          <w:bCs/>
        </w:rPr>
        <w:t>Omgevingsplannen en overgangsrecht</w:t>
      </w:r>
    </w:p>
    <w:p w:rsidR="004E034E" w:rsidP="004E034E" w:rsidRDefault="00C35772" w14:paraId="24FB9270" w14:textId="619F2CE0">
      <w:pPr>
        <w:spacing w:after="0"/>
      </w:pPr>
      <w:r>
        <w:t xml:space="preserve">Het baart de Commissie </w:t>
      </w:r>
      <w:r w:rsidR="00EC1E2A">
        <w:t xml:space="preserve">ook </w:t>
      </w:r>
      <w:r>
        <w:t xml:space="preserve">zorgen dat </w:t>
      </w:r>
      <w:r w:rsidR="00EC1E2A">
        <w:t xml:space="preserve">gemeenten </w:t>
      </w:r>
      <w:r>
        <w:t xml:space="preserve">actief </w:t>
      </w:r>
      <w:r w:rsidR="00EC1E2A">
        <w:t xml:space="preserve">worden gestimuleerd </w:t>
      </w:r>
      <w:r>
        <w:t xml:space="preserve">om niet een nieuw omgevingsplan te maken. In plaats daarvan </w:t>
      </w:r>
      <w:r w:rsidR="00EC1E2A">
        <w:t xml:space="preserve">wordt hen geadviseerd </w:t>
      </w:r>
      <w:r>
        <w:t>de oude bestemmingsplannen</w:t>
      </w:r>
      <w:r w:rsidR="009E134C">
        <w:t xml:space="preserve"> </w:t>
      </w:r>
      <w:r w:rsidR="00EE4467">
        <w:t>‘</w:t>
      </w:r>
      <w:r w:rsidR="009E134C">
        <w:t>met de bruids</w:t>
      </w:r>
      <w:r w:rsidR="00C17D30">
        <w:t>s</w:t>
      </w:r>
      <w:r w:rsidR="009E134C">
        <w:t>chat</w:t>
      </w:r>
      <w:r w:rsidR="00C17D30">
        <w:t>’</w:t>
      </w:r>
      <w:r>
        <w:t xml:space="preserve"> door te laten lopen en alleen kleine wijzigingen aan te brengen. Deze werkwijze tast het integrale karakter van het instrument aan. Bovendien is voor belanghebbenden onduidelijk wat de effecten van de wijzigingen behelzen en hoe die zich tot andere wijzigingen verhouden.  </w:t>
      </w:r>
    </w:p>
    <w:p w:rsidR="004E034E" w:rsidP="004E034E" w:rsidRDefault="004E034E" w14:paraId="622DA781" w14:textId="77777777">
      <w:pPr>
        <w:spacing w:after="0"/>
      </w:pPr>
    </w:p>
    <w:p w:rsidRPr="00FB531A" w:rsidR="00D33C08" w:rsidP="00D33C08" w:rsidRDefault="00D33C08" w14:paraId="0C7FF162" w14:textId="77777777">
      <w:pPr>
        <w:pStyle w:val="Lijstalinea"/>
        <w:numPr>
          <w:ilvl w:val="0"/>
          <w:numId w:val="1"/>
        </w:numPr>
        <w:spacing w:after="0"/>
        <w:rPr>
          <w:b/>
          <w:bCs/>
        </w:rPr>
      </w:pPr>
      <w:r w:rsidRPr="00FB531A">
        <w:rPr>
          <w:b/>
          <w:bCs/>
        </w:rPr>
        <w:t>Nieuwe planfiguren die niet in de wet staan</w:t>
      </w:r>
    </w:p>
    <w:p w:rsidR="004E034E" w:rsidP="004E034E" w:rsidRDefault="00C35772" w14:paraId="235BF733" w14:textId="2CD68C34">
      <w:pPr>
        <w:spacing w:after="0"/>
      </w:pPr>
      <w:r>
        <w:t xml:space="preserve">Het valt de Commissie op dat in aanloop naar de Omgevingswet veel nieuwe planfiguren in het leven </w:t>
      </w:r>
      <w:r w:rsidR="00DF48C7">
        <w:t xml:space="preserve">zijn </w:t>
      </w:r>
      <w:r>
        <w:t xml:space="preserve">geroepen die geen instrument in de zin van de Omgevingswet zijn. Doel van de wet was juist om het aantal plan- en besluitfiguren te uniformeren. In plaats daarvan ontstaan </w:t>
      </w:r>
      <w:r w:rsidR="00FB531A">
        <w:t xml:space="preserve">nieuwe </w:t>
      </w:r>
      <w:r>
        <w:t>figuren als Regionale energiestrategieën, landbouwvisie</w:t>
      </w:r>
      <w:r w:rsidR="00AF6F79">
        <w:t>,</w:t>
      </w:r>
      <w:r w:rsidR="0037014A">
        <w:t xml:space="preserve"> </w:t>
      </w:r>
      <w:r w:rsidR="00FB531A">
        <w:t>regionale omgevings</w:t>
      </w:r>
      <w:r>
        <w:t>agenda</w:t>
      </w:r>
      <w:r w:rsidR="00AF6F79">
        <w:t>’</w:t>
      </w:r>
      <w:r>
        <w:t>s</w:t>
      </w:r>
      <w:r w:rsidR="00AF6F79">
        <w:t xml:space="preserve"> en </w:t>
      </w:r>
      <w:r w:rsidR="00A55FA0">
        <w:t>gemeentelijk</w:t>
      </w:r>
      <w:r w:rsidR="00336223">
        <w:t>e</w:t>
      </w:r>
      <w:r w:rsidR="00A55FA0">
        <w:t xml:space="preserve"> </w:t>
      </w:r>
      <w:r w:rsidR="00961D50">
        <w:t>‘</w:t>
      </w:r>
      <w:r w:rsidR="00A55FA0">
        <w:t>spelregel</w:t>
      </w:r>
      <w:r w:rsidR="008551CF">
        <w:t>kaders</w:t>
      </w:r>
      <w:r w:rsidR="00961D50">
        <w:t>’</w:t>
      </w:r>
      <w:r>
        <w:t>.</w:t>
      </w:r>
      <w:r w:rsidR="00FB531A">
        <w:t xml:space="preserve"> Daarmee wordt het kind met het badwater weggegooid. Voor deze nieuwe figuren zijn procedurele waarborgen, waaronder participatie en milieueffectrapportage, niet gereguleerd.</w:t>
      </w:r>
    </w:p>
    <w:p w:rsidR="004E034E" w:rsidP="004E034E" w:rsidRDefault="004E034E" w14:paraId="1A2714A7" w14:textId="77777777">
      <w:pPr>
        <w:spacing w:after="0"/>
      </w:pPr>
    </w:p>
    <w:p w:rsidRPr="00FB531A" w:rsidR="00D33C08" w:rsidP="00D33C08" w:rsidRDefault="00FB531A" w14:paraId="68501C30" w14:textId="77777777">
      <w:pPr>
        <w:pStyle w:val="Lijstalinea"/>
        <w:numPr>
          <w:ilvl w:val="0"/>
          <w:numId w:val="1"/>
        </w:numPr>
        <w:spacing w:after="0"/>
        <w:rPr>
          <w:b/>
          <w:bCs/>
        </w:rPr>
      </w:pPr>
      <w:r>
        <w:rPr>
          <w:b/>
          <w:bCs/>
        </w:rPr>
        <w:t>Verkenning bij p</w:t>
      </w:r>
      <w:r w:rsidRPr="00FB531A" w:rsidR="00D33C08">
        <w:rPr>
          <w:b/>
          <w:bCs/>
        </w:rPr>
        <w:t>rojectbesluiten</w:t>
      </w:r>
    </w:p>
    <w:p w:rsidR="004E034E" w:rsidP="004E034E" w:rsidRDefault="00FB531A" w14:paraId="64564F40" w14:textId="4E02F4E5">
      <w:pPr>
        <w:spacing w:after="0"/>
      </w:pPr>
      <w:r>
        <w:t>Voor de nieuwe projectprocedure geldt dat deze onder andere in de plaats komt van bestaande inpassingsplannen en projectplannen Waterwet. Het gaat hier over het algemeen over ingrijpende projecten die niet via het gebruikelijke spoor van een bestemmingsplan kunnen worden afgedaan. Voor de strategische keuzes (waarom en waar?) over dergelijke projecten, zoals waterkeringen, havens, (provinciale) wegen, windparken en luchthavens, is onder de Omgevingswet een verkenningsfase met milieueffectrapportage niet meer verplicht. In de huidige praktijk merkt de Commissie al dat</w:t>
      </w:r>
      <w:r w:rsidR="00D225BA">
        <w:t xml:space="preserve"> een niet-verplichte verkenningsfa</w:t>
      </w:r>
      <w:r w:rsidR="00657DF9">
        <w:t>se</w:t>
      </w:r>
      <w:r>
        <w:t xml:space="preserve"> geregeld wordt overgeslagen en de </w:t>
      </w:r>
      <w:r w:rsidR="00657DF9">
        <w:t>milieu</w:t>
      </w:r>
      <w:r>
        <w:t>effecten van deze keuzes niet meer in beeld komen.</w:t>
      </w:r>
    </w:p>
    <w:p w:rsidR="004E034E" w:rsidP="004E034E" w:rsidRDefault="004E034E" w14:paraId="5E2B4714" w14:textId="77777777">
      <w:pPr>
        <w:spacing w:after="0"/>
      </w:pPr>
    </w:p>
    <w:p w:rsidRPr="00FB531A" w:rsidR="00D33C08" w:rsidP="00D33C08" w:rsidRDefault="00D33C08" w14:paraId="3D52BBA2" w14:textId="77777777">
      <w:pPr>
        <w:pStyle w:val="Lijstalinea"/>
        <w:numPr>
          <w:ilvl w:val="0"/>
          <w:numId w:val="1"/>
        </w:numPr>
        <w:spacing w:after="0"/>
        <w:rPr>
          <w:b/>
          <w:bCs/>
        </w:rPr>
      </w:pPr>
      <w:r w:rsidRPr="00FB531A">
        <w:rPr>
          <w:b/>
          <w:bCs/>
        </w:rPr>
        <w:t>Complexe projecten minder waarborgen</w:t>
      </w:r>
    </w:p>
    <w:p w:rsidR="004E034E" w:rsidP="004E034E" w:rsidRDefault="00736D7C" w14:paraId="29F508E0" w14:textId="12926828">
      <w:pPr>
        <w:spacing w:after="0"/>
      </w:pPr>
      <w:r>
        <w:t xml:space="preserve">Onder het huidige recht is het verplicht om milieueffectrapporten voor complexe projecten, zoals wegen en dijkversterkingen, te laten toetsen door de Commissie. Deze verplichting vervalt onder de Omgevingswet. Het is dan facultatief om advies aan de Commissie te vragen. </w:t>
      </w:r>
      <w:r w:rsidR="00286729">
        <w:t>B</w:t>
      </w:r>
      <w:r>
        <w:t xml:space="preserve">evoegde instanties </w:t>
      </w:r>
      <w:r w:rsidR="00C31A6D">
        <w:t xml:space="preserve">wordt geadviseerd </w:t>
      </w:r>
      <w:r>
        <w:t>met projecten te wachten tot de inwerkingtreding zodat geen toetsing meer nodig is. Het baart de Commissie zorgen dat de informatie over de gevolgen van juist dit type ingrijpende projecten niet meer getoetst wordt.</w:t>
      </w:r>
    </w:p>
    <w:p w:rsidR="00736D7C" w:rsidP="004E034E" w:rsidRDefault="00736D7C" w14:paraId="386236BE" w14:textId="77777777">
      <w:pPr>
        <w:spacing w:after="0"/>
      </w:pPr>
    </w:p>
    <w:p w:rsidRPr="00736D7C" w:rsidR="00D33C08" w:rsidP="00D33C08" w:rsidRDefault="00D33C08" w14:paraId="2ADAE7CC" w14:textId="77777777">
      <w:pPr>
        <w:pStyle w:val="Lijstalinea"/>
        <w:numPr>
          <w:ilvl w:val="0"/>
          <w:numId w:val="1"/>
        </w:numPr>
        <w:spacing w:after="0"/>
        <w:rPr>
          <w:b/>
          <w:bCs/>
        </w:rPr>
      </w:pPr>
      <w:r w:rsidRPr="00736D7C">
        <w:rPr>
          <w:b/>
          <w:bCs/>
        </w:rPr>
        <w:t>Plan-m.e.r.-beoordeling</w:t>
      </w:r>
    </w:p>
    <w:p w:rsidR="004E034E" w:rsidP="004E034E" w:rsidRDefault="00736D7C" w14:paraId="2AFB4F9B" w14:textId="2FA4B904">
      <w:pPr>
        <w:spacing w:after="0"/>
      </w:pPr>
      <w:r>
        <w:t>Bij de invoering van de Omgevingswet wordt de figuur van plan-m.e.r.-beoordeling ingevoerd. Dit betekent dat voortaan bij ieder plan wordt gekeken of het plan niet dusdanig klein is dat het opstellen van een milieueffectrapport niet nodig is.</w:t>
      </w:r>
      <w:r w:rsidR="006466C1">
        <w:t xml:space="preserve"> Uit het Investico-onderzoek (</w:t>
      </w:r>
      <w:hyperlink w:history="1" r:id="rId10">
        <w:r w:rsidRPr="001E3C15" w:rsidR="006466C1">
          <w:rPr>
            <w:rStyle w:val="Hyperlink"/>
          </w:rPr>
          <w:t>https://www.groene.nl/artikel/normen-versoepelen-stankoverlast-slikken</w:t>
        </w:r>
      </w:hyperlink>
      <w:r w:rsidR="006466C1">
        <w:t xml:space="preserve">) blijkt dat de bestaande project-m.e.r.-beoordeling in meer dan 99% van de gevallen leidt tot het oordeel dat geen milieueffectrapport nodig is. Dit zal bij plan-m.e.r.-beoordeling </w:t>
      </w:r>
      <w:r w:rsidR="00C31A6D">
        <w:t xml:space="preserve">waarschijnlijk </w:t>
      </w:r>
      <w:r w:rsidR="006466C1">
        <w:t>niet anders zijn. Dat betekent dat veel minder vaak dan nu het geval is met belanghebbenden wordt bekeken of het plan ook met minder gevolgen voor de omgeving kan worden uitgevoerd.</w:t>
      </w:r>
    </w:p>
    <w:p w:rsidR="004E034E" w:rsidP="004E034E" w:rsidRDefault="004E034E" w14:paraId="0629C6A1" w14:textId="77777777">
      <w:pPr>
        <w:spacing w:after="0"/>
      </w:pPr>
    </w:p>
    <w:p w:rsidRPr="006466C1" w:rsidR="00D33C08" w:rsidP="00D33C08" w:rsidRDefault="00D33C08" w14:paraId="0BB5AF63" w14:textId="77777777">
      <w:pPr>
        <w:pStyle w:val="Lijstalinea"/>
        <w:numPr>
          <w:ilvl w:val="0"/>
          <w:numId w:val="1"/>
        </w:numPr>
        <w:spacing w:after="0"/>
        <w:rPr>
          <w:b/>
          <w:bCs/>
        </w:rPr>
      </w:pPr>
      <w:r w:rsidRPr="006466C1">
        <w:rPr>
          <w:b/>
          <w:bCs/>
        </w:rPr>
        <w:t>Inhoud van omgevingsvisies</w:t>
      </w:r>
    </w:p>
    <w:p w:rsidR="00D33C08" w:rsidP="00D33C08" w:rsidRDefault="006466C1" w14:paraId="54161279" w14:textId="77777777">
      <w:pPr>
        <w:spacing w:after="0"/>
      </w:pPr>
      <w:r>
        <w:t xml:space="preserve">In de tussentijd zijn de milieueffectrapporten voor een aantal (veelal provinciale) omgevingsvisies ter toetsing voorgelegd aan de Commissie. </w:t>
      </w:r>
      <w:r w:rsidR="001D5CEF">
        <w:t xml:space="preserve">Daaruit blijkt dat het voor overheden nog een zoektocht is hoe de verschillende wensen en opgaven integraal te moeten afwegen. Als oplossing hiervoor wordt meestal gekozen voor verregaande </w:t>
      </w:r>
      <w:r>
        <w:t>abstracties,</w:t>
      </w:r>
      <w:r w:rsidR="001D5CEF">
        <w:t xml:space="preserve"> waardoor amper</w:t>
      </w:r>
      <w:r>
        <w:t xml:space="preserve"> concrete keuzes</w:t>
      </w:r>
      <w:r w:rsidR="001D5CEF">
        <w:t xml:space="preserve"> worden gemaakt</w:t>
      </w:r>
      <w:r>
        <w:t>.</w:t>
      </w:r>
      <w:r w:rsidR="001D5CEF">
        <w:t xml:space="preserve"> Dat leidt ertoe dat veel visies ambities hebben die in de praktijk moeilijk samen gaan. </w:t>
      </w:r>
      <w:r w:rsidR="005102D5">
        <w:t>Daarom adviseert d</w:t>
      </w:r>
      <w:r w:rsidR="001D5CEF">
        <w:t xml:space="preserve">e Commissie </w:t>
      </w:r>
      <w:r w:rsidR="005102D5">
        <w:t>hierbij</w:t>
      </w:r>
      <w:r w:rsidR="001D5CEF">
        <w:t xml:space="preserve"> zogenoemde b</w:t>
      </w:r>
      <w:r>
        <w:t xml:space="preserve">otsproeven </w:t>
      </w:r>
      <w:r w:rsidR="005102D5">
        <w:t xml:space="preserve">te doen waarbij wordt onderzocht waar ambities elkaar in de weg zitten of juist kunnen versterken. </w:t>
      </w:r>
      <w:r>
        <w:t xml:space="preserve">Zie </w:t>
      </w:r>
      <w:r w:rsidR="005102D5">
        <w:t xml:space="preserve">hiervoor ook </w:t>
      </w:r>
      <w:r>
        <w:t>het advies over het rapport voor de NOVI (</w:t>
      </w:r>
      <w:hyperlink w:history="1" r:id="rId11">
        <w:r w:rsidRPr="001E3C15">
          <w:rPr>
            <w:rStyle w:val="Hyperlink"/>
          </w:rPr>
          <w:t>https://www.commissiemer.nl/docs/mer/p31/p3105/3105_ts_persbericht.pdf</w:t>
        </w:r>
      </w:hyperlink>
      <w:r>
        <w:t>).</w:t>
      </w:r>
    </w:p>
    <w:p w:rsidR="004E034E" w:rsidP="00D33C08" w:rsidRDefault="004E034E" w14:paraId="6DCF9DEC" w14:textId="77777777">
      <w:pPr>
        <w:spacing w:after="0"/>
      </w:pPr>
    </w:p>
    <w:p w:rsidRPr="00D33C08" w:rsidR="00D33C08" w:rsidP="00D33C08" w:rsidRDefault="00D33C08" w14:paraId="50EA4B23" w14:textId="77777777">
      <w:pPr>
        <w:spacing w:after="0"/>
        <w:rPr>
          <w:b/>
          <w:bCs/>
        </w:rPr>
      </w:pPr>
      <w:r w:rsidRPr="00D33C08">
        <w:rPr>
          <w:b/>
          <w:bCs/>
        </w:rPr>
        <w:t>Tot slot</w:t>
      </w:r>
    </w:p>
    <w:p w:rsidR="00D33C08" w:rsidP="00D33C08" w:rsidRDefault="00D33C08" w14:paraId="475166D7" w14:textId="77777777">
      <w:pPr>
        <w:spacing w:after="0"/>
      </w:pPr>
      <w:r>
        <w:t xml:space="preserve">Tot slot ziet de Commissie graag dat milieueffectrapportage wordt omgedoopt tot omgevingseffectrapportage. De </w:t>
      </w:r>
      <w:r w:rsidR="004E034E">
        <w:t xml:space="preserve">beperkte </w:t>
      </w:r>
      <w:r>
        <w:t>term ‘milieu’ past niet meer bij de verschillende onderwerpen, van cultuurhistorie tot natuur</w:t>
      </w:r>
      <w:r w:rsidR="004E034E">
        <w:t xml:space="preserve"> en </w:t>
      </w:r>
      <w:r>
        <w:t>van gezondheid tot energietransitie</w:t>
      </w:r>
      <w:r w:rsidR="004E034E">
        <w:t>,</w:t>
      </w:r>
      <w:r>
        <w:t xml:space="preserve"> die </w:t>
      </w:r>
      <w:r w:rsidR="004E034E">
        <w:t>in een dergelijke rapportage aan de orde komen. Zij ziet graag dat omgevingseffectrapportage een plek krijgt in het hart van het nieuwe omgevingsstelsel, als hulpmiddel voor het aanpakken van complexe integrale vraagstukken.</w:t>
      </w:r>
    </w:p>
    <w:sectPr w:rsidR="00D33C08">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7BFB30" w14:textId="77777777" w:rsidR="00E924CF" w:rsidRDefault="00E924CF" w:rsidP="009D63B3">
      <w:pPr>
        <w:spacing w:after="0" w:line="240" w:lineRule="auto"/>
      </w:pPr>
      <w:r>
        <w:separator/>
      </w:r>
    </w:p>
  </w:endnote>
  <w:endnote w:type="continuationSeparator" w:id="0">
    <w:p w14:paraId="7110B0D9" w14:textId="77777777" w:rsidR="00E924CF" w:rsidRDefault="00E924CF" w:rsidP="009D6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8333581"/>
      <w:docPartObj>
        <w:docPartGallery w:val="Page Numbers (Bottom of Page)"/>
        <w:docPartUnique/>
      </w:docPartObj>
    </w:sdtPr>
    <w:sdtEndPr/>
    <w:sdtContent>
      <w:p w14:paraId="18E319E1" w14:textId="77777777" w:rsidR="009D63B3" w:rsidRDefault="009D63B3">
        <w:pPr>
          <w:pStyle w:val="Voettekst"/>
          <w:jc w:val="center"/>
        </w:pPr>
        <w:r>
          <w:fldChar w:fldCharType="begin"/>
        </w:r>
        <w:r>
          <w:instrText>PAGE   \* MERGEFORMAT</w:instrText>
        </w:r>
        <w:r>
          <w:fldChar w:fldCharType="separate"/>
        </w:r>
        <w:r>
          <w:t>2</w:t>
        </w:r>
        <w:r>
          <w:fldChar w:fldCharType="end"/>
        </w:r>
      </w:p>
    </w:sdtContent>
  </w:sdt>
  <w:p w14:paraId="5B64830F" w14:textId="77777777" w:rsidR="009D63B3" w:rsidRDefault="009D63B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DE3104" w14:textId="77777777" w:rsidR="00E924CF" w:rsidRDefault="00E924CF" w:rsidP="009D63B3">
      <w:pPr>
        <w:spacing w:after="0" w:line="240" w:lineRule="auto"/>
      </w:pPr>
      <w:r>
        <w:separator/>
      </w:r>
    </w:p>
  </w:footnote>
  <w:footnote w:type="continuationSeparator" w:id="0">
    <w:p w14:paraId="19CAB69B" w14:textId="77777777" w:rsidR="00E924CF" w:rsidRDefault="00E924CF" w:rsidP="009D63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AD1B91"/>
    <w:multiLevelType w:val="hybridMultilevel"/>
    <w:tmpl w:val="3AC4F6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3B3"/>
    <w:rsid w:val="0002227E"/>
    <w:rsid w:val="00031853"/>
    <w:rsid w:val="000C5640"/>
    <w:rsid w:val="001D5CEF"/>
    <w:rsid w:val="002017A5"/>
    <w:rsid w:val="00286729"/>
    <w:rsid w:val="00302C5A"/>
    <w:rsid w:val="00310E9D"/>
    <w:rsid w:val="00336223"/>
    <w:rsid w:val="0037014A"/>
    <w:rsid w:val="004E034E"/>
    <w:rsid w:val="005102D5"/>
    <w:rsid w:val="00525D8E"/>
    <w:rsid w:val="005F078E"/>
    <w:rsid w:val="006466C1"/>
    <w:rsid w:val="00657DF9"/>
    <w:rsid w:val="00736D7C"/>
    <w:rsid w:val="007C5A05"/>
    <w:rsid w:val="007E4AEF"/>
    <w:rsid w:val="008551CF"/>
    <w:rsid w:val="00961D50"/>
    <w:rsid w:val="009A5E38"/>
    <w:rsid w:val="009A751C"/>
    <w:rsid w:val="009D63B3"/>
    <w:rsid w:val="009E134C"/>
    <w:rsid w:val="00A46E5B"/>
    <w:rsid w:val="00A55FA0"/>
    <w:rsid w:val="00A7726D"/>
    <w:rsid w:val="00AF6F79"/>
    <w:rsid w:val="00B72D64"/>
    <w:rsid w:val="00C17D30"/>
    <w:rsid w:val="00C3171F"/>
    <w:rsid w:val="00C31A6D"/>
    <w:rsid w:val="00C35772"/>
    <w:rsid w:val="00C50620"/>
    <w:rsid w:val="00C57FB4"/>
    <w:rsid w:val="00CC0B5E"/>
    <w:rsid w:val="00CD0C49"/>
    <w:rsid w:val="00CD66B0"/>
    <w:rsid w:val="00D225BA"/>
    <w:rsid w:val="00D33C08"/>
    <w:rsid w:val="00DF48C7"/>
    <w:rsid w:val="00E924CF"/>
    <w:rsid w:val="00EC1E2A"/>
    <w:rsid w:val="00EE4467"/>
    <w:rsid w:val="00F958FA"/>
    <w:rsid w:val="00FB53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9DF5F"/>
  <w15:chartTrackingRefBased/>
  <w15:docId w15:val="{17E4FE76-20DB-41A5-8CFE-AD11A2DED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D63B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D63B3"/>
  </w:style>
  <w:style w:type="paragraph" w:styleId="Voettekst">
    <w:name w:val="footer"/>
    <w:basedOn w:val="Standaard"/>
    <w:link w:val="VoettekstChar"/>
    <w:uiPriority w:val="99"/>
    <w:unhideWhenUsed/>
    <w:rsid w:val="009D63B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D63B3"/>
  </w:style>
  <w:style w:type="paragraph" w:styleId="Lijstalinea">
    <w:name w:val="List Paragraph"/>
    <w:basedOn w:val="Standaard"/>
    <w:uiPriority w:val="34"/>
    <w:qFormat/>
    <w:rsid w:val="00D33C08"/>
    <w:pPr>
      <w:ind w:left="720"/>
      <w:contextualSpacing/>
    </w:pPr>
  </w:style>
  <w:style w:type="character" w:styleId="Hyperlink">
    <w:name w:val="Hyperlink"/>
    <w:basedOn w:val="Standaardalinea-lettertype"/>
    <w:uiPriority w:val="99"/>
    <w:unhideWhenUsed/>
    <w:rsid w:val="006466C1"/>
    <w:rPr>
      <w:color w:val="0563C1" w:themeColor="hyperlink"/>
      <w:u w:val="single"/>
    </w:rPr>
  </w:style>
  <w:style w:type="character" w:styleId="Onopgelostemelding">
    <w:name w:val="Unresolved Mention"/>
    <w:basedOn w:val="Standaardalinea-lettertype"/>
    <w:uiPriority w:val="99"/>
    <w:semiHidden/>
    <w:unhideWhenUsed/>
    <w:rsid w:val="006466C1"/>
    <w:rPr>
      <w:color w:val="605E5C"/>
      <w:shd w:val="clear" w:color="auto" w:fill="E1DFDD"/>
    </w:rPr>
  </w:style>
  <w:style w:type="character" w:styleId="Verwijzingopmerking">
    <w:name w:val="annotation reference"/>
    <w:basedOn w:val="Standaardalinea-lettertype"/>
    <w:uiPriority w:val="99"/>
    <w:semiHidden/>
    <w:unhideWhenUsed/>
    <w:rsid w:val="00EC1E2A"/>
    <w:rPr>
      <w:sz w:val="16"/>
      <w:szCs w:val="16"/>
    </w:rPr>
  </w:style>
  <w:style w:type="paragraph" w:styleId="Tekstopmerking">
    <w:name w:val="annotation text"/>
    <w:basedOn w:val="Standaard"/>
    <w:link w:val="TekstopmerkingChar"/>
    <w:uiPriority w:val="99"/>
    <w:semiHidden/>
    <w:unhideWhenUsed/>
    <w:rsid w:val="00EC1E2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C1E2A"/>
    <w:rPr>
      <w:sz w:val="20"/>
      <w:szCs w:val="20"/>
    </w:rPr>
  </w:style>
  <w:style w:type="paragraph" w:styleId="Onderwerpvanopmerking">
    <w:name w:val="annotation subject"/>
    <w:basedOn w:val="Tekstopmerking"/>
    <w:next w:val="Tekstopmerking"/>
    <w:link w:val="OnderwerpvanopmerkingChar"/>
    <w:uiPriority w:val="99"/>
    <w:semiHidden/>
    <w:unhideWhenUsed/>
    <w:rsid w:val="00EC1E2A"/>
    <w:rPr>
      <w:b/>
      <w:bCs/>
    </w:rPr>
  </w:style>
  <w:style w:type="character" w:customStyle="1" w:styleId="OnderwerpvanopmerkingChar">
    <w:name w:val="Onderwerp van opmerking Char"/>
    <w:basedOn w:val="TekstopmerkingChar"/>
    <w:link w:val="Onderwerpvanopmerking"/>
    <w:uiPriority w:val="99"/>
    <w:semiHidden/>
    <w:rsid w:val="00EC1E2A"/>
    <w:rPr>
      <w:b/>
      <w:bCs/>
      <w:sz w:val="20"/>
      <w:szCs w:val="20"/>
    </w:rPr>
  </w:style>
  <w:style w:type="paragraph" w:styleId="Ballontekst">
    <w:name w:val="Balloon Text"/>
    <w:basedOn w:val="Standaard"/>
    <w:link w:val="BallontekstChar"/>
    <w:uiPriority w:val="99"/>
    <w:semiHidden/>
    <w:unhideWhenUsed/>
    <w:rsid w:val="00EC1E2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C1E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settings" Target="settings.xml" Id="rId6" /><Relationship Type="http://schemas.openxmlformats.org/officeDocument/2006/relationships/hyperlink" Target="https://www.commissiemer.nl/docs/mer/p31/p3105/3105_ts_persbericht.pdf" TargetMode="External" Id="rId11" /><Relationship Type="http://schemas.openxmlformats.org/officeDocument/2006/relationships/styles" Target="styles.xml" Id="rId5" /><Relationship Type="http://schemas.openxmlformats.org/officeDocument/2006/relationships/hyperlink" Target="https://www.groene.nl/artikel/normen-versoepelen-stankoverlast-slikken"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1007</ap:Words>
  <ap:Characters>5544</ap:Characters>
  <ap:DocSecurity>0</ap:DocSecurity>
  <ap:Lines>46</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6538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2019-12-08T20:22:00.0000000Z</dcterms:created>
  <dcterms:modified xsi:type="dcterms:W3CDTF">2019-12-08T20:28:00.0000000Z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0x010100549240430B053E42A83F96388EA12A80</vt:lpwstr>
  </property>
</Properties>
</file>