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W16.19.0149/II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25 juli 2019</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B71E6E" w:rsidRDefault="00F44BAE">
              <w:r>
                <w:t>Bij Kabinetsmissive van 18 juni 2019, no.2019001178, heeft Uwe Majesteit, op voordracht van de Minister voor Rechtsbescherming, bij de Afdeling advisering van de Raad van State ter overweging aanhangig gemaakt het voorstel van wet tot wijziging van het Wetboek van Strafvordering en het Wetboek van Strafrecht in verband met de nadere versterking van de positie van het slachtoffer in het strafproces (Wet uitbreiding slachtofferrechten), met memorie van toelichting.</w:t>
              </w:r>
            </w:p>
          </w:sdtContent>
        </w:sdt>
        <w:p w:rsidRPr="00831363" w:rsidR="00CE4655" w:rsidP="003C7608" w:rsidRDefault="00CE4655"/>
        <w:sdt>
          <w:sdtPr>
            <w:alias w:val="VrijeTekst1"/>
            <w:tag w:val="VrijeTekst1"/>
            <w:id w:val="-437221631"/>
            <w:lock w:val="sdtLocked"/>
          </w:sdtPr>
          <w:sdtEndPr/>
          <w:sdtContent>
            <w:p w:rsidRPr="00F7457C" w:rsidR="00F7457C" w:rsidP="00F7457C" w:rsidRDefault="00F44BAE">
              <w:r w:rsidRPr="00F7457C">
                <w:t>Het wetsvoorstel uitbreiding slachtofferrechten beoogt te voorzien in maatregelen die bijdragen aan een verdere versteviging en verankering van de positie van het slachtoffer</w:t>
              </w:r>
              <w:r>
                <w:t xml:space="preserve"> in het strafproces</w:t>
              </w:r>
              <w:r w:rsidRPr="00F7457C">
                <w:t xml:space="preserve">. </w:t>
              </w:r>
              <w:r>
                <w:t xml:space="preserve">Daartoe wordt onder andere </w:t>
              </w:r>
              <w:r w:rsidRPr="00F7457C">
                <w:t xml:space="preserve">een verschijningsplicht </w:t>
              </w:r>
              <w:r>
                <w:t xml:space="preserve">geïntroduceerd </w:t>
              </w:r>
              <w:r w:rsidRPr="00F7457C">
                <w:t>voor de voorlopig gehechte verdachte die wordt verdacht van een er</w:t>
              </w:r>
              <w:r>
                <w:t xml:space="preserve">nstig zeden- of geweldsmisdrijf. Daarnaast wordt </w:t>
              </w:r>
              <w:r w:rsidRPr="00F7457C">
                <w:t xml:space="preserve">een spreekrecht </w:t>
              </w:r>
              <w:r>
                <w:t xml:space="preserve">ingevoerd </w:t>
              </w:r>
              <w:r w:rsidRPr="00F7457C">
                <w:t>op de tbs-verlengingszitting</w:t>
              </w:r>
              <w:r>
                <w:t xml:space="preserve"> en in het kader van de </w:t>
              </w:r>
              <w:r w:rsidRPr="00501B0D">
                <w:t>plaatsing in een justitiële jeugdinrichting (PIJ-maatregel).</w:t>
              </w:r>
              <w:r w:rsidRPr="00F7457C">
                <w:t xml:space="preserve"> </w:t>
              </w:r>
            </w:p>
            <w:p w:rsidRPr="00F7457C" w:rsidR="00F7457C" w:rsidP="00F7457C" w:rsidRDefault="00251206"/>
            <w:p w:rsidR="007D184F" w:rsidP="00FF035E" w:rsidRDefault="000F5FA8">
              <w:r w:rsidRPr="000F5FA8">
                <w:t>De Afdeling advisering van de Raad van State maakt naar aanleiding van het</w:t>
              </w:r>
              <w:r>
                <w:t xml:space="preserve"> wetsvoorstel opmerkingen </w:t>
              </w:r>
              <w:r w:rsidRPr="00A4224E" w:rsidR="00F44BAE">
                <w:t>over de voorgestelde verschijningsplicht voor de verdachte en over de introductie van het spreekrecht van slachtoffers bij de tbs-verlengingszitting en in het kader van de PIJ-maatregel</w:t>
              </w:r>
              <w:r w:rsidR="00102144">
                <w:t>. Zij</w:t>
              </w:r>
              <w:r w:rsidR="00F44BAE">
                <w:t xml:space="preserve"> </w:t>
              </w:r>
              <w:r w:rsidRPr="002920ED" w:rsidR="00F44BAE">
                <w:rPr>
                  <w:rFonts w:cs="Segoe UI"/>
                  <w:color w:val="000000"/>
                  <w:szCs w:val="22"/>
                </w:rPr>
                <w:t>is van oordeel dat het voorstel in verband daarmee nader dient te worden overwogen</w:t>
              </w:r>
              <w:r w:rsidRPr="002920ED" w:rsidR="00F44BAE">
                <w:rPr>
                  <w:szCs w:val="22"/>
                </w:rPr>
                <w:t>.</w:t>
              </w:r>
              <w:r>
                <w:rPr>
                  <w:szCs w:val="22"/>
                </w:rPr>
                <w:t xml:space="preserve"> </w:t>
              </w:r>
              <w:r w:rsidRPr="00A4224E" w:rsidR="00F44BAE">
                <w:t xml:space="preserve">De Afdeling onderschrijft het belang van de aanwezigheid van de verdachte ter terechtzitting en </w:t>
              </w:r>
              <w:r w:rsidRPr="00A314FA" w:rsidR="00F44BAE">
                <w:t>merkt op</w:t>
              </w:r>
              <w:r w:rsidRPr="00A4224E" w:rsidR="00F44BAE">
                <w:t xml:space="preserve"> dat artikel 6 </w:t>
              </w:r>
              <w:r w:rsidR="00F44BAE">
                <w:t xml:space="preserve">van het </w:t>
              </w:r>
              <w:r w:rsidRPr="008A34A6" w:rsidR="00F44BAE">
                <w:t>Verdrag tot bescherming van de rechten van de mens en de fundamentele vrijheden</w:t>
              </w:r>
              <w:r w:rsidR="00F44BAE">
                <w:t xml:space="preserve"> (</w:t>
              </w:r>
              <w:r w:rsidRPr="00A4224E" w:rsidR="00F44BAE">
                <w:t>EVRM</w:t>
              </w:r>
              <w:r w:rsidR="00F44BAE">
                <w:t>)</w:t>
              </w:r>
              <w:r w:rsidRPr="00A4224E" w:rsidR="00F44BAE">
                <w:t xml:space="preserve"> niet in de weg staat aan de invoering van een verschijningsplicht. </w:t>
              </w:r>
              <w:r w:rsidRPr="00A314FA" w:rsidR="00F44BAE">
                <w:t>De voo</w:t>
              </w:r>
              <w:r w:rsidRPr="00776F14" w:rsidR="00F44BAE">
                <w:t xml:space="preserve">rgestelde verschijningsplicht </w:t>
              </w:r>
              <w:r w:rsidR="00F44BAE">
                <w:t xml:space="preserve">kan echter spanning oproepen met </w:t>
              </w:r>
              <w:r w:rsidRPr="00A314FA" w:rsidR="00F44BAE">
                <w:t>de</w:t>
              </w:r>
              <w:r w:rsidR="00F44BAE">
                <w:t xml:space="preserve"> behoeften en belangen </w:t>
              </w:r>
              <w:r w:rsidRPr="00A314FA" w:rsidR="00F44BAE">
                <w:t>van het slachtoffer en juist het risico vergroten dat het slachtoffer tegen zijn wen</w:t>
              </w:r>
              <w:r w:rsidRPr="00A4224E" w:rsidR="00F44BAE">
                <w:t xml:space="preserve">s met </w:t>
              </w:r>
              <w:r w:rsidR="00F44BAE">
                <w:t>de</w:t>
              </w:r>
              <w:r w:rsidRPr="00A4224E" w:rsidR="00F44BAE">
                <w:t xml:space="preserve"> </w:t>
              </w:r>
              <w:r w:rsidR="00F44BAE">
                <w:t>verdachte</w:t>
              </w:r>
              <w:r w:rsidRPr="00A314FA" w:rsidR="00F44BAE">
                <w:t xml:space="preserve"> wordt geconfronteerd. Met het oog daarop adviseert de Afdeling om te voorzien in een ruimer geformuleerde uitzonderingsgrond</w:t>
              </w:r>
              <w:r w:rsidR="00F44BAE">
                <w:t xml:space="preserve"> op de verschijningsplicht dan wordt voorgesteld. </w:t>
              </w:r>
              <w:r w:rsidRPr="00A4224E" w:rsidR="00F44BAE">
                <w:t>Ten aanzien van het spreekrecht in het kader van de tbs-verlenging en de PIJ</w:t>
              </w:r>
              <w:r w:rsidRPr="00A314FA" w:rsidR="00F44BAE">
                <w:t>-</w:t>
              </w:r>
              <w:r w:rsidRPr="00A4224E" w:rsidR="00F44BAE">
                <w:t xml:space="preserve">maatregel oordeelt de Afdeling dat </w:t>
              </w:r>
              <w:r w:rsidRPr="009218B4" w:rsidR="00F44BAE">
                <w:t xml:space="preserve">het </w:t>
              </w:r>
              <w:r w:rsidRPr="00A4224E" w:rsidR="00F44BAE">
                <w:t xml:space="preserve">voorstel geen betekenisvolle bijdrage levert aan de positie van het slachtoffer en mogelijk verwachtingen wekt die het niet kan waarmaken. </w:t>
              </w:r>
              <w:r w:rsidRPr="007D184F" w:rsidR="00F44BAE">
                <w:t xml:space="preserve">De Afdeling </w:t>
              </w:r>
              <w:r w:rsidR="00F44BAE">
                <w:t>adviseert dit onderdeel te schrappen</w:t>
              </w:r>
              <w:r w:rsidRPr="007D184F" w:rsidR="00F44BAE">
                <w:t xml:space="preserve">. </w:t>
              </w:r>
            </w:p>
            <w:p w:rsidR="008844A6" w:rsidP="00FF035E" w:rsidRDefault="00251206"/>
            <w:p w:rsidR="008A1CF8" w:rsidP="00FF035E" w:rsidRDefault="00F44BAE">
              <w:r>
                <w:t xml:space="preserve">1. </w:t>
              </w:r>
              <w:r>
                <w:tab/>
              </w:r>
              <w:r>
                <w:rPr>
                  <w:u w:val="single"/>
                </w:rPr>
                <w:t>Algemeen</w:t>
              </w:r>
              <w:r>
                <w:t xml:space="preserve"> </w:t>
              </w:r>
            </w:p>
            <w:p w:rsidR="008A1CF8" w:rsidP="00FF035E" w:rsidRDefault="00251206"/>
            <w:p w:rsidR="004909C7" w:rsidP="00FF035E" w:rsidRDefault="00F44BAE">
              <w:r>
                <w:t>Het wetsvoorstel voorziet in maatregelen die erop gericht zijn bij te dragen aan een verdere versteviging en verankering van de positie van het slachtoffer, over de gehele breedte van het Nederlandse strafrecht. De laatste jaren is hard gewerkt aan de versterking van de positie van het slachtoffer en zijn de rechten die aan die positie zijn verbonden verder uitgebreid. De regering juicht deze ontwikkeling toe en merkt op dat het onderhavige wetsvoorstel daarop verder bouwt.</w:t>
              </w:r>
              <w:r>
                <w:rPr>
                  <w:rStyle w:val="Voetnootmarkering"/>
                </w:rPr>
                <w:footnoteReference w:id="1"/>
              </w:r>
            </w:p>
            <w:p w:rsidR="004829DB" w:rsidP="00FF035E" w:rsidRDefault="00251206"/>
            <w:p w:rsidR="00AE5568" w:rsidP="00FF035E" w:rsidRDefault="00F44BAE">
              <w:r w:rsidRPr="004257A5">
                <w:t xml:space="preserve">De Afdeling onderkent het belang van het slachtoffer in het strafproces. In een goed ingericht strafproces dient </w:t>
              </w:r>
              <w:r>
                <w:t>behalve met</w:t>
              </w:r>
              <w:r w:rsidRPr="004257A5">
                <w:t xml:space="preserve"> het belang van de rechtsbescherming van de </w:t>
              </w:r>
              <w:r w:rsidRPr="004257A5">
                <w:lastRenderedPageBreak/>
                <w:t>ver</w:t>
              </w:r>
              <w:r>
                <w:t>dachte</w:t>
              </w:r>
              <w:r w:rsidRPr="004257A5">
                <w:t xml:space="preserve"> ook rekening te worden gehouden met belangen van andere </w:t>
              </w:r>
              <w:r>
                <w:t>procesdeelnem</w:t>
              </w:r>
              <w:r w:rsidRPr="004257A5">
                <w:t xml:space="preserve">ers, </w:t>
              </w:r>
              <w:r>
                <w:t>en in het bijzonder met het belang van genoegdoening aan</w:t>
              </w:r>
              <w:r w:rsidRPr="004257A5">
                <w:t xml:space="preserve"> het slachtoffer. </w:t>
              </w:r>
              <w:r>
                <w:t>De Afdeling tekent daarbij echter aan dat het toekennen van meer wettelijke slachtofferrechten niet per definitie tot betere resultaten leidt. Een goede implementatie en praktische uitvoering van de bestaande en voorgestelde wettelijke rechten en plichten in samenwerking met de ketenpartners is ook voor het slachtoffer van groot belang.</w:t>
              </w:r>
              <w:r>
                <w:rPr>
                  <w:rStyle w:val="Voetnootmarkering"/>
                </w:rPr>
                <w:footnoteReference w:id="2"/>
              </w:r>
              <w:r>
                <w:t xml:space="preserve"> De Afdeling beoordeelt het wetsvoorstel mede in dit licht. </w:t>
              </w:r>
            </w:p>
            <w:p w:rsidR="00923AE9" w:rsidP="00FF035E" w:rsidRDefault="00251206"/>
            <w:p w:rsidR="008844A6" w:rsidP="008844A6" w:rsidRDefault="00F44BAE">
              <w:pPr>
                <w:rPr>
                  <w:u w:val="single"/>
                </w:rPr>
              </w:pPr>
              <w:r w:rsidRPr="00886762">
                <w:t>2.</w:t>
              </w:r>
              <w:r w:rsidRPr="00886762">
                <w:tab/>
              </w:r>
              <w:r w:rsidRPr="00886762">
                <w:rPr>
                  <w:u w:val="single"/>
                </w:rPr>
                <w:t xml:space="preserve">De verschijningsplicht voor voorlopig gehechte verdachten van een ernstig </w:t>
              </w:r>
              <w:r w:rsidRPr="00886762">
                <w:tab/>
              </w:r>
              <w:r w:rsidRPr="00886762">
                <w:rPr>
                  <w:u w:val="single"/>
                </w:rPr>
                <w:t>zeden- of geweldsmisdrijf</w:t>
              </w:r>
            </w:p>
            <w:p w:rsidR="008844A6" w:rsidP="008844A6" w:rsidRDefault="00251206">
              <w:pPr>
                <w:rPr>
                  <w:i/>
                </w:rPr>
              </w:pPr>
            </w:p>
            <w:p w:rsidRPr="008844A6" w:rsidR="00886762" w:rsidP="008844A6" w:rsidRDefault="00F44BAE">
              <w:pPr>
                <w:rPr>
                  <w:u w:val="single"/>
                </w:rPr>
              </w:pPr>
              <w:r>
                <w:rPr>
                  <w:i/>
                </w:rPr>
                <w:t>a.</w:t>
              </w:r>
              <w:r>
                <w:rPr>
                  <w:i/>
                </w:rPr>
                <w:tab/>
                <w:t>Algemeen</w:t>
              </w:r>
            </w:p>
            <w:p w:rsidR="00886762" w:rsidP="00886762" w:rsidRDefault="00F44BAE">
              <w:r>
                <w:t>Het wetsvoorstel introduceert een verplichting voor de</w:t>
              </w:r>
              <w:r w:rsidRPr="00886762">
                <w:t xml:space="preserve"> verdachte </w:t>
              </w:r>
              <w:r>
                <w:t>om</w:t>
              </w:r>
              <w:r w:rsidRPr="00886762">
                <w:t xml:space="preserve"> op de terechtzitting te verschijnen</w:t>
              </w:r>
              <w:r>
                <w:t>,</w:t>
              </w:r>
              <w:r w:rsidRPr="00886762">
                <w:t xml:space="preserve"> indien hij zich in voorlopige hechtenis bevindt in verband met een ernstig zeden- of geweldsmisdrijf. Deze verschijningsplicht vloeit voor</w:t>
              </w:r>
              <w:r>
                <w:t>t</w:t>
              </w:r>
              <w:r w:rsidRPr="00886762">
                <w:t xml:space="preserve"> uit het Regeerakkoord en geldt tevens voor de zitting waarop uitspraak wordt gedaan. De keuze om de verschijningsplicht te beperken tot de verdachte die zich in voorlopige hechtenis bevindt</w:t>
              </w:r>
              <w:r>
                <w:t>,</w:t>
              </w:r>
              <w:r w:rsidRPr="00886762">
                <w:t xml:space="preserve"> is vooral ingegeven door de praktische uitvoerbaarheid van de regeling. De </w:t>
              </w:r>
              <w:r>
                <w:t>regering</w:t>
              </w:r>
              <w:r w:rsidRPr="00886762">
                <w:t xml:space="preserve"> erkent dat de rechter op dit moment al de mogelijkheid heeft om te bevelen dat de verdachte op de zitting verschijnt en diens medebrenging te gelasten. Hij acht het in de ernstigere zaken echter wenselijk dat aanwezigheid het wettelijke uitgangspunt is, zonder daarbij afhankelijk te zijn van een </w:t>
              </w:r>
              <w:r>
                <w:t>rechterlijk</w:t>
              </w:r>
              <w:r w:rsidRPr="00886762">
                <w:t xml:space="preserve"> bevel.</w:t>
              </w:r>
              <w:r w:rsidRPr="00886762">
                <w:rPr>
                  <w:vertAlign w:val="superscript"/>
                </w:rPr>
                <w:footnoteReference w:id="3"/>
              </w:r>
            </w:p>
            <w:p w:rsidR="00886762" w:rsidP="00886762" w:rsidRDefault="00251206"/>
            <w:p w:rsidR="00AF12D5" w:rsidP="00973738" w:rsidRDefault="00F44BAE">
              <w:r w:rsidRPr="00CD2251">
                <w:t xml:space="preserve">De Afdeling onderschrijft het uitgangspunt dat de aanwezigheid van de verdachte tijdens de terechtzitting zoveel mogelijk bevorderd dient te worden. </w:t>
              </w:r>
              <w:r w:rsidRPr="002308AA">
                <w:t>Door aanwezigheid van de verdachte wordt de waarheidsvinding gediend en komt het contradictoire proces beter tot zijn recht.</w:t>
              </w:r>
              <w:r w:rsidRPr="002308AA">
                <w:rPr>
                  <w:vertAlign w:val="superscript"/>
                </w:rPr>
                <w:footnoteReference w:id="4"/>
              </w:r>
              <w:r>
                <w:t xml:space="preserve"> </w:t>
              </w:r>
              <w:r w:rsidRPr="00CA2219">
                <w:t xml:space="preserve">Tot op heden is de verdachte in een Nederlandse strafzaak </w:t>
              </w:r>
              <w:r>
                <w:t xml:space="preserve">evenwel </w:t>
              </w:r>
              <w:r w:rsidRPr="00CA2219">
                <w:t>in beginsel niet verplicht ter terechtzitting of bij de uitspraak te verschijnen. De toelichting spreekt dan ook van een “breuk met het huidige systeem”.</w:t>
              </w:r>
              <w:r w:rsidRPr="00CA2219">
                <w:rPr>
                  <w:vertAlign w:val="superscript"/>
                </w:rPr>
                <w:footnoteReference w:id="5"/>
              </w:r>
            </w:p>
            <w:p w:rsidR="002920ED" w:rsidP="00973738" w:rsidRDefault="00251206"/>
            <w:p w:rsidR="002308AA" w:rsidP="00973738" w:rsidRDefault="00F44BAE">
              <w:r w:rsidRPr="00CA2219">
                <w:t>Artikel 6 EVRM en de daarin besloten liggende onschuldpresumptie verzetten zich niet tegen een verschijningsplicht.</w:t>
              </w:r>
              <w:r w:rsidRPr="00CA2219">
                <w:rPr>
                  <w:vertAlign w:val="superscript"/>
                </w:rPr>
                <w:footnoteReference w:id="6"/>
              </w:r>
              <w:r w:rsidRPr="00CA2219">
                <w:t xml:space="preserve"> </w:t>
              </w:r>
              <w:r w:rsidRPr="00727C57">
                <w:t xml:space="preserve">De praktijk leert dat </w:t>
              </w:r>
              <w:r>
                <w:t xml:space="preserve">een aanzienlijk deel van de </w:t>
              </w:r>
              <w:r w:rsidRPr="00727C57">
                <w:t>voorlopig gehechte verdachten van de misdrijven waar het hier om gaat ook nu al (vrijwillig) verschijn</w:t>
              </w:r>
              <w:r>
                <w:t>t</w:t>
              </w:r>
              <w:r w:rsidRPr="00727C57">
                <w:t xml:space="preserve"> op de terechtzitting.</w:t>
              </w:r>
              <w:r w:rsidRPr="00727C57">
                <w:rPr>
                  <w:vertAlign w:val="superscript"/>
                </w:rPr>
                <w:footnoteReference w:id="7"/>
              </w:r>
              <w:r>
                <w:t xml:space="preserve"> Bovendien heeft d</w:t>
              </w:r>
              <w:r w:rsidRPr="006423DA">
                <w:t xml:space="preserve">e rechter </w:t>
              </w:r>
              <w:r>
                <w:t xml:space="preserve">naar huidig recht reeds </w:t>
              </w:r>
              <w:r w:rsidRPr="006423DA">
                <w:t xml:space="preserve">de bevoegdheid om te bevelen dat de verdachte bij de behandeling ter terechtzitting verschijnt en kan </w:t>
              </w:r>
              <w:r>
                <w:t xml:space="preserve">hij </w:t>
              </w:r>
              <w:r w:rsidRPr="006423DA">
                <w:t>daartoe de medebrenging van de verdachte gelasten (artikel 278, tweede lid, Sv). De Hoge Raad heeft bepaald dat de rechter eveneens een bevel aan de verdachte kan geven om bij de uitspraak te verschijnen.</w:t>
              </w:r>
              <w:r w:rsidRPr="006423DA">
                <w:rPr>
                  <w:vertAlign w:val="superscript"/>
                </w:rPr>
                <w:footnoteReference w:id="8"/>
              </w:r>
              <w:r w:rsidRPr="006423DA">
                <w:t xml:space="preserve"> In zoverre </w:t>
              </w:r>
              <w:r>
                <w:t xml:space="preserve">zijn </w:t>
              </w:r>
              <w:r>
                <w:lastRenderedPageBreak/>
                <w:t xml:space="preserve">de praktische gevolgen van het voorstel relatief beperkt en wordt </w:t>
              </w:r>
              <w:r w:rsidRPr="006423DA">
                <w:t xml:space="preserve">vooral de </w:t>
              </w:r>
              <w:r>
                <w:t>ruimte voor</w:t>
              </w:r>
              <w:r w:rsidRPr="006423DA">
                <w:t xml:space="preserve"> de rechter </w:t>
              </w:r>
              <w:r>
                <w:t>ingeperkt</w:t>
              </w:r>
              <w:r w:rsidRPr="006423DA">
                <w:t>.</w:t>
              </w:r>
              <w:r w:rsidRPr="006423DA">
                <w:rPr>
                  <w:vertAlign w:val="superscript"/>
                </w:rPr>
                <w:footnoteReference w:id="9"/>
              </w:r>
            </w:p>
            <w:p w:rsidR="00DA7806" w:rsidP="00973738" w:rsidRDefault="00251206"/>
            <w:p w:rsidR="008A1C8B" w:rsidP="00973738" w:rsidRDefault="00F44BAE">
              <w:r>
                <w:t>De Afdeling merkt op dat de voorgestelde versc</w:t>
              </w:r>
              <w:r w:rsidRPr="004146B3">
                <w:t xml:space="preserve">hijningsplicht </w:t>
              </w:r>
              <w:r>
                <w:t>in belangrijke mate – zij het niet uitsluitend – verband houdt met</w:t>
              </w:r>
              <w:r w:rsidRPr="004146B3">
                <w:t xml:space="preserve"> de positie van het slachtoffer. Het uitoefenen van het spreekrecht in aanwezigheid van de verdachte </w:t>
              </w:r>
              <w:r>
                <w:t xml:space="preserve">kan volgens de toelichting </w:t>
              </w:r>
              <w:r w:rsidRPr="004146B3">
                <w:t>een belangrijke rol spelen bij het herstel van de emotionele schade die door het misdrijf is aangericht.</w:t>
              </w:r>
              <w:r>
                <w:t xml:space="preserve"> De Afdeling wijst erop dat de introductie van een verschijningsplicht voor de verdachte spanning kan doen ontstaan met de behoeften en belangen van het slachtoffer. S</w:t>
              </w:r>
              <w:r w:rsidRPr="00886762">
                <w:t xml:space="preserve">ommige (en wellicht zelfs veel) slachtoffers </w:t>
              </w:r>
              <w:r>
                <w:t xml:space="preserve">zullen </w:t>
              </w:r>
              <w:r w:rsidRPr="00886762">
                <w:t>inderdaad de behoefte</w:t>
              </w:r>
              <w:r>
                <w:t xml:space="preserve"> </w:t>
              </w:r>
              <w:r w:rsidRPr="00886762">
                <w:t xml:space="preserve">voelen om de verdachte ‘in de ogen te kijken’, maar </w:t>
              </w:r>
              <w:r>
                <w:t>dit geld</w:t>
              </w:r>
              <w:r w:rsidRPr="00886762">
                <w:t>t zeker niet voor alle slachtoffers. Het is bovendien mogelijk dat de verdachte die wordt gedwongen om te verschijnen zich onwelwillend of ongeïnteresseerd zal opstellen, hetgeen door het slachtoffer als onaangenaam kan worden ervaren.</w:t>
              </w:r>
              <w:r w:rsidRPr="00886762">
                <w:rPr>
                  <w:vertAlign w:val="superscript"/>
                </w:rPr>
                <w:footnoteReference w:id="10"/>
              </w:r>
              <w:r w:rsidRPr="00886762">
                <w:t xml:space="preserve"> </w:t>
              </w:r>
              <w:r>
                <w:t>De Afdeling is dan ook van oordeel dat</w:t>
              </w:r>
              <w:r w:rsidRPr="00886762">
                <w:t xml:space="preserve"> </w:t>
              </w:r>
              <w:r>
                <w:t xml:space="preserve">een </w:t>
              </w:r>
              <w:r w:rsidRPr="00886762">
                <w:t xml:space="preserve">verschijningsplicht </w:t>
              </w:r>
              <w:r>
                <w:t>zijn doel voorbij schiet in</w:t>
              </w:r>
              <w:r w:rsidRPr="00886762">
                <w:t xml:space="preserve"> </w:t>
              </w:r>
              <w:r>
                <w:t xml:space="preserve">de </w:t>
              </w:r>
              <w:r w:rsidRPr="00886762">
                <w:t>gevallen waarin het slachtoffer no</w:t>
              </w:r>
              <w:r>
                <w:t>ch</w:t>
              </w:r>
              <w:r w:rsidRPr="00886762">
                <w:t xml:space="preserve"> de verdachte zelf prijs stellen op diens aanwezigheid</w:t>
              </w:r>
              <w:r>
                <w:t xml:space="preserve"> en de rechter geen aanleiding ziet voor een bevel tot medebrenging</w:t>
              </w:r>
              <w:r w:rsidRPr="00886762">
                <w:t xml:space="preserve">. </w:t>
              </w:r>
            </w:p>
            <w:p w:rsidR="008A1C8B" w:rsidP="00973738" w:rsidRDefault="00251206"/>
            <w:p w:rsidR="00973738" w:rsidP="00973738" w:rsidRDefault="00F44BAE">
              <w:r w:rsidRPr="00CA2219">
                <w:t xml:space="preserve">In de adviezen van verschillende organisaties is ervoor gepleit om de rechter in deze situatie de </w:t>
              </w:r>
              <w:r>
                <w:t>bevoegdheid</w:t>
              </w:r>
              <w:r w:rsidRPr="00CA2219">
                <w:t xml:space="preserve"> te geven om </w:t>
              </w:r>
              <w:r>
                <w:t>een uitzondering op</w:t>
              </w:r>
              <w:r w:rsidRPr="00CA2219">
                <w:t xml:space="preserve"> de verschijningsplicht </w:t>
              </w:r>
              <w:r>
                <w:t xml:space="preserve">te maken </w:t>
              </w:r>
              <w:r w:rsidRPr="00CA2219">
                <w:t xml:space="preserve">of </w:t>
              </w:r>
              <w:r>
                <w:t xml:space="preserve">om </w:t>
              </w:r>
              <w:r w:rsidRPr="00CA2219">
                <w:t>de wens van het s</w:t>
              </w:r>
              <w:r w:rsidRPr="006312F4">
                <w:t>lachtoffer hier de doorslag te laten geven.</w:t>
              </w:r>
              <w:r w:rsidRPr="00CA2219">
                <w:rPr>
                  <w:vertAlign w:val="superscript"/>
                </w:rPr>
                <w:footnoteReference w:id="11"/>
              </w:r>
              <w:r w:rsidRPr="00886762">
                <w:t xml:space="preserve"> De </w:t>
              </w:r>
              <w:r>
                <w:t>regering</w:t>
              </w:r>
              <w:r w:rsidRPr="00886762">
                <w:t xml:space="preserve"> komt </w:t>
              </w:r>
              <w:r>
                <w:t>daar</w:t>
              </w:r>
              <w:r w:rsidRPr="00886762">
                <w:t xml:space="preserve">aan tegemoet door de rechter </w:t>
              </w:r>
              <w:r>
                <w:t>de</w:t>
              </w:r>
              <w:r w:rsidRPr="00886762">
                <w:t xml:space="preserve"> ruimte te geven om in “uitzonderlijke gevallen” af te zien van de </w:t>
              </w:r>
              <w:r>
                <w:t>verplichte verschijning van de verdachte</w:t>
              </w:r>
              <w:r w:rsidRPr="00886762">
                <w:t xml:space="preserve"> wegens “zwaarwegende belangen” van de verdachte, het slachtoffer of een andere procesdeelnemer</w:t>
              </w:r>
              <w:r>
                <w:t xml:space="preserve"> (het voorgestelde artikel 258a, tweede lid, Sv)</w:t>
              </w:r>
              <w:r w:rsidRPr="00886762">
                <w:t>.</w:t>
              </w:r>
              <w:r w:rsidRPr="00886762">
                <w:rPr>
                  <w:vertAlign w:val="superscript"/>
                </w:rPr>
                <w:footnoteReference w:id="12"/>
              </w:r>
              <w:r w:rsidRPr="00886762">
                <w:t xml:space="preserve"> Deze uitzondering is strikt geformuleerd en </w:t>
              </w:r>
              <w:r>
                <w:t>biedt geen uitkomst</w:t>
              </w:r>
              <w:r w:rsidRPr="00886762">
                <w:t xml:space="preserve"> in </w:t>
              </w:r>
              <w:r>
                <w:t>situaties</w:t>
              </w:r>
              <w:r w:rsidRPr="00886762">
                <w:t xml:space="preserve"> waarin </w:t>
              </w:r>
              <w:r>
                <w:t xml:space="preserve">dergelijke zwaarwegende belangen zich weliswaar niet voordoen, doch </w:t>
              </w:r>
              <w:r w:rsidRPr="00886762">
                <w:t>geen enkele procesdeelnemer behoefte heeft aan verschijning van de verdachte.</w:t>
              </w:r>
              <w:r>
                <w:t xml:space="preserve"> Dit terwijl het bij uitstek de rechter is die kan beoordelen of aanwezigheid van de verdachte, gelet op alle betrokken belangen en de specifieke omstandigheden van het concrete geval, wenselijk is.</w:t>
              </w:r>
            </w:p>
            <w:p w:rsidR="007C7E28" w:rsidP="00973738" w:rsidRDefault="00251206"/>
            <w:p w:rsidR="008844A6" w:rsidP="008844A6" w:rsidRDefault="00F44BAE">
              <w:r w:rsidRPr="00923AE9">
                <w:t xml:space="preserve">De Afdeling concludeert dat een verschijningsplicht, zoals hier voorgesteld, de positie van het slachtoffer niet </w:t>
              </w:r>
              <w:r>
                <w:t>per definitie</w:t>
              </w:r>
              <w:r w:rsidRPr="00923AE9">
                <w:t xml:space="preserve"> verbetert en juist </w:t>
              </w:r>
              <w:r>
                <w:t>het risico</w:t>
              </w:r>
              <w:r w:rsidRPr="00923AE9">
                <w:t xml:space="preserve"> vergroot dat hij tegen zijn wens met de verdachte wordt geconfronteerd.</w:t>
              </w:r>
              <w:r>
                <w:rPr>
                  <w:rStyle w:val="Voetnootmarkering"/>
                </w:rPr>
                <w:footnoteReference w:id="13"/>
              </w:r>
              <w:r>
                <w:t xml:space="preserve"> Met het oog daarop adviseert de </w:t>
              </w:r>
              <w:r>
                <w:lastRenderedPageBreak/>
                <w:t>Afdeling om te voorzien in een ruimer geformuleerde uitzonderingsgrond, die het voor de rechter in meer gevallen – rekening houdend met de bijzondere omstandigheden van het geval</w:t>
              </w:r>
              <w:r w:rsidRPr="00E26890">
                <w:rPr>
                  <w:vertAlign w:val="superscript"/>
                </w:rPr>
                <w:footnoteReference w:id="14"/>
              </w:r>
              <w:r>
                <w:t xml:space="preserve"> – mogelijk maakt om af te zien van </w:t>
              </w:r>
              <w:r w:rsidRPr="00A314FA">
                <w:t>verplichte</w:t>
              </w:r>
              <w:r>
                <w:t xml:space="preserve"> aanwezigheid van de verdachte.</w:t>
              </w:r>
            </w:p>
            <w:p w:rsidR="008844A6" w:rsidP="008844A6" w:rsidRDefault="00251206"/>
            <w:p w:rsidRPr="008844A6" w:rsidR="00886762" w:rsidP="008844A6" w:rsidRDefault="00F44BAE">
              <w:r>
                <w:rPr>
                  <w:i/>
                </w:rPr>
                <w:t>b.</w:t>
              </w:r>
              <w:r>
                <w:rPr>
                  <w:i/>
                </w:rPr>
                <w:tab/>
              </w:r>
              <w:r w:rsidRPr="00886762">
                <w:rPr>
                  <w:i/>
                </w:rPr>
                <w:t>Reikwijdte en uitzondering</w:t>
              </w:r>
              <w:r>
                <w:rPr>
                  <w:i/>
                </w:rPr>
                <w:t>en</w:t>
              </w:r>
            </w:p>
            <w:p w:rsidR="00CD2251" w:rsidP="00886762" w:rsidRDefault="00F44BAE">
              <w:r>
                <w:t>In aanvulling op het voorgaande merkt de Afdeling het volgende op over de wijze waarop de verschijningsplicht voor de verdachte in het voorstel is vormgegeven en afgebakend.</w:t>
              </w:r>
            </w:p>
            <w:p w:rsidR="00CD2251" w:rsidP="00886762" w:rsidRDefault="00251206"/>
            <w:p w:rsidR="00E60C3D" w:rsidP="00886762" w:rsidRDefault="00F44BAE">
              <w:r w:rsidRPr="00A248F2">
                <w:t>i. Ernstige zeden- of geweldsmisdrijven</w:t>
              </w:r>
              <w:r>
                <w:t xml:space="preserve"> </w:t>
              </w:r>
            </w:p>
            <w:p w:rsidR="0011730E" w:rsidP="00886762" w:rsidRDefault="00F44BAE">
              <w:r w:rsidRPr="00886762">
                <w:t xml:space="preserve">De </w:t>
              </w:r>
              <w:r>
                <w:t>regering</w:t>
              </w:r>
              <w:r w:rsidRPr="00886762">
                <w:t xml:space="preserve"> acht de aanwezigheid van de verdachte in het bijzon</w:t>
              </w:r>
              <w:r>
                <w:t xml:space="preserve">der van belang in zaken waarin </w:t>
              </w:r>
              <w:r w:rsidRPr="00886762">
                <w:t>ernstige zeden- of geweldsmisdrijven zijn tenlastegelegd. Daarom geldt de voorgestelde verschijningsplicht alleen voor (a) een spreekrechtwaardig delict, zoals genoemd in artikel 51e, eerste lid, Sv, of (b) een delict dat gericht is tegen of gevaar veroorzaakt voor de onaantastbaarheid van het lichaam van een of meer personen en waarop naar de wettelijke omschrijving een gevangenisstraf van vier jaar of meer is gesteld.</w:t>
              </w:r>
              <w:r w:rsidRPr="00886762">
                <w:rPr>
                  <w:vertAlign w:val="superscript"/>
                </w:rPr>
                <w:footnoteReference w:id="15"/>
              </w:r>
              <w:r>
                <w:t xml:space="preserve"> </w:t>
              </w:r>
              <w:r w:rsidRPr="00CD2251">
                <w:t>De vraag rijst of alle opgesomde delicten inderdaad als ernstige zeden- en geweldsmisdrijven kunnen worden aangemerkt. Die opsomming omvat immers ook strafbare feiten als bedreiging (artikel 285 Sr), belaging (artikel 285b Sr) en zwaar lichamelijk letsel door schuld (artikel 308 Sr). Bovendien is het de vraag of categorie (a) niet mede alle misdrijven van categorie (b) omvat, nu de toelichting geen voorbeelden noemt van misdrijven tegen de onaantastbaarheid van het lichaam die niet spreekrechtwaardig zijn en waarop tevens een gevangenisstraf van vier jaar of meer is gesteld.</w:t>
              </w:r>
              <w:r w:rsidRPr="00CD2251">
                <w:rPr>
                  <w:vertAlign w:val="superscript"/>
                </w:rPr>
                <w:footnoteReference w:id="16"/>
              </w:r>
              <w:r w:rsidRPr="00CD2251">
                <w:t xml:space="preserve"> </w:t>
              </w:r>
            </w:p>
            <w:p w:rsidR="0011730E" w:rsidP="00886762" w:rsidRDefault="00251206"/>
            <w:p w:rsidR="00CD2251" w:rsidP="00886762" w:rsidRDefault="00F44BAE">
              <w:r w:rsidRPr="00CD2251">
                <w:t>De Afdeling adviseert om de toelichting op dit punt aan te vullen</w:t>
              </w:r>
              <w:r>
                <w:t>,</w:t>
              </w:r>
              <w:r w:rsidRPr="00CD2251">
                <w:t xml:space="preserve"> </w:t>
              </w:r>
              <w:r>
                <w:t xml:space="preserve">hierop ook in het nader rapport in te gaan en </w:t>
              </w:r>
              <w:r w:rsidRPr="00CD2251">
                <w:t>het voorstel zo nodig aan te passen.</w:t>
              </w:r>
            </w:p>
            <w:p w:rsidR="00CD2251" w:rsidP="00886762" w:rsidRDefault="00251206"/>
            <w:p w:rsidRPr="00886762" w:rsidR="00E60C3D" w:rsidP="00886762" w:rsidRDefault="00F44BAE">
              <w:r>
                <w:t>ii. Voorlopige hechtenis in verband met de zaak</w:t>
              </w:r>
            </w:p>
            <w:p w:rsidR="0011730E" w:rsidP="00886762" w:rsidRDefault="00F44BAE">
              <w:r w:rsidRPr="00886762">
                <w:t>D</w:t>
              </w:r>
              <w:r>
                <w:t>e verdachte is volgens de tekst van het wetsvoorstel verplicht te verschijnen, indien hij</w:t>
              </w:r>
              <w:r w:rsidRPr="00886762">
                <w:t xml:space="preserve"> zich in voorlopige hechtenis bevindt </w:t>
              </w:r>
              <w:r>
                <w:t>“</w:t>
              </w:r>
              <w:r w:rsidRPr="00886762">
                <w:t xml:space="preserve">in verband met </w:t>
              </w:r>
              <w:r>
                <w:t>de zaak” en het bevel voorlopige hechtenis niet is geschorst</w:t>
              </w:r>
              <w:r w:rsidRPr="00886762">
                <w:t>.</w:t>
              </w:r>
              <w:r>
                <w:t xml:space="preserve"> Tegelijkertijd</w:t>
              </w:r>
              <w:r w:rsidRPr="00CD2251">
                <w:t xml:space="preserve"> wordt in de toelichting gesteld dat de verschijningsplicht ook geldt in gevallen waarin de verdachte uit anderen hoofde is gedetineerd en gedurende deze periode een nieuwe verdenking tegen hem rijst. Het zou volgens de toelichting onwenselijk zijn als de verschijningsplicht niet zou gelden als een verdachte al vastzit, doch (indien hij niet al gedetineerd zou zijn) voor het gepleegde feit hoogstwaarschijnlijk voorlopige hechtenis opgelegd zou krijgen.</w:t>
              </w:r>
              <w:r w:rsidRPr="006E164D">
                <w:rPr>
                  <w:vertAlign w:val="superscript"/>
                </w:rPr>
                <w:footnoteReference w:id="17"/>
              </w:r>
              <w:r w:rsidRPr="00CD2251">
                <w:t xml:space="preserve"> De</w:t>
              </w:r>
              <w:r>
                <w:t xml:space="preserve"> Afdeling merkt op dat de</w:t>
              </w:r>
              <w:r w:rsidRPr="00CD2251">
                <w:t xml:space="preserve"> verdachte zich dan echter niet in voorlopige hechtenis </w:t>
              </w:r>
              <w:r>
                <w:t>bevindt “</w:t>
              </w:r>
              <w:r w:rsidRPr="00CD2251">
                <w:t>in verband met de zaak</w:t>
              </w:r>
              <w:r>
                <w:t xml:space="preserve">”. De toelichting strookt in zoverre niet met de voorgestelde </w:t>
              </w:r>
              <w:r>
                <w:lastRenderedPageBreak/>
                <w:t>wettekst</w:t>
              </w:r>
              <w:r w:rsidRPr="00CD2251">
                <w:t>.</w:t>
              </w:r>
              <w:r>
                <w:t xml:space="preserve"> Daarmee rijst de vraag welke betekenis in dit verband moet worden toegekend aan de woorden “in verband met de zaak”.</w:t>
              </w:r>
              <w:r>
                <w:rPr>
                  <w:rStyle w:val="Voetnootmarkering"/>
                </w:rPr>
                <w:footnoteReference w:id="18"/>
              </w:r>
            </w:p>
            <w:p w:rsidR="0011730E" w:rsidP="00886762" w:rsidRDefault="00251206"/>
            <w:p w:rsidR="00CD2251" w:rsidP="00886762" w:rsidRDefault="00F44BAE">
              <w:r>
                <w:t>De Afdeling adviseert om de toelichting op dit punt aan te vullen, hierop ook in het nader rapport in te gaan en het voorstel zo nodig aan te passen.</w:t>
              </w:r>
            </w:p>
            <w:p w:rsidR="00CD2251" w:rsidP="00886762" w:rsidRDefault="00251206"/>
            <w:p w:rsidRPr="00886762" w:rsidR="00711504" w:rsidP="00886762" w:rsidRDefault="00F44BAE">
              <w:r>
                <w:t>iii. Regie- en pro forma-zittingen</w:t>
              </w:r>
            </w:p>
            <w:p w:rsidR="00C47F1B" w:rsidP="00886762" w:rsidRDefault="00F44BAE">
              <w:r>
                <w:t>D</w:t>
              </w:r>
              <w:r w:rsidRPr="00886762">
                <w:t xml:space="preserve">e verschijningsplicht </w:t>
              </w:r>
              <w:r>
                <w:t xml:space="preserve">geldt </w:t>
              </w:r>
              <w:r w:rsidRPr="00886762">
                <w:t>volgens de toelichting alleen voor de zitting waarop de zaak inhoudelijk wordt behandeld en niet voor regie- en pro forma-zittingen.</w:t>
              </w:r>
              <w:r w:rsidRPr="00886762">
                <w:rPr>
                  <w:vertAlign w:val="superscript"/>
                </w:rPr>
                <w:footnoteReference w:id="19"/>
              </w:r>
              <w:r>
                <w:t xml:space="preserve"> I</w:t>
              </w:r>
              <w:r w:rsidRPr="00CD2251">
                <w:t xml:space="preserve">n de voorgestelde wettelijke regeling </w:t>
              </w:r>
              <w:r>
                <w:t xml:space="preserve">komt echter </w:t>
              </w:r>
              <w:r w:rsidRPr="00CD2251">
                <w:t xml:space="preserve">niet (expliciet) tot uitdrukking dat de verschijningsplicht zich niet uitstrekt tot regie- en pro forma-zittingen, zoals blijkens de toelichting de bedoeling is. </w:t>
              </w:r>
            </w:p>
            <w:p w:rsidR="00C47F1B" w:rsidP="00886762" w:rsidRDefault="00251206"/>
            <w:p w:rsidR="00886762" w:rsidP="00886762" w:rsidRDefault="00F44BAE">
              <w:r w:rsidRPr="00CD2251">
                <w:t>De Afdeling adviseert om het voorstel op dit punt aan te vullen.</w:t>
              </w:r>
            </w:p>
            <w:p w:rsidR="00CD2251" w:rsidP="00886762" w:rsidRDefault="00251206"/>
            <w:p w:rsidRPr="00886762" w:rsidR="00711504" w:rsidP="00886762" w:rsidRDefault="00F44BAE">
              <w:r>
                <w:t>iv. Uitzondering(en) op de verschijningsplicht</w:t>
              </w:r>
            </w:p>
            <w:p w:rsidR="0011730E" w:rsidP="00886762" w:rsidRDefault="00F44BAE">
              <w:r w:rsidRPr="00CD2251">
                <w:t>Indien de verdachte ondanks zijn verschijningsplicht om welke reden dan ook niet op de zitting aanwezig is, en de uitzondering van artikel 258a, tweede lid, Sv niet van toepassing is, beveelt de rechtbank de schorsing van het onderzoek en gelast zij de medebrenging van de verdachte.</w:t>
              </w:r>
              <w:r w:rsidRPr="00CD2251">
                <w:rPr>
                  <w:vertAlign w:val="superscript"/>
                </w:rPr>
                <w:footnoteReference w:id="20"/>
              </w:r>
              <w:r w:rsidRPr="00CD2251">
                <w:t xml:space="preserve"> Het nieuwe artikel 278, tweede lid, Sv bepaalt echter dat de rechtbank de schorsing en medebrenging (ook) achterwege kan laten op grond van “bijzondere omstandigheden”. De toelichting noemt geen voorbeelden van dergelijke omstandigheden en gaat niet in op de verhouding tussen deze laatste uitzonderingsgrond en de in artikel 258a, tweede lid, Sv bedoelde zwaarwegende belangen. </w:t>
              </w:r>
            </w:p>
            <w:p w:rsidR="0011730E" w:rsidP="00886762" w:rsidRDefault="00251206"/>
            <w:p w:rsidR="00CD2251" w:rsidP="00886762" w:rsidRDefault="00F44BAE">
              <w:r w:rsidRPr="00CD2251">
                <w:t>De Afdeling adviseert om de toelichting op dit punt aan te vullen</w:t>
              </w:r>
              <w:r>
                <w:t>, hierop in het nader rapport ook in te gaan</w:t>
              </w:r>
              <w:r w:rsidRPr="00CD2251">
                <w:t xml:space="preserve"> en het voorstel zo nodig aan te passen.</w:t>
              </w:r>
            </w:p>
            <w:p w:rsidRPr="00886762" w:rsidR="008A1C8B" w:rsidP="00886762" w:rsidRDefault="00251206"/>
            <w:p w:rsidR="0011730E" w:rsidP="00886762" w:rsidRDefault="00F44BAE">
              <w:r>
                <w:t>Ten slotte</w:t>
              </w:r>
              <w:r w:rsidRPr="00886762">
                <w:t xml:space="preserve"> merkt de Afdeling op dat de uitzondering van artikel 258a, tweede lid, Sv in de voorgestelde regeling niet van toepassing wordt verklaard op de verplichte verschijning bij de uitspraakzitting.</w:t>
              </w:r>
              <w:r w:rsidRPr="00886762">
                <w:rPr>
                  <w:vertAlign w:val="superscript"/>
                </w:rPr>
                <w:footnoteReference w:id="21"/>
              </w:r>
              <w:r w:rsidRPr="00886762">
                <w:t xml:space="preserve"> </w:t>
              </w:r>
              <w:r>
                <w:t>Ook bij de uitspraakzitting kunnen zich echter bijzondere omstandigheden voordoen waardoor de verdachte niet aanwezig kan zijn. Dit klemt te meer nu de rechter uiterlijk veertien dagen na de sluiting van het onderzoek uitspraak moet doen en de uitspraak niet kan uitstellen totdat deze bijzondere omstandigheden zich niet meer voordoen.</w:t>
              </w:r>
              <w:r>
                <w:rPr>
                  <w:rStyle w:val="Voetnootmarkering"/>
                </w:rPr>
                <w:footnoteReference w:id="22"/>
              </w:r>
              <w:r>
                <w:t xml:space="preserve"> </w:t>
              </w:r>
            </w:p>
            <w:p w:rsidR="0011730E" w:rsidP="00886762" w:rsidRDefault="00251206"/>
            <w:p w:rsidRPr="00886762" w:rsidR="00886762" w:rsidP="00886762" w:rsidRDefault="00F44BAE">
              <w:r w:rsidRPr="00886762">
                <w:t>De Afdeling adviseert om alsnog te voorzien</w:t>
              </w:r>
              <w:r>
                <w:t xml:space="preserve"> in toepasselijkheid van de bedoelde uitzondering bij de uitspraak</w:t>
              </w:r>
              <w:r w:rsidRPr="00886762">
                <w:t>.</w:t>
              </w:r>
            </w:p>
            <w:p w:rsidR="00F7457C" w:rsidP="00FF035E" w:rsidRDefault="00251206"/>
            <w:p w:rsidR="00F7457C" w:rsidP="00FF035E" w:rsidRDefault="00F44BAE">
              <w:pPr>
                <w:rPr>
                  <w:u w:val="single"/>
                </w:rPr>
              </w:pPr>
              <w:r>
                <w:lastRenderedPageBreak/>
                <w:t>3.</w:t>
              </w:r>
              <w:r>
                <w:tab/>
              </w:r>
              <w:r>
                <w:rPr>
                  <w:u w:val="single"/>
                </w:rPr>
                <w:t xml:space="preserve">Spreekrecht bij de tbs-verlengingszitting en de voorwaardelijke beëindiging </w:t>
              </w:r>
              <w:r w:rsidRPr="00366912">
                <w:tab/>
              </w:r>
              <w:r>
                <w:rPr>
                  <w:u w:val="single"/>
                </w:rPr>
                <w:t>van de PIJ</w:t>
              </w:r>
            </w:p>
            <w:p w:rsidR="00CA48A5" w:rsidP="00FF035E" w:rsidRDefault="00251206"/>
            <w:p w:rsidRPr="00CA48A5" w:rsidR="00CA48A5" w:rsidP="00FF035E" w:rsidRDefault="00F44BAE">
              <w:r>
                <w:rPr>
                  <w:i/>
                </w:rPr>
                <w:t xml:space="preserve">a. </w:t>
              </w:r>
              <w:r>
                <w:rPr>
                  <w:i/>
                </w:rPr>
                <w:tab/>
                <w:t>Inhoud en achtergrond van het voorstel</w:t>
              </w:r>
            </w:p>
            <w:p w:rsidRPr="00C80C3D" w:rsidR="00C80C3D" w:rsidP="00C80C3D" w:rsidRDefault="00F44BAE">
              <w:r w:rsidRPr="00C80C3D">
                <w:t>Het voorstel introduceert een beperkt spreekrecht voor slachtoffers op de tbs-verlengingszitting. Anders dan voor</w:t>
              </w:r>
              <w:r>
                <w:t>heen</w:t>
              </w:r>
              <w:r w:rsidRPr="00C80C3D">
                <w:t xml:space="preserve">, is de </w:t>
              </w:r>
              <w:r>
                <w:t>regering</w:t>
              </w:r>
              <w:r w:rsidRPr="00C80C3D">
                <w:t xml:space="preserve"> </w:t>
              </w:r>
              <w:r>
                <w:t xml:space="preserve">nu </w:t>
              </w:r>
              <w:r w:rsidRPr="00C80C3D">
                <w:t>van oordeel dat een dergelijk spreekrecht voor slachtoffers wel passend is.</w:t>
              </w:r>
              <w:r w:rsidRPr="00C80C3D">
                <w:rPr>
                  <w:vertAlign w:val="superscript"/>
                </w:rPr>
                <w:footnoteReference w:id="23"/>
              </w:r>
              <w:r w:rsidRPr="00C80C3D">
                <w:t xml:space="preserve"> Slachtoffers en nabestaanden krijgen daarmee de kans zich uit te laten over de voorwaarden die bij een beëindiging van de tbs worden opgelegd aan de veroordeelde, voor zover die voorwaarden hen raken. Het gaat dan om een gebieds-, locatie- of contactverbod. Daarnaast wijst de toelichting erop dat invoering van het spreekrecht over de op te leggen voorwaarden in het belang is van de kwaliteit van de rechterlijke beslissing hier</w:t>
              </w:r>
              <w:r>
                <w:t>over</w:t>
              </w:r>
              <w:r w:rsidRPr="00C80C3D">
                <w:t xml:space="preserve">. Het is zaak dat de rechter zo compleet en onmiddellijk mogelijk wordt geïnformeerd over de verschillende belangen die een rol kunnen spelen, aldus de toelichting. </w:t>
              </w:r>
            </w:p>
            <w:p w:rsidR="00F7457C" w:rsidP="00FF035E" w:rsidRDefault="00251206"/>
            <w:p w:rsidR="00AE6A02" w:rsidP="00AE6A02" w:rsidRDefault="00F44BAE">
              <w:r>
                <w:t>Het voorstel introduceert eenzelfde soort</w:t>
              </w:r>
              <w:r w:rsidRPr="008E47E8">
                <w:t xml:space="preserve"> spreekrecht bij de voorwa</w:t>
              </w:r>
              <w:r>
                <w:t xml:space="preserve">ardelijke beëindiging van de maatregel tot plaatsing in een justitiële jeugdinrichting (PIJ-maatregel). </w:t>
              </w:r>
              <w:r w:rsidRPr="008E47E8">
                <w:t xml:space="preserve">Bij of voorafgaand aan de voorwaardelijke beëindiging van rechtswege </w:t>
              </w:r>
              <w:r w:rsidRPr="00EA5FB8">
                <w:t>of bij een verlenging van de PIJ</w:t>
              </w:r>
              <w:r>
                <w:t xml:space="preserve"> </w:t>
              </w:r>
              <w:r w:rsidRPr="008E47E8">
                <w:t xml:space="preserve">kan de rechter bijzondere voorwaarden opleggen. Voorgesteld wordt dat de rechter over de eventueel op te leggen bijzondere voorwaarden ook het slachtoffer hoort. Het spreekrecht </w:t>
              </w:r>
              <w:r>
                <w:t>is</w:t>
              </w:r>
              <w:r w:rsidRPr="008E47E8">
                <w:t xml:space="preserve">, net als bij het voorgestelde spreekrecht op de tbs-verlengingszitting, </w:t>
              </w:r>
              <w:r>
                <w:t xml:space="preserve">beperkt </w:t>
              </w:r>
              <w:r w:rsidRPr="008E47E8">
                <w:t>tot de bijzondere voorwaarden die direct de belangen van het slachtoffer</w:t>
              </w:r>
              <w:r>
                <w:t xml:space="preserve"> kunnen</w:t>
              </w:r>
              <w:r w:rsidRPr="008E47E8">
                <w:t xml:space="preserve"> raken, zoals het gebieds-, locatie- of contactverbod. </w:t>
              </w:r>
            </w:p>
            <w:p w:rsidR="00AE6A02" w:rsidP="00FF035E" w:rsidRDefault="00251206"/>
            <w:p w:rsidRPr="00F7457C" w:rsidR="00F7457C" w:rsidP="00F7457C" w:rsidRDefault="00F44BAE">
              <w:r w:rsidRPr="004D5924">
                <w:t xml:space="preserve">Tijdens de behandeling van het wetsvoorstel Uitbreiding spreekrecht in 2014 heeft de Kamer </w:t>
              </w:r>
              <w:r>
                <w:t>een</w:t>
              </w:r>
              <w:r w:rsidRPr="004D5924">
                <w:t xml:space="preserve"> motie aangenomen die de regering verzoekt onderzoek te doen naar de mogelijkheden om het spreekrecht uit te breiden </w:t>
              </w:r>
              <w:r>
                <w:t xml:space="preserve">tot </w:t>
              </w:r>
              <w:r w:rsidRPr="004D5924">
                <w:t>tbs-verlengingszittingen en naar de mogelijkheden om slachtoffers en nabestaanden beter te betrekken bij en te informeren over deze zittingen.</w:t>
              </w:r>
              <w:r w:rsidRPr="004D5924">
                <w:rPr>
                  <w:vertAlign w:val="superscript"/>
                </w:rPr>
                <w:footnoteReference w:id="24"/>
              </w:r>
              <w:r w:rsidRPr="004D5924">
                <w:t xml:space="preserve"> </w:t>
              </w:r>
              <w:r>
                <w:t xml:space="preserve">Hiertoe heeft de regering </w:t>
              </w:r>
              <w:r w:rsidRPr="00F7457C">
                <w:t xml:space="preserve">in 2017 focusgroepen en expertmeetings </w:t>
              </w:r>
              <w:r>
                <w:t xml:space="preserve">gehouden </w:t>
              </w:r>
              <w:r w:rsidRPr="00F7457C">
                <w:t>met slachtoffers, nabestaanden en professionals uit de strafrechtsketen</w:t>
              </w:r>
              <w:r>
                <w:t>. Daarbij</w:t>
              </w:r>
              <w:r w:rsidRPr="00F7457C">
                <w:t xml:space="preserve"> bleek dat slachtoffers en nabestaanden vooral beter geïnformeerd wilden worden over het verloop van de tbs en de behandeling van de veroordeelde. Op basis van die focusgroepen en expertmeeting</w:t>
              </w:r>
              <w:r>
                <w:t>s</w:t>
              </w:r>
              <w:r w:rsidRPr="00F7457C">
                <w:t xml:space="preserve"> zijn in 2017 maatregelen aangekondigd die hierin voorzien.</w:t>
              </w:r>
              <w:r w:rsidRPr="00F7457C">
                <w:rPr>
                  <w:vertAlign w:val="superscript"/>
                </w:rPr>
                <w:footnoteReference w:id="25"/>
              </w:r>
              <w:r w:rsidRPr="00F7457C">
                <w:t xml:space="preserve"> Onder meer wordt slachtoffers en nabestaanden de mogelijkheid geboden hun behoeften en wensen voor bijzondere voorwaarden</w:t>
              </w:r>
              <w:r>
                <w:t xml:space="preserve"> (bijtijds)</w:t>
              </w:r>
              <w:r w:rsidRPr="00F7457C">
                <w:t xml:space="preserve"> kenbaar te maken aan het OM, zodat de officier van justitie daarmee rekening kan houden in zijn vordering. Daarnaast bleek dat de behoefte van slachtoffers en nabestaanden om tijdens de tbs-verlengingszitting te spreken verschilde; deze was vooral aanwezig</w:t>
              </w:r>
              <w:r>
                <w:t xml:space="preserve"> </w:t>
              </w:r>
              <w:r w:rsidRPr="00F7457C">
                <w:t xml:space="preserve">bij de slachtoffers en nabestaanden die geen </w:t>
              </w:r>
              <w:r w:rsidRPr="00F7457C">
                <w:lastRenderedPageBreak/>
                <w:t>gebruik hebben kunnen make</w:t>
              </w:r>
              <w:r>
                <w:t xml:space="preserve">n van het spreekrecht tijdens het onderzoek ter terechtzitting </w:t>
              </w:r>
              <w:r w:rsidRPr="00F7457C">
                <w:t xml:space="preserve">omdat die mogelijkheid toen nog beperkt was of ontbrak. </w:t>
              </w:r>
            </w:p>
            <w:p w:rsidR="00F7457C" w:rsidP="00F7457C" w:rsidRDefault="00251206"/>
            <w:p w:rsidR="00B71E6E" w:rsidRDefault="00F44BAE">
              <w:r>
                <w:rPr>
                  <w:i/>
                </w:rPr>
                <w:t xml:space="preserve">b. </w:t>
              </w:r>
              <w:r>
                <w:rPr>
                  <w:i/>
                </w:rPr>
                <w:tab/>
                <w:t>Beoordeling van het voorstel</w:t>
              </w:r>
            </w:p>
            <w:p w:rsidRPr="00366912" w:rsidR="00366912" w:rsidP="00366912" w:rsidRDefault="00F44BAE">
              <w:r>
                <w:t xml:space="preserve">i. </w:t>
              </w:r>
              <w:r w:rsidRPr="00366912">
                <w:t>Karakter van de verlengingszitting</w:t>
              </w:r>
              <w:r w:rsidRPr="00366912">
                <w:tab/>
              </w:r>
            </w:p>
            <w:p w:rsidR="00366912" w:rsidP="00366912" w:rsidRDefault="00F44BAE">
              <w:r w:rsidRPr="00366912">
                <w:t>De Afdeling wijst erop dat het spreekrecht tijdens de inhoudelijke behandeling van de strafzaak een principieel ander karakter heeft dan het voorgestelde spreekrecht bij de tbs- en PIJ-verlengingszitting. Slachtoffers en nabestaanden kunnen zich tijdens de strafzitting uiten over de impact die het delict op hen heeft gehad en over de bewijsbaarheid van het feit en de gewenste strafmaat.</w:t>
              </w:r>
              <w:r>
                <w:t xml:space="preserve"> </w:t>
              </w:r>
              <w:r w:rsidRPr="00366912">
                <w:t xml:space="preserve">De rechter kan dit meenemen in zijn beslissing. Daarvoor is bij de tbs- of PIJ-verlengingszitting geen plaats. De rechter oordeelt bij de tbs- en PIJ-verlengingszitting immers </w:t>
              </w:r>
              <w:r>
                <w:t xml:space="preserve">slechts </w:t>
              </w:r>
              <w:r w:rsidRPr="00366912">
                <w:t xml:space="preserve">over de noodzaak tot voortzetting van de tbs- of PIJ-behandeling op basis van de aanwezige stoornis, het daaruit voortvloeiende recidiverisico en het verloop van de behandeling. Daarbij baseert hij zich op het oordeel van de instelling waar de veroordeelde verblijft alsmede op rapporten van andere deskundigen. Bij die beoordeling kan de rechter de impact van het strafbare feit op het slachtoffer of zijn eventuele wens tot het voortduren van de maatregel niet meenemen. Het spreekrecht ziet daar </w:t>
              </w:r>
              <w:r>
                <w:t xml:space="preserve">blijkens het wetsvoorstel </w:t>
              </w:r>
              <w:r w:rsidRPr="00366912">
                <w:t xml:space="preserve">ook niet op; het ziet </w:t>
              </w:r>
              <w:r>
                <w:t xml:space="preserve">alleen </w:t>
              </w:r>
              <w:r w:rsidRPr="00366912">
                <w:t>op de bijzondere voorwaarden die het slachtoffer of de nabestaande</w:t>
              </w:r>
              <w:r>
                <w:t xml:space="preserve"> kunnen</w:t>
              </w:r>
              <w:r w:rsidRPr="00366912">
                <w:t xml:space="preserve"> raken. Hun verlangens daaromtrent kunnen slachtoffers en nabestaanden echter ook al kenbaar maken aan het OM. De Afdeling merkt daarbij op dat het wel van belang is dat de officier van justitie ter zitting duidelijk maakt wat de wensen van het slachtoffer of de nabestaanden zijn omtrent de op te leggen voorwaarden en motiveert waarom hij daarvan eventueel afwijkt.</w:t>
              </w:r>
            </w:p>
            <w:p w:rsidR="00366912" w:rsidP="00366912" w:rsidRDefault="00251206"/>
            <w:p w:rsidR="003835E5" w:rsidP="00366912" w:rsidRDefault="00F44BAE">
              <w:r>
                <w:t>ii. Motivering</w:t>
              </w:r>
            </w:p>
            <w:p w:rsidR="00AE6A02" w:rsidP="00F7457C" w:rsidRDefault="00F44BAE">
              <w:r>
                <w:t>Voorts wijst d</w:t>
              </w:r>
              <w:r w:rsidRPr="00FB6590">
                <w:t xml:space="preserve">e Afdeling </w:t>
              </w:r>
              <w:r>
                <w:t>er</w:t>
              </w:r>
              <w:r w:rsidRPr="00FB6590">
                <w:t>op</w:t>
              </w:r>
              <w:r>
                <w:t xml:space="preserve"> dat n</w:t>
              </w:r>
              <w:r w:rsidRPr="00FB6590">
                <w:t xml:space="preserve">iet wordt </w:t>
              </w:r>
              <w:r>
                <w:t xml:space="preserve">gemotiveerd </w:t>
              </w:r>
              <w:r w:rsidRPr="00FB6590">
                <w:t>waarom het in</w:t>
              </w:r>
              <w:r w:rsidRPr="00F7457C">
                <w:t xml:space="preserve"> 2017 nieuw ingezette beleid door het O</w:t>
              </w:r>
              <w:r>
                <w:t xml:space="preserve">penbaar </w:t>
              </w:r>
              <w:r w:rsidRPr="00F7457C">
                <w:t>M</w:t>
              </w:r>
              <w:r>
                <w:t>inisterie (OM)</w:t>
              </w:r>
              <w:r w:rsidRPr="00F7457C">
                <w:t xml:space="preserve"> rond de tbs-verlengingszitting onvoldoende is om aan de belangen van slachtoffers en nabestaanden tegemoet te komen. </w:t>
              </w:r>
              <w:r>
                <w:t>Zoals hiervoor reeds vermeld voorziet d</w:t>
              </w:r>
              <w:r w:rsidRPr="00F7457C">
                <w:t xml:space="preserve">it beleid er </w:t>
              </w:r>
              <w:r>
                <w:t xml:space="preserve">al </w:t>
              </w:r>
              <w:r w:rsidRPr="00F7457C">
                <w:t xml:space="preserve">in dat het OM slachtoffers en nabestaanden de mogelijkheid geeft hun wensen rond de op te leggen bijzondere voorwaarden bij de tbs-verlenging kenbaar te maken, zodat daar in de vordering rekening mee kan worden gehouden. Onduidelijk is wat het spreekrecht op de tbs- </w:t>
              </w:r>
              <w:r>
                <w:t>en PIJ-</w:t>
              </w:r>
              <w:r w:rsidRPr="00F7457C">
                <w:t>verlengingszitting</w:t>
              </w:r>
              <w:r>
                <w:t xml:space="preserve"> voor slachtoffers en nabestaanden </w:t>
              </w:r>
              <w:r w:rsidRPr="00F7457C">
                <w:t xml:space="preserve">daar nog aan toevoegt. </w:t>
              </w:r>
            </w:p>
            <w:p w:rsidR="00AE6A02" w:rsidP="00F7457C" w:rsidRDefault="00251206"/>
            <w:p w:rsidR="00C62E76" w:rsidP="00F7457C" w:rsidRDefault="00F44BAE">
              <w:r w:rsidRPr="00F7457C">
                <w:t xml:space="preserve">Ook is niet </w:t>
              </w:r>
              <w:r>
                <w:t xml:space="preserve">aan de hand van onderzoek of feiten gemotiveerd </w:t>
              </w:r>
              <w:r w:rsidRPr="00F7457C">
                <w:t>dat het voor de kwaliteit van de rechterlijke uitspraak on</w:t>
              </w:r>
              <w:r>
                <w:t>toereikend</w:t>
              </w:r>
              <w:r w:rsidRPr="00F7457C">
                <w:t xml:space="preserve"> is </w:t>
              </w:r>
              <w:r>
                <w:t xml:space="preserve">als </w:t>
              </w:r>
              <w:r w:rsidRPr="00F7457C">
                <w:t>het OM de rechter informeert over de wensen van slachtoffers of nabestaande</w:t>
              </w:r>
              <w:r>
                <w:t>n</w:t>
              </w:r>
              <w:r w:rsidRPr="00F7457C">
                <w:t xml:space="preserve"> over de op te leggen bijzondere voorwaarden bij de beëindiging van de tbs</w:t>
              </w:r>
              <w:r>
                <w:t xml:space="preserve"> of de PIJ</w:t>
              </w:r>
              <w:r w:rsidRPr="00F7457C">
                <w:t xml:space="preserve">. De behoefte </w:t>
              </w:r>
              <w:r>
                <w:t xml:space="preserve">om </w:t>
              </w:r>
              <w:r w:rsidRPr="00F7457C">
                <w:t xml:space="preserve">direct zelf </w:t>
              </w:r>
              <w:r>
                <w:t>door</w:t>
              </w:r>
              <w:r w:rsidRPr="00F7457C">
                <w:t xml:space="preserve"> het slachtoffer of nabestaande te worden geïnformeerd, wordt door de rechtspraak zelf niet gevoeld.</w:t>
              </w:r>
              <w:r w:rsidRPr="00F7457C">
                <w:rPr>
                  <w:vertAlign w:val="superscript"/>
                </w:rPr>
                <w:footnoteReference w:id="26"/>
              </w:r>
              <w:r w:rsidRPr="00F7457C">
                <w:t xml:space="preserve"> Evenmin wordt ingegaan op het effect van het per 1 juli 2016 </w:t>
              </w:r>
              <w:r>
                <w:t xml:space="preserve">uitgebreide spreekrecht in de strafzaak op de behoefte te spreken bij de beëindiging van de tbs en de PIJ. In 2017 was nog de verwachting dat de bedoelde uitbreiding van </w:t>
              </w:r>
              <w:r>
                <w:lastRenderedPageBreak/>
                <w:t xml:space="preserve">het spreekrecht voor nabestaanden en slachtoffers ter zitting zou leiden tot een verdere afname van de behoefte ook bij de tbs-verlengingszitting te spreken. </w:t>
              </w:r>
              <w:r w:rsidRPr="00F7457C">
                <w:t>Gelet hierop acht de Afdeling de noodzaak van het voorgestelde spreekrecht op de tbs-</w:t>
              </w:r>
              <w:r>
                <w:t xml:space="preserve"> en PIJ-</w:t>
              </w:r>
              <w:r w:rsidRPr="00F7457C">
                <w:t>verlengingszitting onvoldoende aangetoond</w:t>
              </w:r>
              <w:r>
                <w:t xml:space="preserve">. </w:t>
              </w:r>
            </w:p>
            <w:p w:rsidR="00C62E76" w:rsidP="00F7457C" w:rsidRDefault="00251206"/>
            <w:p w:rsidR="00B71E6E" w:rsidRDefault="00F44BAE">
              <w:r w:rsidRPr="002A367F">
                <w:t>Gelet op het</w:t>
              </w:r>
              <w:r>
                <w:t>geen is opgemerkt onder i en ii,</w:t>
              </w:r>
              <w:r w:rsidRPr="002A367F">
                <w:t xml:space="preserve"> is de Afdeling van oordeel dat </w:t>
              </w:r>
              <w:r>
                <w:t xml:space="preserve">de noodzaak van </w:t>
              </w:r>
              <w:r w:rsidRPr="002A367F">
                <w:t xml:space="preserve">het voorstel </w:t>
              </w:r>
              <w:r>
                <w:t xml:space="preserve">niet is aangetoond. Het voorstel is ook niet dragend gemotiveerd. Een dergelijk dragende motivering is te meer vereist aangezien het gaat om een uitbreiding van het spreekrecht buiten de sfeer van het onderzoek ter terechtzitting. Het voorstel levert bovendien </w:t>
              </w:r>
              <w:r w:rsidRPr="002A367F">
                <w:t xml:space="preserve">geen betekenisvolle bijdrage aan de positie van het slachtoffer en </w:t>
              </w:r>
              <w:r>
                <w:t xml:space="preserve">wekt </w:t>
              </w:r>
              <w:r w:rsidRPr="002A367F">
                <w:t xml:space="preserve">mogelijk verwachtingen die het niet kan waarmaken. </w:t>
              </w:r>
              <w:r>
                <w:t>De Afdeling</w:t>
              </w:r>
              <w:r w:rsidRPr="00F7457C">
                <w:t xml:space="preserve"> adviseert </w:t>
              </w:r>
              <w:r>
                <w:t xml:space="preserve">daarom </w:t>
              </w:r>
              <w:r w:rsidRPr="00F7457C">
                <w:t xml:space="preserve">dit onderdeel te schrappen.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F44BAE">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B71E6E" w:rsidRDefault="00F44BAE">
              <w:r>
                <w:t>De Afdeling advisering van de Raad van State heeft een aantal bezwaren bij het voorstel en adviseert het voorstel niet bij de Tweede Kamer der Staten-Generaal in te dienen, tenzij het is aangepast.</w:t>
              </w:r>
              <w:r>
                <w:br/>
              </w:r>
              <w:r>
                <w:br/>
              </w:r>
              <w:r>
                <w:br/>
                <w:t>De waarnemend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W16.19.0149</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FB6590" w:rsidP="00F020E4" w:rsidRDefault="00F44BAE">
              <w:pPr>
                <w:numPr>
                  <w:ilvl w:val="0"/>
                  <w:numId w:val="1"/>
                </w:numPr>
              </w:pPr>
              <w:r>
                <w:t xml:space="preserve">Artikel I, onderdeel D, vierde lid, onder b wijzigen in: </w:t>
              </w:r>
            </w:p>
            <w:p w:rsidR="00E60C3D" w:rsidP="008E62A8" w:rsidRDefault="00F44BAE">
              <w:pPr>
                <w:ind w:left="737"/>
              </w:pPr>
              <w:r>
                <w:t>b. personen anders dan onder genoemd onder a, die deel hebben uitgemaakt van het gezin waartoe het overleden slachtoffer behoorde en in een nauwe persoonlijke betrekking tot het slachtoffer hebben gestaan.</w:t>
              </w:r>
            </w:p>
            <w:p w:rsidR="008E62A8" w:rsidP="008E62A8" w:rsidRDefault="00F44BAE">
              <w:pPr>
                <w:numPr>
                  <w:ilvl w:val="0"/>
                  <w:numId w:val="1"/>
                </w:numPr>
              </w:pPr>
              <w:r>
                <w:t>Artikel I, o</w:t>
              </w:r>
              <w:r w:rsidRPr="008E62A8">
                <w:t xml:space="preserve">nderdeel D, vierde lid: voorzie in de mogelijkheid </w:t>
              </w:r>
              <w:r>
                <w:t xml:space="preserve">voor de voorzitter het </w:t>
              </w:r>
              <w:r w:rsidRPr="008E62A8">
                <w:t>spreekrecht ambtshalve of op vordering van het OM te beper</w:t>
              </w:r>
              <w:r>
                <w:t xml:space="preserve">ken of </w:t>
              </w:r>
              <w:r w:rsidRPr="008E62A8">
                <w:t>ontzeggen wegens strijd met het belang van het slachtoffer.</w:t>
              </w:r>
            </w:p>
            <w:p w:rsidRPr="00F020E4" w:rsidR="00F020E4" w:rsidP="00F020E4" w:rsidRDefault="00F44BAE">
              <w:pPr>
                <w:numPr>
                  <w:ilvl w:val="0"/>
                  <w:numId w:val="1"/>
                </w:numPr>
              </w:pPr>
              <w:r>
                <w:t>Artikel I, o</w:t>
              </w:r>
              <w:r w:rsidRPr="00F020E4">
                <w:t xml:space="preserve">nderdeel H wijzigen in: </w:t>
              </w:r>
            </w:p>
            <w:p w:rsidRPr="00F020E4" w:rsidR="00F020E4" w:rsidP="00F020E4" w:rsidRDefault="00F44BAE">
              <w:pPr>
                <w:ind w:left="737"/>
              </w:pPr>
              <w:r w:rsidRPr="00F020E4">
                <w:t xml:space="preserve">In artikel 260, vierde lid, wordt na “van de artikelen” ingevoegd: </w:t>
              </w:r>
              <w:r>
                <w:t>“</w:t>
              </w:r>
              <w:r w:rsidRPr="00F020E4">
                <w:t>258a,</w:t>
              </w:r>
              <w:r>
                <w:t>”</w:t>
              </w:r>
              <w:r w:rsidRPr="00F020E4">
                <w:t xml:space="preserve"> en wordt “278, tweede lid” vervangen door: </w:t>
              </w:r>
              <w:r>
                <w:t>“</w:t>
              </w:r>
              <w:r w:rsidRPr="00F020E4">
                <w:t>278, tweede en derde lid.</w:t>
              </w:r>
              <w:r>
                <w:t>”</w:t>
              </w:r>
              <w:r w:rsidRPr="00F020E4">
                <w:t xml:space="preserve"> </w:t>
              </w:r>
            </w:p>
            <w:p w:rsidR="00C25ABA" w:rsidP="00F020E4" w:rsidRDefault="00F44BAE">
              <w:pPr>
                <w:numPr>
                  <w:ilvl w:val="0"/>
                  <w:numId w:val="1"/>
                </w:numPr>
              </w:pPr>
              <w:r>
                <w:t>In artikel I een n</w:t>
              </w:r>
              <w:r w:rsidRPr="00F020E4">
                <w:t xml:space="preserve">ieuw onderdeel toevoegen: </w:t>
              </w:r>
            </w:p>
            <w:p w:rsidRPr="00F020E4" w:rsidR="00F020E4" w:rsidP="00CC28F5" w:rsidRDefault="00F44BAE">
              <w:pPr>
                <w:ind w:left="737"/>
              </w:pPr>
              <w:r w:rsidRPr="00F020E4">
                <w:t xml:space="preserve">In artikel 278, eerste lid, en 280, eerste lid, onder b, wordt “278, tweede lid” vervangen door: 278, tweede en derde lid.  </w:t>
              </w:r>
            </w:p>
            <w:p w:rsidR="00C25ABA" w:rsidP="00F020E4" w:rsidRDefault="00F44BAE">
              <w:pPr>
                <w:numPr>
                  <w:ilvl w:val="0"/>
                  <w:numId w:val="1"/>
                </w:numPr>
              </w:pPr>
              <w:r>
                <w:t>Artikel I, o</w:t>
              </w:r>
              <w:r w:rsidRPr="00F020E4">
                <w:t>nderdeel K</w:t>
              </w:r>
              <w:r>
                <w:t>,</w:t>
              </w:r>
              <w:r w:rsidRPr="00F020E4">
                <w:t xml:space="preserve"> schrappen</w:t>
              </w:r>
              <w:r>
                <w:t>.</w:t>
              </w:r>
            </w:p>
            <w:p w:rsidR="00E23A3E" w:rsidP="00F020E4" w:rsidRDefault="00F44BAE">
              <w:pPr>
                <w:numPr>
                  <w:ilvl w:val="0"/>
                  <w:numId w:val="1"/>
                </w:numPr>
              </w:pPr>
              <w:r>
                <w:t>Artikel I, onderdeel M, onder 6 als volgt wijzigen:</w:t>
              </w:r>
            </w:p>
            <w:p w:rsidR="002F23B1" w:rsidP="00CC28F5" w:rsidRDefault="00F44BAE">
              <w:pPr>
                <w:ind w:left="737"/>
              </w:pPr>
              <w:r>
                <w:t xml:space="preserve">6. De verdachte, bedoeld in artikel 258a, eerste lid, die zich op het moment van de uitspraak in voorlopige hechtenis bevindt, is verplicht bij de uitspraak in persoon te verschijnen. </w:t>
              </w:r>
            </w:p>
            <w:p w:rsidR="002F23B1" w:rsidP="00F020E4" w:rsidRDefault="00F44BAE">
              <w:pPr>
                <w:numPr>
                  <w:ilvl w:val="0"/>
                  <w:numId w:val="1"/>
                </w:numPr>
              </w:pPr>
              <w:r>
                <w:t>Artikel I, onderdeel N, wijzigen in:</w:t>
              </w:r>
            </w:p>
            <w:p w:rsidR="002F23B1" w:rsidP="00CC28F5" w:rsidRDefault="00F44BAE">
              <w:pPr>
                <w:ind w:left="737"/>
              </w:pPr>
              <w:r>
                <w:t xml:space="preserve">Aan artikel 363, eerste lid, wordt een zin toegevoegd, luidende: “De verdachte, bedoeld in artikel 258a, eerste lid, die zich op het moment van de uitspraak in voorlopige hechtenis bevindt, is verplicht bij de uitspraak in persoon te verschijnen.”. </w:t>
              </w:r>
            </w:p>
            <w:p w:rsidR="00E70C71" w:rsidP="00F020E4" w:rsidRDefault="00F44BAE">
              <w:pPr>
                <w:numPr>
                  <w:ilvl w:val="0"/>
                  <w:numId w:val="1"/>
                </w:numPr>
              </w:pPr>
              <w:r>
                <w:t xml:space="preserve">Artikel III: voorzie in een samenloopbepaling voor </w:t>
              </w:r>
              <w:r w:rsidRPr="00C25ABA">
                <w:t xml:space="preserve">het spreekrecht bij de voorwaardelijke </w:t>
              </w:r>
              <w:r>
                <w:t xml:space="preserve">beëindiging van de PIJ in de </w:t>
              </w:r>
              <w:r w:rsidRPr="00C25ABA">
                <w:t>art</w:t>
              </w:r>
              <w:r>
                <w:t>ikelen</w:t>
              </w:r>
              <w:r w:rsidRPr="00C25ABA">
                <w:t xml:space="preserve"> 77u </w:t>
              </w:r>
              <w:r>
                <w:t>en</w:t>
              </w:r>
              <w:r w:rsidRPr="00C25ABA">
                <w:t xml:space="preserve"> 77tb</w:t>
              </w:r>
              <w:r>
                <w:t xml:space="preserve"> Sr met </w:t>
              </w:r>
              <w:r w:rsidRPr="00C25ABA">
                <w:t xml:space="preserve">de </w:t>
              </w:r>
              <w:r>
                <w:t xml:space="preserve">Wet herziening tenuitvoerlegging strafrechtelijke beslissingen (USB) en de Invoeringswet USB. </w:t>
              </w:r>
              <w:r w:rsidRPr="00C25ABA">
                <w:t xml:space="preserve"> </w:t>
              </w:r>
              <w:r>
                <w:t xml:space="preserve"> </w:t>
              </w:r>
              <w:r w:rsidRPr="00F020E4">
                <w:t xml:space="preserve"> </w:t>
              </w:r>
            </w:p>
          </w:sdtContent>
        </w:sdt>
        <w:p w:rsidR="00C50D4F" w:rsidP="005841EA" w:rsidRDefault="00251206">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F44BAE" w:rsidP="005B3E03">
      <w:r>
        <w:separator/>
      </w:r>
    </w:p>
    <w:p w:rsidR="002D0ACF" w:rsidRDefault="00251206"/>
  </w:endnote>
  <w:endnote w:type="continuationSeparator" w:id="0">
    <w:p w:rsidR="00847094" w:rsidRDefault="00F44BAE" w:rsidP="005B3E03">
      <w:r>
        <w:continuationSeparator/>
      </w:r>
    </w:p>
    <w:p w:rsidR="002D0ACF" w:rsidRDefault="00251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F44BAE" w:rsidP="005B3E03">
      <w:r>
        <w:separator/>
      </w:r>
    </w:p>
    <w:p w:rsidR="002D0ACF" w:rsidRDefault="00251206"/>
  </w:footnote>
  <w:footnote w:type="continuationSeparator" w:id="0">
    <w:p w:rsidR="00847094" w:rsidRDefault="00F44BAE" w:rsidP="005B3E03">
      <w:r>
        <w:continuationSeparator/>
      </w:r>
    </w:p>
    <w:p w:rsidR="002D0ACF" w:rsidRDefault="00251206"/>
  </w:footnote>
  <w:footnote w:id="1">
    <w:p w:rsidR="00E7611E" w:rsidRDefault="00F44BAE">
      <w:pPr>
        <w:pStyle w:val="Voetnoottekst"/>
      </w:pPr>
      <w:r>
        <w:rPr>
          <w:rStyle w:val="Voetnootmarkering"/>
        </w:rPr>
        <w:footnoteRef/>
      </w:r>
      <w:r>
        <w:t xml:space="preserve"> </w:t>
      </w:r>
      <w:r>
        <w:tab/>
      </w:r>
      <w:r w:rsidRPr="00E7611E">
        <w:t>Memorie van toelichting, paragraaf 3.1.</w:t>
      </w:r>
    </w:p>
  </w:footnote>
  <w:footnote w:id="2">
    <w:p w:rsidR="00C47497" w:rsidRDefault="00F44BAE">
      <w:pPr>
        <w:pStyle w:val="Voetnoottekst"/>
      </w:pPr>
      <w:r>
        <w:rPr>
          <w:rStyle w:val="Voetnootmarkering"/>
        </w:rPr>
        <w:footnoteRef/>
      </w:r>
      <w:r>
        <w:t xml:space="preserve"> </w:t>
      </w:r>
      <w:r>
        <w:tab/>
        <w:t xml:space="preserve">Zie M.S. Groenhuijsen, ‘Van de regen in de drup’, </w:t>
      </w:r>
      <w:r w:rsidRPr="00C47497">
        <w:rPr>
          <w:i/>
        </w:rPr>
        <w:t>DD</w:t>
      </w:r>
      <w:r>
        <w:t xml:space="preserve"> 2018/14; R. Kool, ‘Les jeux sont faits (De teerling is geworpen)’, </w:t>
      </w:r>
      <w:r w:rsidRPr="007F7E8D">
        <w:rPr>
          <w:i/>
        </w:rPr>
        <w:t>Tijdschrift voor Herstelrecht</w:t>
      </w:r>
      <w:r>
        <w:t xml:space="preserve"> 2019, blz. 52 e.v.; Advies College van procureurs-generaal, 29 augustus 2018.</w:t>
      </w:r>
    </w:p>
  </w:footnote>
  <w:footnote w:id="3">
    <w:p w:rsidR="00886762" w:rsidRDefault="00F44BAE" w:rsidP="00886762">
      <w:pPr>
        <w:pStyle w:val="Voetnoottekst"/>
      </w:pPr>
      <w:r>
        <w:rPr>
          <w:rStyle w:val="Voetnootmarkering"/>
        </w:rPr>
        <w:footnoteRef/>
      </w:r>
      <w:r>
        <w:t xml:space="preserve"> </w:t>
      </w:r>
      <w:r>
        <w:tab/>
        <w:t>Memorie van toelichting, paragraaf 3.1.</w:t>
      </w:r>
    </w:p>
  </w:footnote>
  <w:footnote w:id="4">
    <w:p w:rsidR="002308AA" w:rsidRDefault="00F44BAE" w:rsidP="002308AA">
      <w:pPr>
        <w:pStyle w:val="Voetnoottekst"/>
      </w:pPr>
      <w:r>
        <w:rPr>
          <w:rStyle w:val="Voetnootmarkering"/>
        </w:rPr>
        <w:footnoteRef/>
      </w:r>
      <w:r>
        <w:t xml:space="preserve"> </w:t>
      </w:r>
      <w:r>
        <w:tab/>
        <w:t xml:space="preserve">M.S. Groenhuijsen &amp; G. Knigge, </w:t>
      </w:r>
      <w:r>
        <w:rPr>
          <w:i/>
        </w:rPr>
        <w:t xml:space="preserve">Het onderzoek ter terechtzitting </w:t>
      </w:r>
      <w:r>
        <w:t>(eerste interimrapport Strafvordering 2001), blz. 42 en blz. 91-127.</w:t>
      </w:r>
    </w:p>
  </w:footnote>
  <w:footnote w:id="5">
    <w:p w:rsidR="00CA2219" w:rsidRDefault="00F44BAE" w:rsidP="00CA2219">
      <w:pPr>
        <w:pStyle w:val="Voetnoottekst"/>
      </w:pPr>
      <w:r>
        <w:rPr>
          <w:rStyle w:val="Voetnootmarkering"/>
        </w:rPr>
        <w:footnoteRef/>
      </w:r>
      <w:r>
        <w:t xml:space="preserve"> </w:t>
      </w:r>
      <w:r>
        <w:tab/>
        <w:t>Memorie van toelichting, paragraaf 3.1.2. Aldaar wordt ook gesproken over een “gewichtige verandering in het Nederlandse strafprocesrecht”.</w:t>
      </w:r>
    </w:p>
  </w:footnote>
  <w:footnote w:id="6">
    <w:p w:rsidR="00CA2219" w:rsidRDefault="00F44BAE" w:rsidP="00CA2219">
      <w:pPr>
        <w:pStyle w:val="Voetnoottekst"/>
      </w:pPr>
      <w:r>
        <w:rPr>
          <w:rStyle w:val="Voetnootmarkering"/>
        </w:rPr>
        <w:footnoteRef/>
      </w:r>
      <w:r>
        <w:t xml:space="preserve"> </w:t>
      </w:r>
      <w:r>
        <w:tab/>
        <w:t xml:space="preserve">Memorie van toelichting, paragraaf 3.1.2; J. Bemelmans, ´Een aanwezigheidsplicht voor de voorlopig gehechte verdachte´, </w:t>
      </w:r>
      <w:r>
        <w:rPr>
          <w:i/>
        </w:rPr>
        <w:t xml:space="preserve">AA </w:t>
      </w:r>
      <w:r>
        <w:t xml:space="preserve">2018, blz. 907-909. </w:t>
      </w:r>
    </w:p>
  </w:footnote>
  <w:footnote w:id="7">
    <w:p w:rsidR="00727C57" w:rsidRDefault="00F44BAE" w:rsidP="00727C57">
      <w:pPr>
        <w:pStyle w:val="Voetnoottekst"/>
      </w:pPr>
      <w:r>
        <w:rPr>
          <w:rStyle w:val="Voetnootmarkering"/>
        </w:rPr>
        <w:footnoteRef/>
      </w:r>
      <w:r>
        <w:t xml:space="preserve"> </w:t>
      </w:r>
      <w:r>
        <w:tab/>
        <w:t xml:space="preserve">Advies College van procureurs-generaal, 29 augustus 2018. </w:t>
      </w:r>
      <w:r w:rsidRPr="00727C57">
        <w:t>Dat is overigens anders als het gaat om de uitspraakzitting.</w:t>
      </w:r>
    </w:p>
  </w:footnote>
  <w:footnote w:id="8">
    <w:p w:rsidR="006423DA" w:rsidRDefault="00F44BAE" w:rsidP="006423DA">
      <w:pPr>
        <w:pStyle w:val="Voetnoottekst"/>
      </w:pPr>
      <w:r>
        <w:rPr>
          <w:rStyle w:val="Voetnootmarkering"/>
        </w:rPr>
        <w:footnoteRef/>
      </w:r>
      <w:r>
        <w:t xml:space="preserve"> </w:t>
      </w:r>
      <w:r>
        <w:tab/>
        <w:t>HR 20 februari 2018, ECLI:NL:HR:2018:237.</w:t>
      </w:r>
    </w:p>
  </w:footnote>
  <w:footnote w:id="9">
    <w:p w:rsidR="006423DA" w:rsidRDefault="00F44BAE" w:rsidP="006423DA">
      <w:pPr>
        <w:pStyle w:val="Voetnoottekst"/>
      </w:pPr>
      <w:r>
        <w:rPr>
          <w:rStyle w:val="Voetnootmarkering"/>
        </w:rPr>
        <w:footnoteRef/>
      </w:r>
      <w:r>
        <w:t xml:space="preserve"> </w:t>
      </w:r>
      <w:r>
        <w:tab/>
        <w:t xml:space="preserve">J. Bemelmans, ´Een aanwezigheidsplicht voor de voorlopig gehechte verdachte´,  </w:t>
      </w:r>
      <w:r>
        <w:rPr>
          <w:i/>
        </w:rPr>
        <w:t xml:space="preserve">AA </w:t>
      </w:r>
      <w:r>
        <w:t>2018, blz. 910.</w:t>
      </w:r>
    </w:p>
  </w:footnote>
  <w:footnote w:id="10">
    <w:p w:rsidR="00886762" w:rsidRDefault="00F44BAE" w:rsidP="00886762">
      <w:pPr>
        <w:pStyle w:val="Voetnoottekst"/>
      </w:pPr>
      <w:r>
        <w:rPr>
          <w:rStyle w:val="Voetnootmarkering"/>
        </w:rPr>
        <w:footnoteRef/>
      </w:r>
      <w:r>
        <w:t xml:space="preserve"> </w:t>
      </w:r>
      <w:r>
        <w:tab/>
        <w:t>Zie ook de brief van de toenmalige staatssecretaris van Veiligheid en Justitie van 4 oktober 2013, Kamerstukken II 2013/14, 33552, 8, blz. 2 en het advies van de Raad voor de rechtspraak, 10 september 2018.</w:t>
      </w:r>
    </w:p>
  </w:footnote>
  <w:footnote w:id="11">
    <w:p w:rsidR="00886762" w:rsidRDefault="00F44BAE" w:rsidP="00886762">
      <w:pPr>
        <w:pStyle w:val="Voetnoottekst"/>
      </w:pPr>
      <w:r>
        <w:rPr>
          <w:rStyle w:val="Voetnootmarkering"/>
        </w:rPr>
        <w:footnoteRef/>
      </w:r>
      <w:r>
        <w:t xml:space="preserve"> </w:t>
      </w:r>
      <w:r>
        <w:tab/>
        <w:t>Reactie Slachtofferhulp Nederland, 3 september 2018; Advies Raad voor de rechtspraak, 10 september 2018; Reactie Advocaten voor slachtoffers van personenschade, 2 september 2018; Reactie 3RO, 6 september 2018; Reactie Landelijk Advocatennetwerk Gewelds- en Zedenslachtoffers; Advies van de Nederlandse Orde van Advocaten, 3 september 2018. Zie ook het Advies van de Raad voor Strafrechtstoepassing en Jeugdbescherming, waarin invoering van een verschijningsplicht mede om de hier genoemde redenen ongewenst wordt geacht.</w:t>
      </w:r>
    </w:p>
  </w:footnote>
  <w:footnote w:id="12">
    <w:p w:rsidR="00886762" w:rsidRDefault="00F44BAE" w:rsidP="00886762">
      <w:pPr>
        <w:pStyle w:val="Voetnoottekst"/>
      </w:pPr>
      <w:r>
        <w:rPr>
          <w:rStyle w:val="Voetnootmarkering"/>
        </w:rPr>
        <w:footnoteRef/>
      </w:r>
      <w:r>
        <w:t xml:space="preserve"> </w:t>
      </w:r>
      <w:r>
        <w:tab/>
        <w:t xml:space="preserve">Memorie van toelichting, paragraaf 3.1.4. </w:t>
      </w:r>
      <w:r w:rsidRPr="00D354FC">
        <w:t>De toelichting noemt in dit verband de situatie waarin de verdachte zelf niet wil verschijnen en het slachtoffer heeft aangegeven zeer angstig te zijn om in het bijzijn van de verdachte het spreekrecht uit te oefenen. Ook kan de verdachte dermate (lichamelijk of psychisch) ziek zijn dat zijn aanwezigheid redelijkerwijs niet van hem kan worden verwacht. Zie de Memorie van toelichting, artikelsgewijze toelichting, onder I, J en K.</w:t>
      </w:r>
    </w:p>
  </w:footnote>
  <w:footnote w:id="13">
    <w:p w:rsidR="003A40F2" w:rsidRDefault="00F44BAE">
      <w:pPr>
        <w:pStyle w:val="Voetnoottekst"/>
      </w:pPr>
      <w:r>
        <w:rPr>
          <w:rStyle w:val="Voetnootmarkering"/>
        </w:rPr>
        <w:footnoteRef/>
      </w:r>
      <w:r>
        <w:t xml:space="preserve"> </w:t>
      </w:r>
      <w:r>
        <w:tab/>
        <w:t xml:space="preserve">In dit verband kan nog worden gewezen op Richtlijn 2012/29/EU van het Europees Parlement en de Raad van 25 oktober 2012 tot vaststelling van minimumnormen voor de rechten, de ondersteuning en de bescherming van slachtoffers van strafbare feiten. De Richtlijn schrijft onder meer voor dat slachtoffers beschermd moeten worden tegen secundaire en herhaalde victimisatie en tegen het risico van emotionele of psychische schade (artikel 18). Verder moeten lidstaten de voorwaarden scheppen waaronder contact tussen het slachtoffer en de dader kan worden vermeden in gerechtsgebouwen, tenzij de strafprocedure dit contact vereist (artikel 19). </w:t>
      </w:r>
    </w:p>
  </w:footnote>
  <w:footnote w:id="14">
    <w:p w:rsidR="00E26890" w:rsidRDefault="00F44BAE" w:rsidP="00E26890">
      <w:pPr>
        <w:pStyle w:val="Voetnoottekst"/>
      </w:pPr>
      <w:r>
        <w:rPr>
          <w:rStyle w:val="Voetnootmarkering"/>
        </w:rPr>
        <w:footnoteRef/>
      </w:r>
      <w:r>
        <w:t xml:space="preserve"> </w:t>
      </w:r>
      <w:r>
        <w:tab/>
        <w:t>Vergelijk het in het voorgestelde artikel 278, tweede lid, Sv geformuleerde criterium “op grond van bijzondere omstandigheden”.</w:t>
      </w:r>
    </w:p>
  </w:footnote>
  <w:footnote w:id="15">
    <w:p w:rsidR="00886762" w:rsidRDefault="00F44BAE" w:rsidP="00886762">
      <w:pPr>
        <w:pStyle w:val="Voetnoottekst"/>
      </w:pPr>
      <w:r>
        <w:rPr>
          <w:rStyle w:val="Voetnootmarkering"/>
        </w:rPr>
        <w:footnoteRef/>
      </w:r>
      <w:r>
        <w:t xml:space="preserve"> </w:t>
      </w:r>
      <w:r>
        <w:tab/>
        <w:t>Memorie van toelichting, paragraaf 3.1.3. Zie voor kritiek op het criterium onder (b) het Advies van het College van procureurs-generaal van 29 augustus 2018.</w:t>
      </w:r>
    </w:p>
  </w:footnote>
  <w:footnote w:id="16">
    <w:p w:rsidR="00CD2251" w:rsidRDefault="00F44BAE" w:rsidP="00CD2251">
      <w:pPr>
        <w:pStyle w:val="Voetnoottekst"/>
      </w:pPr>
      <w:r>
        <w:rPr>
          <w:rStyle w:val="Voetnootmarkering"/>
        </w:rPr>
        <w:footnoteRef/>
      </w:r>
      <w:r>
        <w:t xml:space="preserve"> </w:t>
      </w:r>
      <w:r>
        <w:tab/>
        <w:t>Zie ook het Advies van de Raad voor de rechtspraak, 10 september 2018.</w:t>
      </w:r>
    </w:p>
  </w:footnote>
  <w:footnote w:id="17">
    <w:p w:rsidR="006E164D" w:rsidRDefault="00F44BAE" w:rsidP="006E164D">
      <w:pPr>
        <w:pStyle w:val="Voetnoottekst"/>
      </w:pPr>
      <w:r>
        <w:rPr>
          <w:rStyle w:val="Voetnootmarkering"/>
        </w:rPr>
        <w:footnoteRef/>
      </w:r>
      <w:r>
        <w:t xml:space="preserve"> </w:t>
      </w:r>
      <w:r>
        <w:tab/>
        <w:t>Memorie van toelichting, artikelsgewijze toelichting, onderdelen I, J en K.</w:t>
      </w:r>
    </w:p>
  </w:footnote>
  <w:footnote w:id="18">
    <w:p w:rsidR="000263A3" w:rsidRDefault="00F44BAE">
      <w:pPr>
        <w:pStyle w:val="Voetnoottekst"/>
      </w:pPr>
      <w:r>
        <w:rPr>
          <w:rStyle w:val="Voetnootmarkering"/>
        </w:rPr>
        <w:footnoteRef/>
      </w:r>
      <w:r>
        <w:t xml:space="preserve"> </w:t>
      </w:r>
      <w:r>
        <w:tab/>
        <w:t xml:space="preserve">Zie voor het begrip “zaak” ook de artikelen 258, 591 en 591a Sv. Deze term omvat daar al hetgeen waarop het rechtsgeding betrekking heeft. De grenzen daarvan worden bepaald door hetgeen bij inleidende dagvaarding aan de verdachte ten laste is gelegd, zij het dat deze tenlastelegging nadien nog kan worden gewijzigd en dat voeging van zaken kan worden bevolen. </w:t>
      </w:r>
    </w:p>
  </w:footnote>
  <w:footnote w:id="19">
    <w:p w:rsidR="00886762" w:rsidRDefault="00F44BAE" w:rsidP="00886762">
      <w:pPr>
        <w:pStyle w:val="Voetnoottekst"/>
      </w:pPr>
      <w:r>
        <w:rPr>
          <w:rStyle w:val="Voetnootmarkering"/>
        </w:rPr>
        <w:footnoteRef/>
      </w:r>
      <w:r>
        <w:t xml:space="preserve"> </w:t>
      </w:r>
      <w:r>
        <w:tab/>
        <w:t>Memorie van toelichting, paragraaf 3.1.</w:t>
      </w:r>
    </w:p>
  </w:footnote>
  <w:footnote w:id="20">
    <w:p w:rsidR="00CD2251" w:rsidRDefault="00F44BAE" w:rsidP="00CD2251">
      <w:pPr>
        <w:pStyle w:val="Voetnoottekst"/>
      </w:pPr>
      <w:r>
        <w:rPr>
          <w:rStyle w:val="Voetnootmarkering"/>
        </w:rPr>
        <w:footnoteRef/>
      </w:r>
      <w:r>
        <w:t xml:space="preserve"> </w:t>
      </w:r>
      <w:r>
        <w:tab/>
        <w:t>Memorie van toelichting, artikelsgewijze toelichting, onder I, J en K.</w:t>
      </w:r>
    </w:p>
  </w:footnote>
  <w:footnote w:id="21">
    <w:p w:rsidR="00886762" w:rsidRDefault="00F44BAE" w:rsidP="00886762">
      <w:pPr>
        <w:pStyle w:val="Voetnoottekst"/>
      </w:pPr>
      <w:r>
        <w:rPr>
          <w:rStyle w:val="Voetnootmarkering"/>
        </w:rPr>
        <w:footnoteRef/>
      </w:r>
      <w:r>
        <w:t xml:space="preserve"> </w:t>
      </w:r>
      <w:r>
        <w:tab/>
        <w:t>Het nieuwe zesde lid van artikel 345 Sv en het gewijzigde artikel 363, eerste lid, Sv bevatten geen verwijzing naar het tweede lid van artikel 258a Sv.</w:t>
      </w:r>
    </w:p>
  </w:footnote>
  <w:footnote w:id="22">
    <w:p w:rsidR="00593922" w:rsidRDefault="00F44BAE">
      <w:pPr>
        <w:pStyle w:val="Voetnoottekst"/>
      </w:pPr>
      <w:r>
        <w:rPr>
          <w:rStyle w:val="Voetnootmarkering"/>
        </w:rPr>
        <w:footnoteRef/>
      </w:r>
      <w:r>
        <w:t xml:space="preserve"> </w:t>
      </w:r>
      <w:r>
        <w:tab/>
        <w:t>Artikel 345, derde lid, Sv.</w:t>
      </w:r>
    </w:p>
  </w:footnote>
  <w:footnote w:id="23">
    <w:p w:rsidR="00C80C3D" w:rsidRDefault="00F44BAE" w:rsidP="00C80C3D">
      <w:pPr>
        <w:pStyle w:val="Voetnoottekst"/>
      </w:pPr>
      <w:r>
        <w:rPr>
          <w:rStyle w:val="Voetnootmarkering"/>
        </w:rPr>
        <w:footnoteRef/>
      </w:r>
      <w:r>
        <w:t xml:space="preserve"> </w:t>
      </w:r>
      <w:r>
        <w:tab/>
        <w:t xml:space="preserve">Memorie van toelichting, paragraaf 5.1. </w:t>
      </w:r>
    </w:p>
  </w:footnote>
  <w:footnote w:id="24">
    <w:p w:rsidR="004D5924" w:rsidRDefault="00F44BAE" w:rsidP="004D5924">
      <w:pPr>
        <w:pStyle w:val="Voetnoottekst"/>
      </w:pPr>
      <w:r>
        <w:rPr>
          <w:rStyle w:val="Voetnootmarkering"/>
        </w:rPr>
        <w:footnoteRef/>
      </w:r>
      <w:r>
        <w:t xml:space="preserve"> </w:t>
      </w:r>
      <w:r>
        <w:tab/>
        <w:t xml:space="preserve">Kamerstukken II 2014/15, 34082, nr. 12. </w:t>
      </w:r>
    </w:p>
  </w:footnote>
  <w:footnote w:id="25">
    <w:p w:rsidR="00F7457C" w:rsidRDefault="00F44BAE" w:rsidP="00F7457C">
      <w:pPr>
        <w:pStyle w:val="Voetnoottekst"/>
      </w:pPr>
      <w:r>
        <w:rPr>
          <w:rStyle w:val="Voetnootmarkering"/>
        </w:rPr>
        <w:footnoteRef/>
      </w:r>
      <w:r>
        <w:t xml:space="preserve"> </w:t>
      </w:r>
      <w:r>
        <w:tab/>
      </w:r>
      <w:r w:rsidRPr="00240DD9">
        <w:t>Kamerstukken II 33552, nr. 28, blz. 5. Het OM zal alle slachtoffers en nabestaanden, die hebben aangegeven dit te wensen, voorafgaand aan de zitting informeren over wanneer de zitting plaatsvindt en wat de positie van een sl</w:t>
      </w:r>
      <w:r>
        <w:t>achtoffer of nabestaande dan is. Ook zal h</w:t>
      </w:r>
      <w:r w:rsidRPr="00240DD9">
        <w:t xml:space="preserve">et OM voorafgaand aan de zitting de behoeften en wensen van slachtoffers en nabestaanden inventariseren voor eventuele voorwaarden bij de voorwaardelijke beëindiging van de dwangverpleging. De officier van justitie kan </w:t>
      </w:r>
      <w:r>
        <w:t>deze meenemen in zijn vordering. Daarnaast zullen s</w:t>
      </w:r>
      <w:r w:rsidRPr="00240DD9">
        <w:t xml:space="preserve">lachtoffers en nabestaanden die dat wensen, waar mogelijk, beter worden geïnformeerd over de tbs-behandeling. De tbs-klinieken hebben daarvoor een richtlijn opgesteld die dit jaar zal worden geïmplementeerd. </w:t>
      </w:r>
    </w:p>
  </w:footnote>
  <w:footnote w:id="26">
    <w:p w:rsidR="00F7457C" w:rsidRDefault="00F44BAE" w:rsidP="00F7457C">
      <w:pPr>
        <w:pStyle w:val="Voetnoottekst"/>
      </w:pPr>
      <w:r>
        <w:rPr>
          <w:rStyle w:val="Voetnootmarkering"/>
        </w:rPr>
        <w:footnoteRef/>
      </w:r>
      <w:r>
        <w:t xml:space="preserve"> </w:t>
      </w:r>
      <w:r>
        <w:tab/>
        <w:t xml:space="preserve">De Raad voor de Rechtspraak merkt daarbij op dat het hem niet duidelijk is waarom spreekrecht op de tbs-verlengingszitting wordt geïntroduceerd en verzoekt dit onderdeel van het wetsvoorstel te heroverwegen. Daarbij wijst hij erop dat een goede analyse van de daadwerkelijke behoefte, systematische inpasbaarheid in het strafprocesrecht </w:t>
      </w:r>
      <w:r w:rsidRPr="00F4587F">
        <w:t>en de feitelijke baat bij slachtoffers ontbreekt</w:t>
      </w:r>
      <w:r>
        <w:t xml:space="preserve"> en neemt hij in aanmerking dat de wijziging het strafrechtssysteem zwaarder belast. Zie: Advies Raad voor de rechtspraak, 10 september 2018; Advies Nederlandse Vereniging voor Rechtspraak, 25 september 2018.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23E54">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51206">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51206">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183672A0"/>
    <w:multiLevelType w:val="hybridMultilevel"/>
    <w:tmpl w:val="7D9A01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1D90086"/>
    <w:multiLevelType w:val="hybridMultilevel"/>
    <w:tmpl w:val="5290E45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549807EB"/>
    <w:multiLevelType w:val="hybridMultilevel"/>
    <w:tmpl w:val="F47494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0F5FA8"/>
    <w:rsid w:val="00102144"/>
    <w:rsid w:val="00102C23"/>
    <w:rsid w:val="00122633"/>
    <w:rsid w:val="00127596"/>
    <w:rsid w:val="001410FD"/>
    <w:rsid w:val="00156F0B"/>
    <w:rsid w:val="001E27B0"/>
    <w:rsid w:val="002276F4"/>
    <w:rsid w:val="00251206"/>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7B3F10"/>
    <w:rsid w:val="008108EA"/>
    <w:rsid w:val="00823B67"/>
    <w:rsid w:val="00831363"/>
    <w:rsid w:val="00883369"/>
    <w:rsid w:val="008C5EDD"/>
    <w:rsid w:val="00907421"/>
    <w:rsid w:val="00977969"/>
    <w:rsid w:val="009E537C"/>
    <w:rsid w:val="009E72D2"/>
    <w:rsid w:val="00A316AD"/>
    <w:rsid w:val="00A31DA9"/>
    <w:rsid w:val="00A550D4"/>
    <w:rsid w:val="00AC5AD9"/>
    <w:rsid w:val="00AD0E86"/>
    <w:rsid w:val="00B15811"/>
    <w:rsid w:val="00B71E6E"/>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23E54"/>
    <w:rsid w:val="00F374C1"/>
    <w:rsid w:val="00F44B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FF798BCE-3D78-4BDD-A721-8A4C4225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F7457C"/>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DA7806"/>
    <w:rPr>
      <w:sz w:val="16"/>
      <w:szCs w:val="16"/>
    </w:rPr>
  </w:style>
  <w:style w:type="paragraph" w:styleId="Tekstopmerking">
    <w:name w:val="annotation text"/>
    <w:basedOn w:val="Standaard"/>
    <w:link w:val="TekstopmerkingChar"/>
    <w:rsid w:val="00DA7806"/>
    <w:rPr>
      <w:sz w:val="20"/>
      <w:szCs w:val="20"/>
    </w:rPr>
  </w:style>
  <w:style w:type="character" w:customStyle="1" w:styleId="TekstopmerkingChar">
    <w:name w:val="Tekst opmerking Char"/>
    <w:basedOn w:val="Standaardalinea-lettertype"/>
    <w:link w:val="Tekstopmerking"/>
    <w:rsid w:val="00DA7806"/>
    <w:rPr>
      <w:rFonts w:ascii="Univers" w:hAnsi="Univers"/>
    </w:rPr>
  </w:style>
  <w:style w:type="paragraph" w:styleId="Onderwerpvanopmerking">
    <w:name w:val="annotation subject"/>
    <w:basedOn w:val="Tekstopmerking"/>
    <w:next w:val="Tekstopmerking"/>
    <w:link w:val="OnderwerpvanopmerkingChar"/>
    <w:rsid w:val="00DA7806"/>
    <w:rPr>
      <w:b/>
      <w:bCs/>
    </w:rPr>
  </w:style>
  <w:style w:type="character" w:customStyle="1" w:styleId="OnderwerpvanopmerkingChar">
    <w:name w:val="Onderwerp van opmerking Char"/>
    <w:basedOn w:val="TekstopmerkingChar"/>
    <w:link w:val="Onderwerpvanopmerking"/>
    <w:rsid w:val="00DA7806"/>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3394</ap:Words>
  <ap:Characters>18672</ap:Characters>
  <ap:DocSecurity>4</ap:DocSecurity>
  <ap:Lines>155</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2019-07-25T12:34:00.0000000Z</lastPrinted>
  <dcterms:created xsi:type="dcterms:W3CDTF">2019-11-19T07:11:00.0000000Z</dcterms:created>
  <dcterms:modified xsi:type="dcterms:W3CDTF">2019-11-19T07:11:00.0000000Z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0x010100A0F2B34DB8682F448A31C5DB95DE71BA</vt:lpwstr>
  </property>
</Properties>
</file>