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A3C" w:rsidP="00FC3A3C" w:rsidRDefault="00FC3A3C">
      <w:pPr>
        <w:rPr>
          <w:b/>
        </w:rPr>
      </w:pPr>
      <w:bookmarkStart w:name="_GoBack" w:id="0"/>
      <w:bookmarkEnd w:id="0"/>
    </w:p>
    <w:p w:rsidR="00FC3A3C" w:rsidP="00FC3A3C" w:rsidRDefault="00FC3A3C">
      <w:pPr>
        <w:rPr>
          <w:b/>
        </w:rPr>
      </w:pPr>
    </w:p>
    <w:p w:rsidR="00FC3A3C" w:rsidP="00FC3A3C" w:rsidRDefault="00FC3A3C">
      <w:pPr>
        <w:rPr>
          <w:b/>
        </w:rPr>
      </w:pPr>
      <w:r>
        <w:rPr>
          <w:b/>
        </w:rPr>
        <w:t xml:space="preserve">Annex 1: overzicht van documenten </w:t>
      </w:r>
    </w:p>
    <w:p w:rsidR="00FC3A3C" w:rsidP="00FC3A3C" w:rsidRDefault="00FC3A3C">
      <w:pPr>
        <w:rPr>
          <w:b/>
        </w:rPr>
      </w:pPr>
    </w:p>
    <w:tbl>
      <w:tblPr>
        <w:tblStyle w:val="Tabelraster"/>
        <w:tblW w:w="9072" w:type="dxa"/>
        <w:tblInd w:w="-5" w:type="dxa"/>
        <w:tblLook w:val="04A0" w:firstRow="1" w:lastRow="0" w:firstColumn="1" w:lastColumn="0" w:noHBand="0" w:noVBand="1"/>
      </w:tblPr>
      <w:tblGrid>
        <w:gridCol w:w="3544"/>
        <w:gridCol w:w="5528"/>
      </w:tblGrid>
      <w:tr w:rsidR="00FC3A3C" w:rsidTr="004D20CF">
        <w:tc>
          <w:tcPr>
            <w:tcW w:w="3544" w:type="dxa"/>
          </w:tcPr>
          <w:p w:rsidRPr="00C370BC" w:rsidR="00FC3A3C" w:rsidP="004D20CF" w:rsidRDefault="00FC3A3C">
            <w:pPr>
              <w:spacing w:line="276" w:lineRule="auto"/>
              <w:rPr>
                <w:rFonts w:ascii="Verdana" w:hAnsi="Verdana"/>
                <w:b/>
                <w:sz w:val="18"/>
                <w:szCs w:val="18"/>
              </w:rPr>
            </w:pPr>
            <w:r w:rsidRPr="00B34712">
              <w:rPr>
                <w:rFonts w:ascii="Verdana" w:hAnsi="Verdana"/>
                <w:b/>
                <w:sz w:val="18"/>
                <w:szCs w:val="18"/>
              </w:rPr>
              <w:t>Betreft</w:t>
            </w:r>
          </w:p>
          <w:p w:rsidRPr="001B5B4E" w:rsidR="00FC3A3C" w:rsidP="004D20CF" w:rsidRDefault="00FC3A3C">
            <w:pPr>
              <w:spacing w:line="276" w:lineRule="auto"/>
              <w:rPr>
                <w:rFonts w:ascii="Verdana" w:hAnsi="Verdana"/>
                <w:b/>
                <w:sz w:val="18"/>
                <w:szCs w:val="18"/>
              </w:rPr>
            </w:pPr>
          </w:p>
        </w:tc>
        <w:tc>
          <w:tcPr>
            <w:tcW w:w="5528" w:type="dxa"/>
          </w:tcPr>
          <w:p w:rsidRPr="001B5B4E" w:rsidR="00FC3A3C" w:rsidP="004D20CF" w:rsidRDefault="00FC3A3C">
            <w:pPr>
              <w:spacing w:line="276" w:lineRule="auto"/>
              <w:rPr>
                <w:rFonts w:ascii="Verdana" w:hAnsi="Verdana"/>
                <w:b/>
                <w:sz w:val="18"/>
                <w:szCs w:val="18"/>
              </w:rPr>
            </w:pPr>
            <w:r w:rsidRPr="00B34712">
              <w:rPr>
                <w:rFonts w:ascii="Verdana" w:hAnsi="Verdana"/>
                <w:b/>
                <w:sz w:val="18"/>
                <w:szCs w:val="18"/>
              </w:rPr>
              <w:t>Beknopte beschrijving</w:t>
            </w:r>
          </w:p>
        </w:tc>
      </w:tr>
      <w:tr w:rsidR="00FC3A3C" w:rsidTr="004D20CF">
        <w:tc>
          <w:tcPr>
            <w:tcW w:w="3544" w:type="dxa"/>
          </w:tcPr>
          <w:p w:rsidRPr="001B5B4E" w:rsidR="00FC3A3C" w:rsidP="004D20CF" w:rsidRDefault="00FC3A3C">
            <w:pPr>
              <w:spacing w:line="276" w:lineRule="auto"/>
              <w:rPr>
                <w:rFonts w:ascii="Verdana" w:hAnsi="Verdana"/>
                <w:sz w:val="18"/>
                <w:szCs w:val="18"/>
              </w:rPr>
            </w:pPr>
            <w:r w:rsidRPr="001B5B4E">
              <w:rPr>
                <w:rFonts w:ascii="Verdana" w:hAnsi="Verdana"/>
                <w:sz w:val="18"/>
                <w:szCs w:val="18"/>
              </w:rPr>
              <w:t>Richtsnoer voor preventieve financi</w:t>
            </w:r>
            <w:r w:rsidRPr="001B5B4E">
              <w:rPr>
                <w:rFonts w:ascii="Verdana" w:hAnsi="Verdana" w:cs="Calibri"/>
                <w:sz w:val="18"/>
                <w:szCs w:val="18"/>
              </w:rPr>
              <w:t>ë</w:t>
            </w:r>
            <w:r w:rsidRPr="001B5B4E">
              <w:rPr>
                <w:rFonts w:ascii="Verdana" w:hAnsi="Verdana"/>
                <w:sz w:val="18"/>
                <w:szCs w:val="18"/>
              </w:rPr>
              <w:t>le bijstand</w:t>
            </w:r>
          </w:p>
        </w:tc>
        <w:tc>
          <w:tcPr>
            <w:tcW w:w="5528" w:type="dxa"/>
          </w:tcPr>
          <w:p w:rsidRPr="001B5B4E" w:rsidR="00FC3A3C" w:rsidP="004D20CF" w:rsidRDefault="00FC3A3C">
            <w:pPr>
              <w:spacing w:line="276" w:lineRule="auto"/>
              <w:rPr>
                <w:rFonts w:ascii="Verdana" w:hAnsi="Verdana"/>
                <w:sz w:val="18"/>
                <w:szCs w:val="18"/>
              </w:rPr>
            </w:pPr>
            <w:r w:rsidRPr="001B5B4E">
              <w:rPr>
                <w:rFonts w:ascii="Verdana" w:hAnsi="Verdana"/>
                <w:sz w:val="18"/>
                <w:szCs w:val="18"/>
              </w:rPr>
              <w:t>In het al bestaande richtsnoer voor preventieve financi</w:t>
            </w:r>
            <w:r w:rsidRPr="001B5B4E">
              <w:rPr>
                <w:rFonts w:ascii="Verdana" w:hAnsi="Verdana" w:cs="Calibri"/>
                <w:sz w:val="18"/>
                <w:szCs w:val="18"/>
              </w:rPr>
              <w:t>ë</w:t>
            </w:r>
            <w:r w:rsidRPr="001B5B4E">
              <w:rPr>
                <w:rFonts w:ascii="Verdana" w:hAnsi="Verdana"/>
                <w:sz w:val="18"/>
                <w:szCs w:val="18"/>
              </w:rPr>
              <w:t>le bijstand worden de afspraken over het effectiever maken van de aan voorwaarden onderworpen preventieve kredietlijn en de kredietlijn tegen verscherpte voorwaarden verder uitgewerkt.</w:t>
            </w:r>
          </w:p>
        </w:tc>
      </w:tr>
      <w:tr w:rsidR="00FC3A3C" w:rsidTr="004D20CF">
        <w:tc>
          <w:tcPr>
            <w:tcW w:w="3544" w:type="dxa"/>
          </w:tcPr>
          <w:p w:rsidRPr="001B5B4E" w:rsidR="00FC3A3C" w:rsidP="004D20CF" w:rsidRDefault="00FC3A3C">
            <w:pPr>
              <w:spacing w:line="276" w:lineRule="auto"/>
              <w:rPr>
                <w:rFonts w:ascii="Verdana" w:hAnsi="Verdana"/>
                <w:sz w:val="18"/>
                <w:szCs w:val="18"/>
              </w:rPr>
            </w:pPr>
            <w:r w:rsidRPr="001B5B4E">
              <w:rPr>
                <w:rFonts w:ascii="Verdana" w:hAnsi="Verdana"/>
                <w:sz w:val="18"/>
                <w:szCs w:val="18"/>
              </w:rPr>
              <w:t xml:space="preserve">Richtsnoer voor de gemeenschappelijke </w:t>
            </w:r>
            <w:proofErr w:type="spellStart"/>
            <w:r w:rsidRPr="001B5B4E">
              <w:rPr>
                <w:rFonts w:ascii="Verdana" w:hAnsi="Verdana"/>
                <w:sz w:val="18"/>
                <w:szCs w:val="18"/>
              </w:rPr>
              <w:t>achtervang</w:t>
            </w:r>
            <w:proofErr w:type="spellEnd"/>
          </w:p>
        </w:tc>
        <w:tc>
          <w:tcPr>
            <w:tcW w:w="5528" w:type="dxa"/>
          </w:tcPr>
          <w:p w:rsidRPr="001B5B4E" w:rsidR="00FC3A3C" w:rsidP="004D20CF" w:rsidRDefault="00FC3A3C">
            <w:pPr>
              <w:spacing w:line="276" w:lineRule="auto"/>
              <w:rPr>
                <w:rFonts w:ascii="Verdana" w:hAnsi="Verdana"/>
                <w:sz w:val="18"/>
                <w:szCs w:val="18"/>
              </w:rPr>
            </w:pPr>
            <w:r>
              <w:rPr>
                <w:rFonts w:ascii="Verdana" w:hAnsi="Verdana"/>
                <w:sz w:val="18"/>
                <w:szCs w:val="18"/>
              </w:rPr>
              <w:t>In d</w:t>
            </w:r>
            <w:r w:rsidRPr="001B5B4E">
              <w:rPr>
                <w:rFonts w:ascii="Verdana" w:hAnsi="Verdana"/>
                <w:sz w:val="18"/>
                <w:szCs w:val="18"/>
              </w:rPr>
              <w:t xml:space="preserve">eze nieuwe richtsnoer </w:t>
            </w:r>
            <w:r>
              <w:rPr>
                <w:rFonts w:ascii="Verdana" w:hAnsi="Verdana"/>
                <w:sz w:val="18"/>
                <w:szCs w:val="18"/>
              </w:rPr>
              <w:t>worden</w:t>
            </w:r>
            <w:r w:rsidRPr="001B5B4E">
              <w:rPr>
                <w:rFonts w:ascii="Verdana" w:hAnsi="Verdana"/>
                <w:sz w:val="18"/>
                <w:szCs w:val="18"/>
              </w:rPr>
              <w:t xml:space="preserve"> de afspraken over de vormgeving op detailniveau uitgewerkt (o.a. aanvraagprocedure lening, vertrouwelijkheidsstandaarden, bepaling terugbetaalcapaciteit collectieve banken</w:t>
            </w:r>
            <w:r>
              <w:rPr>
                <w:rFonts w:ascii="Verdana" w:hAnsi="Verdana"/>
                <w:sz w:val="18"/>
                <w:szCs w:val="18"/>
              </w:rPr>
              <w:t>sector</w:t>
            </w:r>
            <w:r w:rsidRPr="001B5B4E">
              <w:rPr>
                <w:rFonts w:ascii="Verdana" w:hAnsi="Verdana"/>
                <w:sz w:val="18"/>
                <w:szCs w:val="18"/>
              </w:rPr>
              <w:t>). Juridische grondslag in het nieuwe artikel 18A.4 van het aangepaste ESM-verdrag</w:t>
            </w:r>
          </w:p>
        </w:tc>
      </w:tr>
      <w:tr w:rsidRPr="00D674C6" w:rsidR="00FC3A3C" w:rsidTr="004D20CF">
        <w:tc>
          <w:tcPr>
            <w:tcW w:w="3544" w:type="dxa"/>
          </w:tcPr>
          <w:p w:rsidRPr="001B5B4E" w:rsidR="00FC3A3C" w:rsidP="004D20CF" w:rsidRDefault="00FC3A3C">
            <w:pPr>
              <w:spacing w:line="276" w:lineRule="auto"/>
              <w:rPr>
                <w:rFonts w:ascii="Verdana" w:hAnsi="Verdana"/>
                <w:sz w:val="18"/>
                <w:szCs w:val="18"/>
              </w:rPr>
            </w:pPr>
            <w:r>
              <w:rPr>
                <w:rFonts w:ascii="Verdana" w:hAnsi="Verdana"/>
                <w:sz w:val="18"/>
                <w:szCs w:val="18"/>
              </w:rPr>
              <w:t>Prijs</w:t>
            </w:r>
            <w:r w:rsidRPr="001B5B4E">
              <w:rPr>
                <w:rFonts w:ascii="Verdana" w:hAnsi="Verdana"/>
                <w:sz w:val="18"/>
                <w:szCs w:val="18"/>
              </w:rPr>
              <w:t>stellings</w:t>
            </w:r>
            <w:r>
              <w:rPr>
                <w:rFonts w:ascii="Verdana" w:hAnsi="Verdana"/>
                <w:sz w:val="18"/>
                <w:szCs w:val="18"/>
              </w:rPr>
              <w:t>richtsnoer voor financië</w:t>
            </w:r>
            <w:r w:rsidRPr="001B5B4E">
              <w:rPr>
                <w:rFonts w:ascii="Verdana" w:hAnsi="Verdana"/>
                <w:sz w:val="18"/>
                <w:szCs w:val="18"/>
              </w:rPr>
              <w:t>le bijstand</w:t>
            </w:r>
          </w:p>
        </w:tc>
        <w:tc>
          <w:tcPr>
            <w:tcW w:w="5528" w:type="dxa"/>
          </w:tcPr>
          <w:p w:rsidRPr="001B5B4E" w:rsidR="00FC3A3C" w:rsidP="004D20CF" w:rsidRDefault="00FC3A3C">
            <w:pPr>
              <w:spacing w:line="276" w:lineRule="auto"/>
              <w:rPr>
                <w:rFonts w:ascii="Verdana" w:hAnsi="Verdana"/>
                <w:sz w:val="18"/>
                <w:szCs w:val="18"/>
              </w:rPr>
            </w:pPr>
            <w:r w:rsidRPr="001B5B4E">
              <w:rPr>
                <w:rFonts w:ascii="Verdana" w:hAnsi="Verdana"/>
                <w:sz w:val="18"/>
                <w:szCs w:val="18"/>
              </w:rPr>
              <w:t xml:space="preserve">In het al bestaande richtsnoer voor </w:t>
            </w:r>
            <w:r>
              <w:rPr>
                <w:rFonts w:ascii="Verdana" w:hAnsi="Verdana"/>
                <w:sz w:val="18"/>
                <w:szCs w:val="18"/>
              </w:rPr>
              <w:t>tarieven</w:t>
            </w:r>
            <w:r w:rsidRPr="001B5B4E">
              <w:rPr>
                <w:rFonts w:ascii="Verdana" w:hAnsi="Verdana"/>
                <w:sz w:val="18"/>
                <w:szCs w:val="18"/>
              </w:rPr>
              <w:t xml:space="preserve"> worden de tarieven van leningen via de backstop en de afspraken over tarieven voor de preventieve kredietlijnen verwerkt.</w:t>
            </w:r>
          </w:p>
        </w:tc>
      </w:tr>
      <w:tr w:rsidR="00FC3A3C" w:rsidTr="004D20CF">
        <w:tc>
          <w:tcPr>
            <w:tcW w:w="3544" w:type="dxa"/>
          </w:tcPr>
          <w:p w:rsidR="00FC3A3C" w:rsidP="004D20CF" w:rsidRDefault="00FC3A3C">
            <w:pPr>
              <w:spacing w:line="276" w:lineRule="auto"/>
              <w:rPr>
                <w:rFonts w:ascii="Verdana" w:hAnsi="Verdana"/>
                <w:sz w:val="18"/>
                <w:szCs w:val="18"/>
              </w:rPr>
            </w:pPr>
            <w:r>
              <w:rPr>
                <w:rFonts w:ascii="Verdana" w:hAnsi="Verdana"/>
                <w:sz w:val="18"/>
                <w:szCs w:val="18"/>
              </w:rPr>
              <w:t>Gouverneursbeslissing voor de nominale limiet en de bepalingen inzake de controle op de naleving van de voorwaarde van het permanent voorhanden zijn van het juridische kader voor bankafwikkeling</w:t>
            </w:r>
          </w:p>
          <w:p w:rsidRPr="001B5B4E" w:rsidR="00FC3A3C" w:rsidP="004D20CF" w:rsidRDefault="00FC3A3C">
            <w:pPr>
              <w:spacing w:line="276" w:lineRule="auto"/>
              <w:rPr>
                <w:rFonts w:ascii="Verdana" w:hAnsi="Verdana"/>
                <w:sz w:val="18"/>
                <w:szCs w:val="18"/>
              </w:rPr>
            </w:pPr>
          </w:p>
        </w:tc>
        <w:tc>
          <w:tcPr>
            <w:tcW w:w="5528" w:type="dxa"/>
          </w:tcPr>
          <w:p w:rsidRPr="001B5B4E" w:rsidR="00FC3A3C" w:rsidP="004D20CF" w:rsidRDefault="00FC3A3C">
            <w:pPr>
              <w:spacing w:line="276" w:lineRule="auto"/>
              <w:rPr>
                <w:rFonts w:ascii="Verdana" w:hAnsi="Verdana"/>
                <w:sz w:val="18"/>
                <w:szCs w:val="18"/>
              </w:rPr>
            </w:pPr>
            <w:r>
              <w:rPr>
                <w:rFonts w:ascii="Verdana" w:hAnsi="Verdana"/>
                <w:sz w:val="18"/>
                <w:szCs w:val="18"/>
              </w:rPr>
              <w:t xml:space="preserve">Dit betreft twee </w:t>
            </w:r>
            <w:r w:rsidRPr="001B5B4E">
              <w:rPr>
                <w:rFonts w:ascii="Verdana" w:hAnsi="Verdana"/>
                <w:sz w:val="18"/>
                <w:szCs w:val="18"/>
              </w:rPr>
              <w:t>unanieme beslissing</w:t>
            </w:r>
            <w:r>
              <w:rPr>
                <w:rFonts w:ascii="Verdana" w:hAnsi="Verdana"/>
                <w:sz w:val="18"/>
                <w:szCs w:val="18"/>
              </w:rPr>
              <w:t>en van de g</w:t>
            </w:r>
            <w:r w:rsidRPr="001B5B4E">
              <w:rPr>
                <w:rFonts w:ascii="Verdana" w:hAnsi="Verdana"/>
                <w:sz w:val="18"/>
                <w:szCs w:val="18"/>
              </w:rPr>
              <w:t>ouverneurs</w:t>
            </w:r>
            <w:r>
              <w:rPr>
                <w:rFonts w:ascii="Verdana" w:hAnsi="Verdana"/>
                <w:sz w:val="18"/>
                <w:szCs w:val="18"/>
              </w:rPr>
              <w:t>. Een voor de nominale limiet en een voor de regels voor het verifi</w:t>
            </w:r>
            <w:r>
              <w:rPr>
                <w:rFonts w:ascii="Calibri" w:hAnsi="Calibri" w:cs="Calibri"/>
                <w:sz w:val="18"/>
                <w:szCs w:val="18"/>
              </w:rPr>
              <w:t>ë</w:t>
            </w:r>
            <w:r w:rsidRPr="001B5B4E">
              <w:rPr>
                <w:rFonts w:ascii="Verdana" w:hAnsi="Verdana"/>
                <w:sz w:val="18"/>
                <w:szCs w:val="18"/>
              </w:rPr>
              <w:t xml:space="preserve">ren van de </w:t>
            </w:r>
            <w:proofErr w:type="spellStart"/>
            <w:r w:rsidRPr="001B5B4E">
              <w:rPr>
                <w:rFonts w:ascii="Verdana" w:hAnsi="Verdana"/>
                <w:sz w:val="18"/>
                <w:szCs w:val="18"/>
              </w:rPr>
              <w:t>permanentheid</w:t>
            </w:r>
            <w:proofErr w:type="spellEnd"/>
            <w:r w:rsidRPr="001B5B4E">
              <w:rPr>
                <w:rFonts w:ascii="Verdana" w:hAnsi="Verdana"/>
                <w:sz w:val="18"/>
                <w:szCs w:val="18"/>
              </w:rPr>
              <w:t xml:space="preserve"> van het juridische raamwerk voor ba</w:t>
            </w:r>
            <w:r>
              <w:rPr>
                <w:rFonts w:ascii="Verdana" w:hAnsi="Verdana"/>
                <w:sz w:val="18"/>
                <w:szCs w:val="18"/>
              </w:rPr>
              <w:t>nkresolutie</w:t>
            </w:r>
            <w:r w:rsidRPr="001B5B4E">
              <w:rPr>
                <w:rFonts w:ascii="Verdana" w:hAnsi="Verdana"/>
                <w:sz w:val="18"/>
                <w:szCs w:val="18"/>
              </w:rPr>
              <w:t xml:space="preserve">. Juridische grondslag </w:t>
            </w:r>
            <w:r>
              <w:rPr>
                <w:rFonts w:ascii="Verdana" w:hAnsi="Verdana"/>
                <w:sz w:val="18"/>
                <w:szCs w:val="18"/>
              </w:rPr>
              <w:t xml:space="preserve">in het nieuwe artikel </w:t>
            </w:r>
            <w:r w:rsidRPr="001B5B4E">
              <w:rPr>
                <w:rFonts w:ascii="Verdana" w:hAnsi="Verdana"/>
                <w:sz w:val="18"/>
                <w:szCs w:val="18"/>
              </w:rPr>
              <w:t>art 18A.1</w:t>
            </w:r>
            <w:r>
              <w:rPr>
                <w:rFonts w:ascii="Verdana" w:hAnsi="Verdana"/>
                <w:sz w:val="18"/>
                <w:szCs w:val="18"/>
              </w:rPr>
              <w:t xml:space="preserve"> van het aangepaste </w:t>
            </w:r>
            <w:proofErr w:type="gramStart"/>
            <w:r>
              <w:rPr>
                <w:rFonts w:ascii="Verdana" w:hAnsi="Verdana"/>
                <w:sz w:val="18"/>
                <w:szCs w:val="18"/>
              </w:rPr>
              <w:t>ESM verdrag</w:t>
            </w:r>
            <w:proofErr w:type="gramEnd"/>
            <w:r>
              <w:rPr>
                <w:rFonts w:ascii="Verdana" w:hAnsi="Verdana"/>
                <w:sz w:val="18"/>
                <w:szCs w:val="18"/>
              </w:rPr>
              <w:t xml:space="preserve">. </w:t>
            </w:r>
          </w:p>
        </w:tc>
      </w:tr>
      <w:tr w:rsidR="00FC3A3C" w:rsidTr="004D20CF">
        <w:tc>
          <w:tcPr>
            <w:tcW w:w="3544" w:type="dxa"/>
          </w:tcPr>
          <w:p w:rsidRPr="00167DB0" w:rsidR="00FC3A3C" w:rsidP="004D20CF" w:rsidRDefault="00FC3A3C">
            <w:pPr>
              <w:spacing w:line="276" w:lineRule="auto"/>
              <w:rPr>
                <w:rFonts w:ascii="Verdana" w:hAnsi="Verdana"/>
                <w:sz w:val="18"/>
                <w:szCs w:val="18"/>
              </w:rPr>
            </w:pPr>
            <w:r w:rsidRPr="00167DB0">
              <w:rPr>
                <w:rFonts w:ascii="Verdana" w:hAnsi="Verdana"/>
                <w:sz w:val="18"/>
                <w:szCs w:val="18"/>
              </w:rPr>
              <w:t xml:space="preserve">Gouverneursbeslissing voor de toekenning van de </w:t>
            </w:r>
            <w:proofErr w:type="spellStart"/>
            <w:r w:rsidRPr="00167DB0">
              <w:rPr>
                <w:rFonts w:ascii="Verdana" w:hAnsi="Verdana"/>
                <w:sz w:val="18"/>
                <w:szCs w:val="18"/>
              </w:rPr>
              <w:t>achtervangfaciliteit</w:t>
            </w:r>
            <w:proofErr w:type="spellEnd"/>
          </w:p>
        </w:tc>
        <w:tc>
          <w:tcPr>
            <w:tcW w:w="5528" w:type="dxa"/>
          </w:tcPr>
          <w:p w:rsidRPr="00167DB0" w:rsidR="00FC3A3C" w:rsidP="004D20CF" w:rsidRDefault="00FC3A3C">
            <w:pPr>
              <w:spacing w:line="276" w:lineRule="auto"/>
              <w:rPr>
                <w:rFonts w:ascii="Verdana" w:hAnsi="Verdana"/>
                <w:sz w:val="18"/>
                <w:szCs w:val="18"/>
              </w:rPr>
            </w:pPr>
            <w:r w:rsidRPr="00167DB0">
              <w:rPr>
                <w:rFonts w:ascii="Verdana" w:hAnsi="Verdana"/>
                <w:sz w:val="18"/>
                <w:szCs w:val="18"/>
              </w:rPr>
              <w:t xml:space="preserve">Hiermee kan de gemeenschappelijke </w:t>
            </w:r>
            <w:proofErr w:type="spellStart"/>
            <w:r w:rsidRPr="00167DB0">
              <w:rPr>
                <w:rFonts w:ascii="Verdana" w:hAnsi="Verdana"/>
                <w:sz w:val="18"/>
                <w:szCs w:val="18"/>
              </w:rPr>
              <w:t>achtervang</w:t>
            </w:r>
            <w:proofErr w:type="spellEnd"/>
            <w:r w:rsidRPr="00167DB0">
              <w:rPr>
                <w:rFonts w:ascii="Verdana" w:hAnsi="Verdana"/>
                <w:sz w:val="18"/>
                <w:szCs w:val="18"/>
              </w:rPr>
              <w:t xml:space="preserve"> worden geactiveerd (de politieke afspraak is 1 januari 2024). Deze resolutie bevat ook de belangrijkste financi</w:t>
            </w:r>
            <w:r w:rsidRPr="00167DB0">
              <w:rPr>
                <w:rFonts w:ascii="Verdana" w:hAnsi="Verdana" w:cs="Calibri"/>
                <w:sz w:val="18"/>
                <w:szCs w:val="18"/>
              </w:rPr>
              <w:t xml:space="preserve">ële </w:t>
            </w:r>
            <w:r w:rsidRPr="00167DB0">
              <w:rPr>
                <w:rFonts w:ascii="Verdana" w:hAnsi="Verdana"/>
                <w:sz w:val="18"/>
                <w:szCs w:val="18"/>
              </w:rPr>
              <w:t>voorwaarden</w:t>
            </w:r>
            <w:r>
              <w:rPr>
                <w:rFonts w:ascii="Verdana" w:hAnsi="Verdana"/>
                <w:sz w:val="18"/>
                <w:szCs w:val="18"/>
              </w:rPr>
              <w:t xml:space="preserve"> voor de </w:t>
            </w:r>
            <w:proofErr w:type="spellStart"/>
            <w:r>
              <w:rPr>
                <w:rFonts w:ascii="Verdana" w:hAnsi="Verdana"/>
                <w:sz w:val="18"/>
                <w:szCs w:val="18"/>
              </w:rPr>
              <w:t>achtervang</w:t>
            </w:r>
            <w:proofErr w:type="spellEnd"/>
            <w:r w:rsidRPr="00167DB0">
              <w:rPr>
                <w:rFonts w:ascii="Verdana" w:hAnsi="Verdana"/>
                <w:sz w:val="18"/>
                <w:szCs w:val="18"/>
              </w:rPr>
              <w:t>. Juridische grondslag in het nieuwe artikel 18A.1</w:t>
            </w:r>
            <w:r>
              <w:rPr>
                <w:rFonts w:ascii="Verdana" w:hAnsi="Verdana"/>
                <w:sz w:val="18"/>
                <w:szCs w:val="18"/>
              </w:rPr>
              <w:t xml:space="preserve"> van het aangepaste </w:t>
            </w:r>
            <w:proofErr w:type="gramStart"/>
            <w:r>
              <w:rPr>
                <w:rFonts w:ascii="Verdana" w:hAnsi="Verdana"/>
                <w:sz w:val="18"/>
                <w:szCs w:val="18"/>
              </w:rPr>
              <w:t>ESM verdrag</w:t>
            </w:r>
            <w:proofErr w:type="gramEnd"/>
            <w:r w:rsidRPr="00167DB0">
              <w:rPr>
                <w:rFonts w:ascii="Verdana" w:hAnsi="Verdana"/>
                <w:sz w:val="18"/>
                <w:szCs w:val="18"/>
              </w:rPr>
              <w:t xml:space="preserve">. Toekenning vereist een separate unanieme beslissing </w:t>
            </w:r>
            <w:r>
              <w:rPr>
                <w:rFonts w:ascii="Verdana" w:hAnsi="Verdana"/>
                <w:sz w:val="18"/>
                <w:szCs w:val="18"/>
              </w:rPr>
              <w:t xml:space="preserve">van </w:t>
            </w:r>
            <w:r w:rsidRPr="00167DB0">
              <w:rPr>
                <w:rFonts w:ascii="Verdana" w:hAnsi="Verdana"/>
                <w:sz w:val="18"/>
                <w:szCs w:val="18"/>
              </w:rPr>
              <w:t>gouverneurs</w:t>
            </w:r>
          </w:p>
        </w:tc>
      </w:tr>
      <w:tr w:rsidR="00FC3A3C" w:rsidTr="004D20CF">
        <w:tc>
          <w:tcPr>
            <w:tcW w:w="3544" w:type="dxa"/>
          </w:tcPr>
          <w:p w:rsidRPr="00167DB0" w:rsidR="00FC3A3C" w:rsidP="004D20CF" w:rsidRDefault="00FC3A3C">
            <w:pPr>
              <w:spacing w:line="276" w:lineRule="auto"/>
              <w:rPr>
                <w:rFonts w:ascii="Verdana" w:hAnsi="Verdana"/>
                <w:sz w:val="18"/>
                <w:szCs w:val="18"/>
              </w:rPr>
            </w:pPr>
            <w:r w:rsidRPr="00167DB0">
              <w:rPr>
                <w:rFonts w:ascii="Verdana" w:hAnsi="Verdana"/>
                <w:sz w:val="18"/>
                <w:szCs w:val="18"/>
              </w:rPr>
              <w:t>Gouverneursbeslissing over het stopzetten van het instrument voor financi</w:t>
            </w:r>
            <w:r w:rsidRPr="00167DB0">
              <w:rPr>
                <w:rFonts w:ascii="Verdana" w:hAnsi="Verdana" w:cs="Calibri"/>
                <w:sz w:val="18"/>
                <w:szCs w:val="18"/>
              </w:rPr>
              <w:t>ë</w:t>
            </w:r>
            <w:r w:rsidRPr="00167DB0">
              <w:rPr>
                <w:rFonts w:ascii="Verdana" w:hAnsi="Verdana"/>
                <w:sz w:val="18"/>
                <w:szCs w:val="18"/>
              </w:rPr>
              <w:t>le bijstand voor de herkapitalisatie van financi</w:t>
            </w:r>
            <w:r w:rsidRPr="00167DB0">
              <w:rPr>
                <w:rFonts w:ascii="Verdana" w:hAnsi="Verdana" w:cs="Calibri"/>
                <w:sz w:val="18"/>
                <w:szCs w:val="18"/>
              </w:rPr>
              <w:t>ë</w:t>
            </w:r>
            <w:r w:rsidRPr="00167DB0">
              <w:rPr>
                <w:rFonts w:ascii="Verdana" w:hAnsi="Verdana"/>
                <w:sz w:val="18"/>
                <w:szCs w:val="18"/>
              </w:rPr>
              <w:t>le instellingen</w:t>
            </w:r>
          </w:p>
        </w:tc>
        <w:tc>
          <w:tcPr>
            <w:tcW w:w="5528" w:type="dxa"/>
          </w:tcPr>
          <w:p w:rsidRPr="00167DB0" w:rsidR="00FC3A3C" w:rsidP="004D20CF" w:rsidRDefault="00FC3A3C">
            <w:pPr>
              <w:spacing w:line="276" w:lineRule="auto"/>
              <w:rPr>
                <w:rFonts w:ascii="Verdana" w:hAnsi="Verdana"/>
                <w:sz w:val="18"/>
                <w:szCs w:val="18"/>
              </w:rPr>
            </w:pPr>
            <w:r w:rsidRPr="00167DB0">
              <w:rPr>
                <w:rFonts w:ascii="Verdana" w:hAnsi="Verdana"/>
                <w:sz w:val="18"/>
                <w:szCs w:val="18"/>
              </w:rPr>
              <w:t>Hiermee wordt het ESM-instrument voor de directe herkapitalisatie van banken formeel buiten werking gesteld. Dit is een deel van de politieke afspraken aangaande de introductie van de backstop. D</w:t>
            </w:r>
            <w:r>
              <w:rPr>
                <w:rFonts w:ascii="Verdana" w:hAnsi="Verdana"/>
                <w:sz w:val="18"/>
                <w:szCs w:val="18"/>
              </w:rPr>
              <w:t>eze</w:t>
            </w:r>
            <w:r w:rsidRPr="00167DB0">
              <w:rPr>
                <w:rFonts w:ascii="Verdana" w:hAnsi="Verdana"/>
                <w:sz w:val="18"/>
                <w:szCs w:val="18"/>
              </w:rPr>
              <w:t xml:space="preserve"> beslissing zal simultaan met de beslissing voor het toekennen van de </w:t>
            </w:r>
            <w:proofErr w:type="spellStart"/>
            <w:r w:rsidRPr="00167DB0">
              <w:rPr>
                <w:rFonts w:ascii="Verdana" w:hAnsi="Verdana"/>
                <w:sz w:val="18"/>
                <w:szCs w:val="18"/>
              </w:rPr>
              <w:t>achtervangfaciliteit</w:t>
            </w:r>
            <w:proofErr w:type="spellEnd"/>
            <w:r w:rsidRPr="00167DB0">
              <w:rPr>
                <w:rFonts w:ascii="Verdana" w:hAnsi="Verdana"/>
                <w:sz w:val="18"/>
                <w:szCs w:val="18"/>
              </w:rPr>
              <w:t xml:space="preserve"> worden genomen.</w:t>
            </w:r>
          </w:p>
        </w:tc>
      </w:tr>
      <w:tr w:rsidR="00FC3A3C" w:rsidTr="004D20CF">
        <w:tc>
          <w:tcPr>
            <w:tcW w:w="3544" w:type="dxa"/>
          </w:tcPr>
          <w:p w:rsidRPr="00167DB0" w:rsidR="00FC3A3C" w:rsidP="004D20CF" w:rsidRDefault="00FC3A3C">
            <w:pPr>
              <w:spacing w:line="276" w:lineRule="auto"/>
              <w:rPr>
                <w:rFonts w:ascii="Verdana" w:hAnsi="Verdana"/>
                <w:sz w:val="18"/>
                <w:szCs w:val="18"/>
              </w:rPr>
            </w:pPr>
            <w:r w:rsidRPr="00167DB0">
              <w:rPr>
                <w:rFonts w:ascii="Verdana" w:hAnsi="Verdana"/>
                <w:sz w:val="18"/>
                <w:szCs w:val="18"/>
              </w:rPr>
              <w:t xml:space="preserve">Overeenkomst met de Single </w:t>
            </w:r>
            <w:proofErr w:type="spellStart"/>
            <w:r w:rsidRPr="00167DB0">
              <w:rPr>
                <w:rFonts w:ascii="Verdana" w:hAnsi="Verdana"/>
                <w:sz w:val="18"/>
                <w:szCs w:val="18"/>
              </w:rPr>
              <w:t>Resolution</w:t>
            </w:r>
            <w:proofErr w:type="spellEnd"/>
            <w:r w:rsidRPr="00167DB0">
              <w:rPr>
                <w:rFonts w:ascii="Verdana" w:hAnsi="Verdana"/>
                <w:sz w:val="18"/>
                <w:szCs w:val="18"/>
              </w:rPr>
              <w:t xml:space="preserve"> Board (SRB) over de gedetailleerde financi</w:t>
            </w:r>
            <w:r w:rsidRPr="00167DB0">
              <w:rPr>
                <w:rFonts w:ascii="Verdana" w:hAnsi="Verdana" w:cs="Calibri"/>
                <w:sz w:val="18"/>
                <w:szCs w:val="18"/>
              </w:rPr>
              <w:t>ë</w:t>
            </w:r>
            <w:r w:rsidRPr="00167DB0">
              <w:rPr>
                <w:rFonts w:ascii="Verdana" w:hAnsi="Verdana"/>
                <w:sz w:val="18"/>
                <w:szCs w:val="18"/>
              </w:rPr>
              <w:t>le en andere</w:t>
            </w:r>
            <w:r>
              <w:rPr>
                <w:rFonts w:ascii="Verdana" w:hAnsi="Verdana"/>
                <w:sz w:val="18"/>
                <w:szCs w:val="18"/>
              </w:rPr>
              <w:t xml:space="preserve"> </w:t>
            </w:r>
            <w:r w:rsidRPr="00167DB0">
              <w:rPr>
                <w:rFonts w:ascii="Verdana" w:hAnsi="Verdana"/>
                <w:sz w:val="18"/>
                <w:szCs w:val="18"/>
              </w:rPr>
              <w:t>voorwaarden</w:t>
            </w:r>
          </w:p>
        </w:tc>
        <w:tc>
          <w:tcPr>
            <w:tcW w:w="5528" w:type="dxa"/>
          </w:tcPr>
          <w:p w:rsidRPr="00167DB0" w:rsidR="00FC3A3C" w:rsidP="004D20CF" w:rsidRDefault="00FC3A3C">
            <w:pPr>
              <w:spacing w:line="276" w:lineRule="auto"/>
              <w:rPr>
                <w:rFonts w:ascii="Verdana" w:hAnsi="Verdana"/>
                <w:sz w:val="18"/>
                <w:szCs w:val="18"/>
              </w:rPr>
            </w:pPr>
            <w:r w:rsidRPr="00167DB0">
              <w:rPr>
                <w:rFonts w:ascii="Verdana" w:hAnsi="Verdana"/>
                <w:sz w:val="18"/>
                <w:szCs w:val="18"/>
              </w:rPr>
              <w:t xml:space="preserve">Raamwerkcontract tussen SRB en ESM, op basis waarvan SRB een lening van de gemeenschappelijke </w:t>
            </w:r>
            <w:proofErr w:type="spellStart"/>
            <w:r w:rsidRPr="00167DB0">
              <w:rPr>
                <w:rFonts w:ascii="Verdana" w:hAnsi="Verdana"/>
                <w:sz w:val="18"/>
                <w:szCs w:val="18"/>
              </w:rPr>
              <w:t>achtervang</w:t>
            </w:r>
            <w:proofErr w:type="spellEnd"/>
            <w:r w:rsidRPr="00167DB0">
              <w:rPr>
                <w:rFonts w:ascii="Verdana" w:hAnsi="Verdana"/>
                <w:sz w:val="18"/>
                <w:szCs w:val="18"/>
              </w:rPr>
              <w:t xml:space="preserve"> kan aanvragen. Juridische grondslag in het nieuwe art</w:t>
            </w:r>
            <w:r>
              <w:rPr>
                <w:rFonts w:ascii="Verdana" w:hAnsi="Verdana"/>
                <w:sz w:val="18"/>
                <w:szCs w:val="18"/>
              </w:rPr>
              <w:t>ikel</w:t>
            </w:r>
            <w:r w:rsidRPr="00167DB0">
              <w:rPr>
                <w:rFonts w:ascii="Verdana" w:hAnsi="Verdana"/>
                <w:sz w:val="18"/>
                <w:szCs w:val="18"/>
              </w:rPr>
              <w:t xml:space="preserve"> 18A.3 van het aangepaste ESM-verdrag.</w:t>
            </w:r>
          </w:p>
        </w:tc>
      </w:tr>
      <w:tr w:rsidR="00FC3A3C" w:rsidTr="004D20CF">
        <w:tc>
          <w:tcPr>
            <w:tcW w:w="3544" w:type="dxa"/>
          </w:tcPr>
          <w:p w:rsidRPr="00167DB0" w:rsidR="00FC3A3C" w:rsidP="004D20CF" w:rsidRDefault="00FC3A3C">
            <w:pPr>
              <w:spacing w:line="276" w:lineRule="auto"/>
              <w:rPr>
                <w:rFonts w:ascii="Verdana" w:hAnsi="Verdana"/>
                <w:sz w:val="18"/>
                <w:szCs w:val="18"/>
              </w:rPr>
            </w:pPr>
            <w:r w:rsidRPr="00167DB0">
              <w:rPr>
                <w:rFonts w:ascii="Verdana" w:hAnsi="Verdana"/>
                <w:sz w:val="18"/>
                <w:szCs w:val="18"/>
              </w:rPr>
              <w:t xml:space="preserve">Memorandum van samenwerking met de Europese Commissie </w:t>
            </w:r>
          </w:p>
        </w:tc>
        <w:tc>
          <w:tcPr>
            <w:tcW w:w="5528" w:type="dxa"/>
          </w:tcPr>
          <w:p w:rsidRPr="00167DB0" w:rsidR="00FC3A3C" w:rsidP="004D20CF" w:rsidRDefault="00FC3A3C">
            <w:pPr>
              <w:spacing w:line="276" w:lineRule="auto"/>
              <w:rPr>
                <w:rFonts w:ascii="Verdana" w:hAnsi="Verdana"/>
                <w:sz w:val="18"/>
                <w:szCs w:val="18"/>
              </w:rPr>
            </w:pPr>
            <w:r w:rsidRPr="00167DB0">
              <w:rPr>
                <w:rFonts w:ascii="Verdana" w:hAnsi="Verdana"/>
                <w:sz w:val="18"/>
                <w:szCs w:val="18"/>
              </w:rPr>
              <w:t xml:space="preserve">Het betreft het verankeren van de afspraken over samenwerking tussen </w:t>
            </w:r>
            <w:r>
              <w:rPr>
                <w:rFonts w:ascii="Verdana" w:hAnsi="Verdana"/>
                <w:sz w:val="18"/>
                <w:szCs w:val="18"/>
              </w:rPr>
              <w:t xml:space="preserve">de Europese </w:t>
            </w:r>
            <w:r w:rsidRPr="00167DB0">
              <w:rPr>
                <w:rFonts w:ascii="Verdana" w:hAnsi="Verdana"/>
                <w:sz w:val="18"/>
                <w:szCs w:val="18"/>
              </w:rPr>
              <w:t>Commissie en ESM uit november 2018 (</w:t>
            </w:r>
            <w:r>
              <w:rPr>
                <w:rFonts w:ascii="Verdana" w:hAnsi="Verdana"/>
                <w:sz w:val="18"/>
                <w:szCs w:val="18"/>
              </w:rPr>
              <w:t>“</w:t>
            </w:r>
            <w:r w:rsidRPr="00167DB0">
              <w:rPr>
                <w:rFonts w:ascii="Verdana" w:hAnsi="Verdana"/>
                <w:i/>
                <w:sz w:val="18"/>
                <w:szCs w:val="18"/>
              </w:rPr>
              <w:t xml:space="preserve">joint </w:t>
            </w:r>
            <w:proofErr w:type="spellStart"/>
            <w:r w:rsidRPr="00167DB0">
              <w:rPr>
                <w:rFonts w:ascii="Verdana" w:hAnsi="Verdana"/>
                <w:i/>
                <w:sz w:val="18"/>
                <w:szCs w:val="18"/>
              </w:rPr>
              <w:t>position</w:t>
            </w:r>
            <w:proofErr w:type="spellEnd"/>
            <w:r>
              <w:rPr>
                <w:rFonts w:ascii="Verdana" w:hAnsi="Verdana"/>
                <w:i/>
                <w:sz w:val="18"/>
                <w:szCs w:val="18"/>
              </w:rPr>
              <w:t>”</w:t>
            </w:r>
            <w:r w:rsidRPr="00167DB0">
              <w:rPr>
                <w:rStyle w:val="Voetnootmarkering"/>
                <w:rFonts w:ascii="Verdana" w:hAnsi="Verdana"/>
                <w:sz w:val="18"/>
                <w:szCs w:val="18"/>
              </w:rPr>
              <w:footnoteReference w:id="1"/>
            </w:r>
            <w:r w:rsidRPr="00167DB0">
              <w:rPr>
                <w:rFonts w:ascii="Verdana" w:hAnsi="Verdana"/>
                <w:sz w:val="18"/>
                <w:szCs w:val="18"/>
              </w:rPr>
              <w:t>) in een memorandum van samenwerking. Juridische grondslag in het nieuwe artikel 13.8 van het aangepaste ESM-verdrag.</w:t>
            </w:r>
          </w:p>
        </w:tc>
      </w:tr>
      <w:tr w:rsidR="00FC3A3C" w:rsidTr="004D20CF">
        <w:tc>
          <w:tcPr>
            <w:tcW w:w="3544" w:type="dxa"/>
          </w:tcPr>
          <w:p w:rsidR="00FC3A3C" w:rsidP="004D20CF" w:rsidRDefault="00FC3A3C">
            <w:pPr>
              <w:spacing w:line="276" w:lineRule="auto"/>
              <w:rPr>
                <w:rFonts w:ascii="Verdana" w:hAnsi="Verdana"/>
                <w:b/>
                <w:sz w:val="18"/>
                <w:szCs w:val="18"/>
              </w:rPr>
            </w:pPr>
            <w:r w:rsidRPr="00FC3A3C">
              <w:rPr>
                <w:rFonts w:ascii="Verdana" w:hAnsi="Verdana"/>
                <w:b/>
                <w:sz w:val="18"/>
                <w:szCs w:val="18"/>
              </w:rPr>
              <w:lastRenderedPageBreak/>
              <w:t>Betreft</w:t>
            </w:r>
          </w:p>
          <w:p w:rsidRPr="00FC3A3C" w:rsidR="00FC3A3C" w:rsidP="004D20CF" w:rsidRDefault="00FC3A3C">
            <w:pPr>
              <w:spacing w:line="276" w:lineRule="auto"/>
              <w:rPr>
                <w:rFonts w:ascii="Verdana" w:hAnsi="Verdana"/>
                <w:b/>
                <w:sz w:val="18"/>
                <w:szCs w:val="18"/>
              </w:rPr>
            </w:pPr>
          </w:p>
        </w:tc>
        <w:tc>
          <w:tcPr>
            <w:tcW w:w="5528" w:type="dxa"/>
          </w:tcPr>
          <w:p w:rsidRPr="00167DB0" w:rsidR="00FC3A3C" w:rsidP="004D20CF" w:rsidRDefault="00FC3A3C">
            <w:pPr>
              <w:spacing w:line="276" w:lineRule="auto"/>
              <w:rPr>
                <w:rFonts w:ascii="Verdana" w:hAnsi="Verdana"/>
                <w:sz w:val="18"/>
                <w:szCs w:val="18"/>
              </w:rPr>
            </w:pPr>
            <w:r w:rsidRPr="00B34712">
              <w:rPr>
                <w:rFonts w:ascii="Verdana" w:hAnsi="Verdana"/>
                <w:b/>
                <w:sz w:val="18"/>
                <w:szCs w:val="18"/>
              </w:rPr>
              <w:t>Beknopte beschrijving</w:t>
            </w:r>
          </w:p>
        </w:tc>
      </w:tr>
      <w:tr w:rsidR="00FC3A3C" w:rsidTr="004D20CF">
        <w:tc>
          <w:tcPr>
            <w:tcW w:w="3544" w:type="dxa"/>
          </w:tcPr>
          <w:p w:rsidRPr="00167DB0" w:rsidR="00FC3A3C" w:rsidP="004D20CF" w:rsidRDefault="00FC3A3C">
            <w:pPr>
              <w:spacing w:line="276" w:lineRule="auto"/>
              <w:rPr>
                <w:rFonts w:ascii="Verdana" w:hAnsi="Verdana"/>
                <w:sz w:val="18"/>
                <w:szCs w:val="18"/>
              </w:rPr>
            </w:pPr>
            <w:r w:rsidRPr="00167DB0">
              <w:rPr>
                <w:rFonts w:ascii="Verdana" w:hAnsi="Verdana"/>
                <w:sz w:val="18"/>
                <w:szCs w:val="18"/>
              </w:rPr>
              <w:t>Gedetailleerde juridische voorwaarden (</w:t>
            </w:r>
            <w:proofErr w:type="spellStart"/>
            <w:r w:rsidRPr="00167DB0">
              <w:rPr>
                <w:rFonts w:ascii="Verdana" w:hAnsi="Verdana"/>
                <w:sz w:val="18"/>
                <w:szCs w:val="18"/>
              </w:rPr>
              <w:t>CAC’s</w:t>
            </w:r>
            <w:proofErr w:type="spellEnd"/>
            <w:r w:rsidRPr="00167DB0">
              <w:rPr>
                <w:rFonts w:ascii="Verdana" w:hAnsi="Verdana"/>
                <w:sz w:val="18"/>
                <w:szCs w:val="18"/>
              </w:rPr>
              <w:t>)</w:t>
            </w:r>
          </w:p>
        </w:tc>
        <w:tc>
          <w:tcPr>
            <w:tcW w:w="5528" w:type="dxa"/>
          </w:tcPr>
          <w:p w:rsidRPr="00167DB0" w:rsidR="00FC3A3C" w:rsidP="004D20CF" w:rsidRDefault="00FC3A3C">
            <w:pPr>
              <w:spacing w:line="276" w:lineRule="auto"/>
              <w:rPr>
                <w:rFonts w:ascii="Verdana" w:hAnsi="Verdana"/>
                <w:sz w:val="18"/>
                <w:szCs w:val="18"/>
              </w:rPr>
            </w:pPr>
            <w:r w:rsidRPr="00167DB0">
              <w:rPr>
                <w:rFonts w:ascii="Verdana" w:hAnsi="Verdana"/>
                <w:sz w:val="18"/>
                <w:szCs w:val="18"/>
              </w:rPr>
              <w:t xml:space="preserve">De gedetailleerde juridische voorwaarden van de collectieve action </w:t>
            </w:r>
            <w:proofErr w:type="spellStart"/>
            <w:r w:rsidRPr="00167DB0">
              <w:rPr>
                <w:rFonts w:ascii="Verdana" w:hAnsi="Verdana"/>
                <w:sz w:val="18"/>
                <w:szCs w:val="18"/>
              </w:rPr>
              <w:t>clauses</w:t>
            </w:r>
            <w:proofErr w:type="spellEnd"/>
            <w:r w:rsidRPr="00167DB0">
              <w:rPr>
                <w:rFonts w:ascii="Verdana" w:hAnsi="Verdana"/>
                <w:sz w:val="18"/>
                <w:szCs w:val="18"/>
              </w:rPr>
              <w:t xml:space="preserve"> (</w:t>
            </w:r>
            <w:proofErr w:type="spellStart"/>
            <w:r w:rsidRPr="00167DB0">
              <w:rPr>
                <w:rFonts w:ascii="Verdana" w:hAnsi="Verdana"/>
                <w:sz w:val="18"/>
                <w:szCs w:val="18"/>
              </w:rPr>
              <w:t>CAC’s</w:t>
            </w:r>
            <w:proofErr w:type="spellEnd"/>
            <w:r w:rsidRPr="00167DB0">
              <w:rPr>
                <w:rFonts w:ascii="Verdana" w:hAnsi="Verdana"/>
                <w:sz w:val="18"/>
                <w:szCs w:val="18"/>
              </w:rPr>
              <w:t xml:space="preserve">) met </w:t>
            </w:r>
            <w:proofErr w:type="spellStart"/>
            <w:r w:rsidRPr="00167DB0">
              <w:rPr>
                <w:rFonts w:ascii="Verdana" w:hAnsi="Verdana"/>
                <w:sz w:val="18"/>
                <w:szCs w:val="18"/>
              </w:rPr>
              <w:t>eentrapsaggregatie</w:t>
            </w:r>
            <w:proofErr w:type="spellEnd"/>
            <w:r w:rsidRPr="00167DB0">
              <w:rPr>
                <w:rFonts w:ascii="Verdana" w:hAnsi="Verdana"/>
                <w:sz w:val="18"/>
                <w:szCs w:val="18"/>
              </w:rPr>
              <w:t xml:space="preserve"> (“single </w:t>
            </w:r>
            <w:proofErr w:type="spellStart"/>
            <w:r w:rsidRPr="00167DB0">
              <w:rPr>
                <w:rFonts w:ascii="Verdana" w:hAnsi="Verdana"/>
                <w:sz w:val="18"/>
                <w:szCs w:val="18"/>
              </w:rPr>
              <w:t>limb</w:t>
            </w:r>
            <w:proofErr w:type="spellEnd"/>
            <w:r w:rsidRPr="00167DB0">
              <w:rPr>
                <w:rFonts w:ascii="Verdana" w:hAnsi="Verdana"/>
                <w:sz w:val="18"/>
                <w:szCs w:val="18"/>
              </w:rPr>
              <w:t xml:space="preserve"> </w:t>
            </w:r>
            <w:proofErr w:type="spellStart"/>
            <w:r w:rsidRPr="00167DB0">
              <w:rPr>
                <w:rFonts w:ascii="Verdana" w:hAnsi="Verdana"/>
                <w:sz w:val="18"/>
                <w:szCs w:val="18"/>
              </w:rPr>
              <w:t>aggregation</w:t>
            </w:r>
            <w:proofErr w:type="spellEnd"/>
            <w:r w:rsidRPr="00167DB0">
              <w:rPr>
                <w:rFonts w:ascii="Verdana" w:hAnsi="Verdana"/>
                <w:sz w:val="18"/>
                <w:szCs w:val="18"/>
              </w:rPr>
              <w:t>”) die worden vastgesteld door het Economisch en Financieel Comité (EFC). In overweging nr. 11 en artikel 12.3 van het aangepaste verdrag wordt hiervoor een juridische grondslag gecreë</w:t>
            </w:r>
            <w:r w:rsidRPr="00167DB0">
              <w:rPr>
                <w:rFonts w:ascii="Verdana" w:hAnsi="Verdana" w:cs="Calibri"/>
                <w:sz w:val="18"/>
                <w:szCs w:val="18"/>
              </w:rPr>
              <w:t>e</w:t>
            </w:r>
            <w:r w:rsidRPr="00167DB0">
              <w:rPr>
                <w:rFonts w:ascii="Verdana" w:hAnsi="Verdana"/>
                <w:sz w:val="18"/>
                <w:szCs w:val="18"/>
              </w:rPr>
              <w:t xml:space="preserve">rd. In de Eurogroep zal nog worden gesproken </w:t>
            </w:r>
            <w:r>
              <w:rPr>
                <w:rFonts w:ascii="Verdana" w:hAnsi="Verdana"/>
                <w:sz w:val="18"/>
                <w:szCs w:val="18"/>
              </w:rPr>
              <w:t xml:space="preserve">of </w:t>
            </w:r>
            <w:r w:rsidRPr="00167DB0">
              <w:rPr>
                <w:rFonts w:ascii="Verdana" w:hAnsi="Verdana"/>
                <w:sz w:val="18"/>
                <w:szCs w:val="18"/>
              </w:rPr>
              <w:t xml:space="preserve">deze </w:t>
            </w:r>
            <w:r>
              <w:rPr>
                <w:rFonts w:ascii="Verdana" w:hAnsi="Verdana"/>
                <w:sz w:val="18"/>
                <w:szCs w:val="18"/>
              </w:rPr>
              <w:t xml:space="preserve">gedetailleerde voorwaarden </w:t>
            </w:r>
            <w:r w:rsidRPr="00167DB0">
              <w:rPr>
                <w:rFonts w:ascii="Verdana" w:hAnsi="Verdana"/>
                <w:sz w:val="18"/>
                <w:szCs w:val="18"/>
              </w:rPr>
              <w:t xml:space="preserve">eventueel </w:t>
            </w:r>
            <w:r>
              <w:rPr>
                <w:rFonts w:ascii="Verdana" w:hAnsi="Verdana"/>
                <w:sz w:val="18"/>
                <w:szCs w:val="18"/>
              </w:rPr>
              <w:t xml:space="preserve">als annex </w:t>
            </w:r>
            <w:r w:rsidRPr="00167DB0">
              <w:rPr>
                <w:rFonts w:ascii="Verdana" w:hAnsi="Verdana"/>
                <w:sz w:val="18"/>
                <w:szCs w:val="18"/>
              </w:rPr>
              <w:t xml:space="preserve">aan het verdrag </w:t>
            </w:r>
            <w:r>
              <w:rPr>
                <w:rFonts w:ascii="Verdana" w:hAnsi="Verdana"/>
                <w:sz w:val="18"/>
                <w:szCs w:val="18"/>
              </w:rPr>
              <w:t xml:space="preserve">worden toegevoegd </w:t>
            </w:r>
            <w:r w:rsidRPr="00167DB0">
              <w:rPr>
                <w:rFonts w:ascii="Verdana" w:hAnsi="Verdana"/>
                <w:sz w:val="18"/>
                <w:szCs w:val="18"/>
              </w:rPr>
              <w:t xml:space="preserve">(zie hoofdtekst van de brief). </w:t>
            </w:r>
          </w:p>
        </w:tc>
      </w:tr>
      <w:tr w:rsidR="00FC3A3C" w:rsidTr="004D20CF">
        <w:tc>
          <w:tcPr>
            <w:tcW w:w="3544" w:type="dxa"/>
          </w:tcPr>
          <w:p w:rsidRPr="001B5B4E" w:rsidR="00FC3A3C" w:rsidP="004D20CF" w:rsidRDefault="00FC3A3C">
            <w:pPr>
              <w:spacing w:line="276" w:lineRule="auto"/>
              <w:rPr>
                <w:rFonts w:ascii="Verdana" w:hAnsi="Verdana"/>
                <w:sz w:val="18"/>
                <w:szCs w:val="18"/>
              </w:rPr>
            </w:pPr>
            <w:r w:rsidRPr="001B5B4E">
              <w:rPr>
                <w:rFonts w:ascii="Verdana" w:hAnsi="Verdana"/>
                <w:sz w:val="18"/>
                <w:szCs w:val="18"/>
              </w:rPr>
              <w:t>Methodologisc</w:t>
            </w:r>
            <w:r>
              <w:rPr>
                <w:rFonts w:ascii="Verdana" w:hAnsi="Verdana"/>
                <w:sz w:val="18"/>
                <w:szCs w:val="18"/>
              </w:rPr>
              <w:t>h docu</w:t>
            </w:r>
            <w:r w:rsidRPr="001B5B4E">
              <w:rPr>
                <w:rFonts w:ascii="Verdana" w:hAnsi="Verdana"/>
                <w:sz w:val="18"/>
                <w:szCs w:val="18"/>
              </w:rPr>
              <w:t xml:space="preserve">ment over schuldhoudbaarheidsanalyse en </w:t>
            </w:r>
            <w:proofErr w:type="spellStart"/>
            <w:r w:rsidRPr="001B5B4E">
              <w:rPr>
                <w:rFonts w:ascii="Verdana" w:hAnsi="Verdana"/>
                <w:sz w:val="18"/>
                <w:szCs w:val="18"/>
              </w:rPr>
              <w:t>teurgbetaalcapaciteit</w:t>
            </w:r>
            <w:proofErr w:type="spellEnd"/>
          </w:p>
        </w:tc>
        <w:tc>
          <w:tcPr>
            <w:tcW w:w="5528" w:type="dxa"/>
          </w:tcPr>
          <w:p w:rsidRPr="001B5B4E" w:rsidR="00FC3A3C" w:rsidP="004D20CF" w:rsidRDefault="00FC3A3C">
            <w:pPr>
              <w:spacing w:line="276" w:lineRule="auto"/>
              <w:rPr>
                <w:rFonts w:ascii="Verdana" w:hAnsi="Verdana"/>
                <w:sz w:val="18"/>
                <w:szCs w:val="18"/>
              </w:rPr>
            </w:pPr>
            <w:r w:rsidRPr="001B5B4E">
              <w:rPr>
                <w:rFonts w:ascii="Verdana" w:hAnsi="Verdana"/>
                <w:sz w:val="18"/>
                <w:szCs w:val="18"/>
              </w:rPr>
              <w:t xml:space="preserve">Dit document schetst de manier waarop </w:t>
            </w:r>
            <w:r>
              <w:rPr>
                <w:rFonts w:ascii="Verdana" w:hAnsi="Verdana"/>
                <w:sz w:val="18"/>
                <w:szCs w:val="18"/>
              </w:rPr>
              <w:t xml:space="preserve">de Europese </w:t>
            </w:r>
            <w:r w:rsidRPr="001B5B4E">
              <w:rPr>
                <w:rFonts w:ascii="Verdana" w:hAnsi="Verdana"/>
                <w:sz w:val="18"/>
                <w:szCs w:val="18"/>
              </w:rPr>
              <w:t xml:space="preserve">Commissie en het ESM de schuldhoudbaarheidsanalyse en de analyse van de terugbetaalcapaciteit uitvoeren. </w:t>
            </w:r>
            <w:r>
              <w:rPr>
                <w:rFonts w:ascii="Verdana" w:hAnsi="Verdana"/>
                <w:sz w:val="18"/>
                <w:szCs w:val="18"/>
              </w:rPr>
              <w:t xml:space="preserve">Hiermee wordt invulling gegeven aan de nieuwe verdragstekst in artikel 13.1(b) die stelt dat het onderzoek of de schuld houdbaar is en of stabiliteitssteun kan worden terugbetaald op transparante en voorspelbare wijze wordt uitgevoerd. </w:t>
            </w:r>
          </w:p>
        </w:tc>
      </w:tr>
    </w:tbl>
    <w:p w:rsidRPr="008136D5" w:rsidR="00FC3A3C" w:rsidP="00FC3A3C" w:rsidRDefault="00FC3A3C">
      <w:pPr>
        <w:spacing w:line="276" w:lineRule="auto"/>
        <w:rPr>
          <w:rFonts w:ascii="Verdana" w:hAnsi="Verdana"/>
          <w:sz w:val="18"/>
          <w:szCs w:val="18"/>
        </w:rPr>
      </w:pPr>
    </w:p>
    <w:p w:rsidR="00B06701" w:rsidRDefault="00B06701"/>
    <w:sectPr w:rsidR="00B0670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A3C" w:rsidRDefault="00FC3A3C" w:rsidP="00FC3A3C">
      <w:r>
        <w:separator/>
      </w:r>
    </w:p>
  </w:endnote>
  <w:endnote w:type="continuationSeparator" w:id="0">
    <w:p w:rsidR="00FC3A3C" w:rsidRDefault="00FC3A3C" w:rsidP="00FC3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A3C" w:rsidRDefault="00FC3A3C" w:rsidP="00FC3A3C">
      <w:r>
        <w:separator/>
      </w:r>
    </w:p>
  </w:footnote>
  <w:footnote w:type="continuationSeparator" w:id="0">
    <w:p w:rsidR="00FC3A3C" w:rsidRDefault="00FC3A3C" w:rsidP="00FC3A3C">
      <w:r>
        <w:continuationSeparator/>
      </w:r>
    </w:p>
  </w:footnote>
  <w:footnote w:id="1">
    <w:p w:rsidR="00FC3A3C" w:rsidRPr="00B157B7" w:rsidRDefault="00FC3A3C" w:rsidP="00FC3A3C">
      <w:pPr>
        <w:pStyle w:val="Voetnoottekst"/>
        <w:rPr>
          <w:lang w:val="fr-FR"/>
        </w:rPr>
      </w:pPr>
      <w:r>
        <w:rPr>
          <w:rStyle w:val="Voetnootmarkering"/>
        </w:rPr>
        <w:footnoteRef/>
      </w:r>
      <w:r w:rsidRPr="00B157B7">
        <w:rPr>
          <w:lang w:val="fr-FR"/>
        </w:rPr>
        <w:t xml:space="preserve"> </w:t>
      </w:r>
      <w:r>
        <w:rPr>
          <w:lang w:val="fr-FR"/>
        </w:rPr>
        <w:t>De joint position</w:t>
      </w:r>
      <w:r w:rsidRPr="00B157B7">
        <w:rPr>
          <w:lang w:val="fr-FR"/>
        </w:rPr>
        <w:t xml:space="preserve">: </w:t>
      </w:r>
      <w:hyperlink r:id="rId1" w:history="1">
        <w:r w:rsidRPr="00B157B7">
          <w:rPr>
            <w:rStyle w:val="Hyperlink"/>
            <w:lang w:val="fr-FR"/>
          </w:rPr>
          <w:t>https://www.consilium.europa.eu/media/37324/20181203-eg-1b-20181115-esm-ec-cooperation.pdf</w:t>
        </w:r>
      </w:hyperlink>
    </w:p>
    <w:p w:rsidR="00FC3A3C" w:rsidRPr="00B157B7" w:rsidRDefault="00FC3A3C" w:rsidP="00FC3A3C">
      <w:pPr>
        <w:pStyle w:val="Voetnoottekst"/>
        <w:rPr>
          <w:lang w:val="fr-F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A3C"/>
    <w:rsid w:val="000072E3"/>
    <w:rsid w:val="001E6A24"/>
    <w:rsid w:val="005C7278"/>
    <w:rsid w:val="00791D8D"/>
    <w:rsid w:val="00B06701"/>
    <w:rsid w:val="00FC3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2E90CA-1636-42E3-B1C5-496F2E98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C3A3C"/>
    <w:pPr>
      <w:spacing w:after="0" w:line="240" w:lineRule="auto"/>
    </w:pPr>
    <w:rPr>
      <w:rFonts w:asciiTheme="minorHAnsi" w:eastAsiaTheme="minorEastAsia" w:hAnsiTheme="minorHAnsi"/>
      <w:sz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FC3A3C"/>
    <w:rPr>
      <w:sz w:val="20"/>
      <w:szCs w:val="20"/>
    </w:rPr>
  </w:style>
  <w:style w:type="character" w:customStyle="1" w:styleId="VoetnoottekstChar">
    <w:name w:val="Voetnoottekst Char"/>
    <w:basedOn w:val="Standaardalinea-lettertype"/>
    <w:link w:val="Voetnoottekst"/>
    <w:uiPriority w:val="99"/>
    <w:semiHidden/>
    <w:rsid w:val="00FC3A3C"/>
    <w:rPr>
      <w:rFonts w:asciiTheme="minorHAnsi" w:eastAsiaTheme="minorEastAsia" w:hAnsiTheme="minorHAnsi"/>
      <w:sz w:val="20"/>
      <w:szCs w:val="20"/>
      <w:lang w:val="nl-NL" w:eastAsia="nl-NL"/>
    </w:rPr>
  </w:style>
  <w:style w:type="character" w:styleId="Voetnootmarkering">
    <w:name w:val="footnote reference"/>
    <w:basedOn w:val="Standaardalinea-lettertype"/>
    <w:uiPriority w:val="99"/>
    <w:semiHidden/>
    <w:unhideWhenUsed/>
    <w:rsid w:val="00FC3A3C"/>
    <w:rPr>
      <w:vertAlign w:val="superscript"/>
    </w:rPr>
  </w:style>
  <w:style w:type="character" w:styleId="Hyperlink">
    <w:name w:val="Hyperlink"/>
    <w:basedOn w:val="Standaardalinea-lettertype"/>
    <w:uiPriority w:val="99"/>
    <w:unhideWhenUsed/>
    <w:rsid w:val="00FC3A3C"/>
    <w:rPr>
      <w:color w:val="0563C1" w:themeColor="hyperlink"/>
      <w:u w:val="single"/>
    </w:rPr>
  </w:style>
  <w:style w:type="table" w:styleId="Tabelraster">
    <w:name w:val="Table Grid"/>
    <w:basedOn w:val="Standaardtabel"/>
    <w:uiPriority w:val="59"/>
    <w:rsid w:val="00FC3A3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media/37324/20181203-eg-1b-20181115-esm-ec-cooperation.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601</ap:Words>
  <ap:Characters>3310</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2019-11-25T16:08:00.0000000Z</dcterms:created>
  <dcterms:modified xsi:type="dcterms:W3CDTF">2019-11-25T16:08:00.0000000Z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0x010100D179241D25A1DE4C83150B757BB16DC5</vt:lpwstr>
  </property>
</Properties>
</file>