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27662" w:rsidR="00AE78A6" w:rsidP="00F07579" w:rsidRDefault="00F07579" w14:paraId="3477C34F" w14:textId="3ECA0441">
      <w:pPr>
        <w:spacing w:after="0"/>
        <w:rPr>
          <w:b/>
          <w:bCs/>
          <w:lang w:val="nl-NL"/>
        </w:rPr>
      </w:pPr>
      <w:r w:rsidRPr="00B27662">
        <w:rPr>
          <w:b/>
          <w:bCs/>
          <w:lang w:val="nl-NL"/>
        </w:rPr>
        <w:t>Veiligheid van implantaten; een gecalculeerd risico</w:t>
      </w:r>
      <w:r w:rsidRPr="00B27662" w:rsidR="00B27662">
        <w:rPr>
          <w:b/>
          <w:bCs/>
          <w:lang w:val="nl-NL"/>
        </w:rPr>
        <w:t xml:space="preserve"> dat vraagt om gecalculeerd toezicht</w:t>
      </w:r>
    </w:p>
    <w:p w:rsidRPr="00B27662" w:rsidR="00F07579" w:rsidP="00F07579" w:rsidRDefault="00F07579" w14:paraId="718C7315" w14:textId="77777777">
      <w:pPr>
        <w:spacing w:after="0"/>
        <w:rPr>
          <w:b/>
          <w:bCs/>
          <w:lang w:val="nl-NL"/>
        </w:rPr>
      </w:pPr>
      <w:r w:rsidRPr="00B27662">
        <w:rPr>
          <w:b/>
          <w:bCs/>
          <w:lang w:val="nl-NL"/>
        </w:rPr>
        <w:t>Ronald Boumans</w:t>
      </w:r>
    </w:p>
    <w:p w:rsidR="00F07579" w:rsidP="00F07579" w:rsidRDefault="00F07579" w14:paraId="3427CE1D" w14:textId="77777777">
      <w:pPr>
        <w:spacing w:after="0"/>
        <w:rPr>
          <w:lang w:val="nl-NL"/>
        </w:rPr>
      </w:pPr>
    </w:p>
    <w:p w:rsidRPr="00B27662" w:rsidR="003E7E1E" w:rsidP="00F07579" w:rsidRDefault="003E7E1E" w14:paraId="761AEE25" w14:textId="77777777">
      <w:pPr>
        <w:spacing w:after="0"/>
        <w:rPr>
          <w:b/>
          <w:bCs/>
          <w:lang w:val="nl-NL"/>
        </w:rPr>
      </w:pPr>
      <w:r w:rsidRPr="00B27662">
        <w:rPr>
          <w:b/>
          <w:bCs/>
          <w:lang w:val="nl-NL"/>
        </w:rPr>
        <w:t xml:space="preserve">Europese wetgeving en </w:t>
      </w:r>
      <w:proofErr w:type="spellStart"/>
      <w:r w:rsidRPr="00B27662">
        <w:rPr>
          <w:b/>
          <w:bCs/>
          <w:lang w:val="nl-NL"/>
        </w:rPr>
        <w:t>guidance</w:t>
      </w:r>
      <w:proofErr w:type="spellEnd"/>
      <w:r w:rsidRPr="00B27662">
        <w:rPr>
          <w:b/>
          <w:bCs/>
          <w:lang w:val="nl-NL"/>
        </w:rPr>
        <w:t xml:space="preserve"> documenten</w:t>
      </w:r>
    </w:p>
    <w:p w:rsidR="00B341A3" w:rsidP="00B341A3" w:rsidRDefault="00697E8A" w14:paraId="022F09D1" w14:textId="279BD3B7">
      <w:pPr>
        <w:spacing w:after="0"/>
        <w:rPr>
          <w:lang w:val="nl-NL"/>
        </w:rPr>
      </w:pPr>
      <w:r>
        <w:rPr>
          <w:lang w:val="nl-NL"/>
        </w:rPr>
        <w:t xml:space="preserve">De Medical Devices </w:t>
      </w:r>
      <w:proofErr w:type="spellStart"/>
      <w:r>
        <w:rPr>
          <w:lang w:val="nl-NL"/>
        </w:rPr>
        <w:t>Regulation</w:t>
      </w:r>
      <w:proofErr w:type="spellEnd"/>
      <w:r>
        <w:rPr>
          <w:lang w:val="nl-NL"/>
        </w:rPr>
        <w:t xml:space="preserve"> (EU) 2017/745 (MDR) regelt het vrije verkeer van medische hulpmiddelen op de Europese open markt. De M</w:t>
      </w:r>
      <w:r w:rsidR="00D844D7">
        <w:rPr>
          <w:lang w:val="nl-NL"/>
        </w:rPr>
        <w:t>DR</w:t>
      </w:r>
      <w:r>
        <w:rPr>
          <w:lang w:val="nl-NL"/>
        </w:rPr>
        <w:t xml:space="preserve"> </w:t>
      </w:r>
      <w:r w:rsidR="00D844D7">
        <w:rPr>
          <w:lang w:val="nl-NL"/>
        </w:rPr>
        <w:t>is de opvolger van</w:t>
      </w:r>
      <w:r>
        <w:rPr>
          <w:lang w:val="nl-NL"/>
        </w:rPr>
        <w:t xml:space="preserve"> de huidige richtlijn voor medische hulpmiddelen (Medical Devices Directive 93/42/EEC – MDD) en de r</w:t>
      </w:r>
      <w:r w:rsidR="00B341A3">
        <w:rPr>
          <w:lang w:val="nl-NL"/>
        </w:rPr>
        <w:t xml:space="preserve">ichtlijn voor actieve implantaten (Active </w:t>
      </w:r>
      <w:proofErr w:type="spellStart"/>
      <w:r w:rsidR="00B341A3">
        <w:rPr>
          <w:lang w:val="nl-NL"/>
        </w:rPr>
        <w:t>Implantable</w:t>
      </w:r>
      <w:proofErr w:type="spellEnd"/>
      <w:r w:rsidR="00B341A3">
        <w:rPr>
          <w:lang w:val="nl-NL"/>
        </w:rPr>
        <w:t xml:space="preserve"> Medical Devices Directive 90/385/EEC – AIMDD). Voor de MDD en AIMDD zijn </w:t>
      </w:r>
      <w:proofErr w:type="spellStart"/>
      <w:r w:rsidR="00B341A3">
        <w:rPr>
          <w:lang w:val="nl-NL"/>
        </w:rPr>
        <w:t>guidance</w:t>
      </w:r>
      <w:proofErr w:type="spellEnd"/>
      <w:r w:rsidR="00B341A3">
        <w:rPr>
          <w:lang w:val="nl-NL"/>
        </w:rPr>
        <w:t xml:space="preserve"> documenten gemaakt, de </w:t>
      </w:r>
      <w:proofErr w:type="spellStart"/>
      <w:r w:rsidR="00B341A3">
        <w:rPr>
          <w:lang w:val="nl-NL"/>
        </w:rPr>
        <w:t>MEDDEV’s</w:t>
      </w:r>
      <w:proofErr w:type="spellEnd"/>
      <w:r w:rsidR="00B341A3">
        <w:rPr>
          <w:lang w:val="nl-NL"/>
        </w:rPr>
        <w:t xml:space="preserve">. Een MEDDEV heeft geen formele wettelijke kracht, maar wordt in de praktijk wel zo gehanteerd. De </w:t>
      </w:r>
      <w:proofErr w:type="spellStart"/>
      <w:r w:rsidR="00B341A3">
        <w:rPr>
          <w:lang w:val="nl-NL"/>
        </w:rPr>
        <w:t>MEDDEV’s</w:t>
      </w:r>
      <w:proofErr w:type="spellEnd"/>
      <w:r w:rsidR="00B341A3">
        <w:rPr>
          <w:lang w:val="nl-NL"/>
        </w:rPr>
        <w:t xml:space="preserve"> zijn gemaakt door de autoriteiten en vertegenwoordigers van de industrie, onder voorzitterschap van de Europese Commissie. Veel tekst uit de huidige </w:t>
      </w:r>
      <w:proofErr w:type="spellStart"/>
      <w:r w:rsidR="00B341A3">
        <w:rPr>
          <w:lang w:val="nl-NL"/>
        </w:rPr>
        <w:t>MEDDEV’s</w:t>
      </w:r>
      <w:proofErr w:type="spellEnd"/>
      <w:r w:rsidR="00B341A3">
        <w:rPr>
          <w:lang w:val="nl-NL"/>
        </w:rPr>
        <w:t xml:space="preserve"> is in de MDR terecht gekomen, en het was oorspronkelijk dan ook de bedoeling om met het in werking treden van de MDR de </w:t>
      </w:r>
      <w:proofErr w:type="spellStart"/>
      <w:r w:rsidR="00B341A3">
        <w:rPr>
          <w:lang w:val="nl-NL"/>
        </w:rPr>
        <w:t>MEDDEV’s</w:t>
      </w:r>
      <w:proofErr w:type="spellEnd"/>
      <w:r w:rsidR="00B341A3">
        <w:rPr>
          <w:lang w:val="nl-NL"/>
        </w:rPr>
        <w:t xml:space="preserve"> te laten vervallen. De status van </w:t>
      </w:r>
      <w:proofErr w:type="spellStart"/>
      <w:r w:rsidR="00B341A3">
        <w:rPr>
          <w:lang w:val="nl-NL"/>
        </w:rPr>
        <w:t>guidance</w:t>
      </w:r>
      <w:proofErr w:type="spellEnd"/>
      <w:r w:rsidR="00B341A3">
        <w:rPr>
          <w:lang w:val="nl-NL"/>
        </w:rPr>
        <w:t xml:space="preserve"> documenten onder de MDR is daardoor anders dan die van de </w:t>
      </w:r>
      <w:proofErr w:type="spellStart"/>
      <w:r w:rsidR="00B341A3">
        <w:rPr>
          <w:lang w:val="nl-NL"/>
        </w:rPr>
        <w:t>MEDDEV’s</w:t>
      </w:r>
      <w:proofErr w:type="spellEnd"/>
      <w:r w:rsidR="00B341A3">
        <w:rPr>
          <w:lang w:val="nl-NL"/>
        </w:rPr>
        <w:t xml:space="preserve">. De MDR </w:t>
      </w:r>
      <w:proofErr w:type="spellStart"/>
      <w:r w:rsidR="00B341A3">
        <w:rPr>
          <w:lang w:val="nl-NL"/>
        </w:rPr>
        <w:t>guidance</w:t>
      </w:r>
      <w:proofErr w:type="spellEnd"/>
      <w:r w:rsidR="00B341A3">
        <w:rPr>
          <w:lang w:val="nl-NL"/>
        </w:rPr>
        <w:t xml:space="preserve"> documenten </w:t>
      </w:r>
      <w:r w:rsidR="00C31A34">
        <w:rPr>
          <w:lang w:val="nl-NL"/>
        </w:rPr>
        <w:t xml:space="preserve">worden samengesteld door de Medical Devices </w:t>
      </w:r>
      <w:proofErr w:type="spellStart"/>
      <w:r w:rsidR="00C31A34">
        <w:rPr>
          <w:lang w:val="nl-NL"/>
        </w:rPr>
        <w:t>Coordination</w:t>
      </w:r>
      <w:proofErr w:type="spellEnd"/>
      <w:r w:rsidR="00C31A34">
        <w:rPr>
          <w:lang w:val="nl-NL"/>
        </w:rPr>
        <w:t xml:space="preserve"> Group (MDCG), e</w:t>
      </w:r>
      <w:r w:rsidR="00C40316">
        <w:rPr>
          <w:lang w:val="nl-NL"/>
        </w:rPr>
        <w:t>e</w:t>
      </w:r>
      <w:r w:rsidR="00C31A34">
        <w:rPr>
          <w:lang w:val="nl-NL"/>
        </w:rPr>
        <w:t xml:space="preserve">n overleg waarin </w:t>
      </w:r>
      <w:r w:rsidR="00D844D7">
        <w:rPr>
          <w:lang w:val="nl-NL"/>
        </w:rPr>
        <w:t>vertegenwoordigers van de lidstaten zitten.</w:t>
      </w:r>
      <w:r w:rsidR="00E26D29">
        <w:rPr>
          <w:lang w:val="nl-NL"/>
        </w:rPr>
        <w:t xml:space="preserve"> De MDCG </w:t>
      </w:r>
      <w:proofErr w:type="spellStart"/>
      <w:r w:rsidR="00E26D29">
        <w:rPr>
          <w:lang w:val="nl-NL"/>
        </w:rPr>
        <w:t>guidance</w:t>
      </w:r>
      <w:proofErr w:type="spellEnd"/>
      <w:r w:rsidR="00E26D29">
        <w:rPr>
          <w:lang w:val="nl-NL"/>
        </w:rPr>
        <w:t xml:space="preserve"> documenten lijken er vooral voor gemaakt om aan de burger uit te leggen hoe het toezicht zal gaan werken en welke uitleg de autoriteiten aan de </w:t>
      </w:r>
      <w:r w:rsidR="00CE1CA1">
        <w:rPr>
          <w:lang w:val="nl-NL"/>
        </w:rPr>
        <w:t xml:space="preserve">Verordening geven. </w:t>
      </w:r>
      <w:r w:rsidR="00D844D7">
        <w:rPr>
          <w:lang w:val="nl-NL"/>
        </w:rPr>
        <w:t xml:space="preserve"> De inbreng van de industrie in deze documenten is uiterst beperkt. De eerste MDCG </w:t>
      </w:r>
      <w:proofErr w:type="spellStart"/>
      <w:r w:rsidR="00D844D7">
        <w:rPr>
          <w:lang w:val="nl-NL"/>
        </w:rPr>
        <w:t>guidance</w:t>
      </w:r>
      <w:proofErr w:type="spellEnd"/>
      <w:r w:rsidR="00D844D7">
        <w:rPr>
          <w:lang w:val="nl-NL"/>
        </w:rPr>
        <w:t xml:space="preserve"> documenten zijn de afgelopen maanden vrijgegeven. Hun inhoud wordt door de industrie over het algemeen als teleurstellend gezien. Documenten bestaan vooral uit het herhalen van wat al in de MDR staat, </w:t>
      </w:r>
      <w:r w:rsidR="00E444D1">
        <w:rPr>
          <w:lang w:val="nl-NL"/>
        </w:rPr>
        <w:t>onduidelijke punten worden niet a</w:t>
      </w:r>
      <w:r w:rsidR="000E1C08">
        <w:rPr>
          <w:lang w:val="nl-NL"/>
        </w:rPr>
        <w:t>ltijd verduidelijkt en soms</w:t>
      </w:r>
      <w:r w:rsidR="00D844D7">
        <w:rPr>
          <w:lang w:val="nl-NL"/>
        </w:rPr>
        <w:t xml:space="preserve"> wordt nieuwe wetgeving </w:t>
      </w:r>
      <w:r w:rsidR="0070187D">
        <w:rPr>
          <w:lang w:val="nl-NL"/>
        </w:rPr>
        <w:t>gecreëerd door het toe</w:t>
      </w:r>
      <w:r w:rsidR="00206DAF">
        <w:rPr>
          <w:lang w:val="nl-NL"/>
        </w:rPr>
        <w:t>voegen of veranderen van tekst</w:t>
      </w:r>
      <w:r w:rsidR="00D844D7">
        <w:rPr>
          <w:lang w:val="nl-NL"/>
        </w:rPr>
        <w:t xml:space="preserve">. </w:t>
      </w:r>
    </w:p>
    <w:p w:rsidR="003E7E1E" w:rsidP="00F07579" w:rsidRDefault="003E7E1E" w14:paraId="61983A84" w14:textId="77777777">
      <w:pPr>
        <w:spacing w:after="0"/>
        <w:rPr>
          <w:lang w:val="nl-NL"/>
        </w:rPr>
      </w:pPr>
    </w:p>
    <w:p w:rsidRPr="00206DAF" w:rsidR="00C92EF2" w:rsidP="00F07579" w:rsidRDefault="00C92EF2" w14:paraId="2809BE83" w14:textId="77777777">
      <w:pPr>
        <w:spacing w:after="0"/>
        <w:rPr>
          <w:b/>
          <w:bCs/>
          <w:lang w:val="nl-NL"/>
        </w:rPr>
      </w:pPr>
      <w:r w:rsidRPr="00206DAF">
        <w:rPr>
          <w:b/>
          <w:bCs/>
          <w:lang w:val="nl-NL"/>
        </w:rPr>
        <w:t>‘Veilige’ medische hulpmiddelen</w:t>
      </w:r>
    </w:p>
    <w:p w:rsidR="00F07579" w:rsidP="00F07579" w:rsidRDefault="00F07579" w14:paraId="18DE68EE" w14:textId="07C691EF">
      <w:pPr>
        <w:spacing w:after="0"/>
        <w:rPr>
          <w:lang w:val="nl-NL"/>
        </w:rPr>
      </w:pPr>
      <w:r>
        <w:rPr>
          <w:lang w:val="nl-NL"/>
        </w:rPr>
        <w:t xml:space="preserve">Medische hulpmiddelen vormen een bijzondere productcategorie doordat er niet over veilige middelen gesproken wordt, maar over middelen waarvan de risico’s aanvaardbaar zijn in </w:t>
      </w:r>
      <w:r w:rsidR="001D71A0">
        <w:rPr>
          <w:lang w:val="nl-NL"/>
        </w:rPr>
        <w:t>relatie</w:t>
      </w:r>
      <w:r>
        <w:rPr>
          <w:lang w:val="nl-NL"/>
        </w:rPr>
        <w:t xml:space="preserve"> tot de klinische baten. Die aanvaardbaarheid is subject</w:t>
      </w:r>
      <w:r w:rsidR="00C40316">
        <w:rPr>
          <w:lang w:val="nl-NL"/>
        </w:rPr>
        <w:t>ief</w:t>
      </w:r>
      <w:r>
        <w:rPr>
          <w:lang w:val="nl-NL"/>
        </w:rPr>
        <w:t xml:space="preserve"> en </w:t>
      </w:r>
      <w:r w:rsidR="00023709">
        <w:rPr>
          <w:lang w:val="nl-NL"/>
        </w:rPr>
        <w:t>kan</w:t>
      </w:r>
      <w:r>
        <w:rPr>
          <w:lang w:val="nl-NL"/>
        </w:rPr>
        <w:t xml:space="preserve"> door de tijd veranderen.</w:t>
      </w:r>
      <w:r w:rsidR="00C92EF2">
        <w:rPr>
          <w:lang w:val="nl-NL"/>
        </w:rPr>
        <w:t xml:space="preserve"> </w:t>
      </w:r>
    </w:p>
    <w:p w:rsidR="00F07579" w:rsidP="00F07579" w:rsidRDefault="00C92EF2" w14:paraId="276C34ED" w14:textId="210EE2A1">
      <w:pPr>
        <w:spacing w:after="0"/>
        <w:rPr>
          <w:lang w:val="nl-NL"/>
        </w:rPr>
      </w:pPr>
      <w:r>
        <w:rPr>
          <w:lang w:val="nl-NL"/>
        </w:rPr>
        <w:t xml:space="preserve">Het introduceren van een vreemd voorwerp in het lichaam – een implantaat – zal altijd een zeker risico met zich mee brengen. Altijd zal er een risico zijn op infectie, op gevoeligheid </w:t>
      </w:r>
      <w:r w:rsidR="00921A7F">
        <w:rPr>
          <w:lang w:val="nl-NL"/>
        </w:rPr>
        <w:t>voor</w:t>
      </w:r>
      <w:r>
        <w:rPr>
          <w:lang w:val="nl-NL"/>
        </w:rPr>
        <w:t xml:space="preserve"> gebruikte materialen, op een lichamelijke reactie op dat voorwerp enzovoorts. De enige manier om dat risico tot nul te reduceren is door geen implantaten te gebruiken. Ofwel, </w:t>
      </w:r>
      <w:r w:rsidR="00C40316">
        <w:rPr>
          <w:lang w:val="nl-NL"/>
        </w:rPr>
        <w:t xml:space="preserve">als </w:t>
      </w:r>
      <w:r w:rsidR="005238C5">
        <w:rPr>
          <w:lang w:val="nl-NL"/>
        </w:rPr>
        <w:t>maatschappij</w:t>
      </w:r>
      <w:r w:rsidR="00C40316">
        <w:rPr>
          <w:lang w:val="nl-NL"/>
        </w:rPr>
        <w:t xml:space="preserve"> moeten we een zekere risico accepteren als we gebruik willen maken van implantaten. </w:t>
      </w:r>
      <w:r w:rsidR="005238C5">
        <w:rPr>
          <w:lang w:val="nl-NL"/>
        </w:rPr>
        <w:t>Hoe hoog we dat risico willen laten oplopen is uiteraard een politiek</w:t>
      </w:r>
      <w:r w:rsidR="007611C0">
        <w:rPr>
          <w:lang w:val="nl-NL"/>
        </w:rPr>
        <w:t>e afweging</w:t>
      </w:r>
      <w:r w:rsidR="005238C5">
        <w:rPr>
          <w:lang w:val="nl-NL"/>
        </w:rPr>
        <w:t>.</w:t>
      </w:r>
    </w:p>
    <w:p w:rsidR="00602356" w:rsidP="00F07579" w:rsidRDefault="00602356" w14:paraId="7D371FFE" w14:textId="77777777">
      <w:pPr>
        <w:spacing w:after="0"/>
        <w:rPr>
          <w:lang w:val="nl-NL"/>
        </w:rPr>
      </w:pPr>
    </w:p>
    <w:p w:rsidRPr="008A26B5" w:rsidR="00602356" w:rsidP="00F07579" w:rsidRDefault="00602356" w14:paraId="46D34072" w14:textId="77777777">
      <w:pPr>
        <w:spacing w:after="0"/>
        <w:rPr>
          <w:b/>
          <w:bCs/>
          <w:lang w:val="nl-NL"/>
        </w:rPr>
      </w:pPr>
      <w:r w:rsidRPr="008A26B5">
        <w:rPr>
          <w:b/>
          <w:bCs/>
          <w:lang w:val="nl-NL"/>
        </w:rPr>
        <w:t>Implantaten in de pers</w:t>
      </w:r>
    </w:p>
    <w:p w:rsidR="00602356" w:rsidP="00F07579" w:rsidRDefault="00602356" w14:paraId="315C21EB" w14:textId="69D5266B">
      <w:pPr>
        <w:spacing w:after="0"/>
        <w:rPr>
          <w:lang w:val="nl-NL"/>
        </w:rPr>
      </w:pPr>
      <w:r>
        <w:rPr>
          <w:lang w:val="nl-NL"/>
        </w:rPr>
        <w:t xml:space="preserve">Er </w:t>
      </w:r>
      <w:r w:rsidR="00E77443">
        <w:rPr>
          <w:lang w:val="nl-NL"/>
        </w:rPr>
        <w:t>zi</w:t>
      </w:r>
      <w:r w:rsidR="009C3C32">
        <w:rPr>
          <w:lang w:val="nl-NL"/>
        </w:rPr>
        <w:t>j</w:t>
      </w:r>
      <w:r w:rsidR="00E77443">
        <w:rPr>
          <w:lang w:val="nl-NL"/>
        </w:rPr>
        <w:t>n enkele</w:t>
      </w:r>
      <w:r>
        <w:rPr>
          <w:lang w:val="nl-NL"/>
        </w:rPr>
        <w:t xml:space="preserve"> zaken</w:t>
      </w:r>
      <w:r w:rsidR="00E77443">
        <w:rPr>
          <w:lang w:val="nl-NL"/>
        </w:rPr>
        <w:t xml:space="preserve"> rond medische implantaten</w:t>
      </w:r>
      <w:r>
        <w:rPr>
          <w:lang w:val="nl-NL"/>
        </w:rPr>
        <w:t xml:space="preserve"> die al een paar jaar blijven opspelen. Deze </w:t>
      </w:r>
      <w:r w:rsidR="006E5A25">
        <w:rPr>
          <w:lang w:val="nl-NL"/>
        </w:rPr>
        <w:t>kwesties</w:t>
      </w:r>
      <w:r>
        <w:rPr>
          <w:lang w:val="nl-NL"/>
        </w:rPr>
        <w:t xml:space="preserve"> gaan over </w:t>
      </w:r>
      <w:r w:rsidR="006E5A25">
        <w:rPr>
          <w:lang w:val="nl-NL"/>
        </w:rPr>
        <w:t>soms</w:t>
      </w:r>
      <w:r>
        <w:rPr>
          <w:lang w:val="nl-NL"/>
        </w:rPr>
        <w:t xml:space="preserve"> over een reeks van middelen van diverse fabrikanten (b.v. </w:t>
      </w:r>
      <w:r w:rsidR="006E5A25">
        <w:rPr>
          <w:lang w:val="nl-NL"/>
        </w:rPr>
        <w:t>siliconen borstimplantaten</w:t>
      </w:r>
      <w:r>
        <w:rPr>
          <w:lang w:val="nl-NL"/>
        </w:rPr>
        <w:t xml:space="preserve">), en soms gaan ze over een heel specifiek implantaat (b.v. </w:t>
      </w:r>
      <w:proofErr w:type="spellStart"/>
      <w:r w:rsidRPr="00586779">
        <w:rPr>
          <w:lang w:val="nl-NL"/>
        </w:rPr>
        <w:t>Essure</w:t>
      </w:r>
      <w:proofErr w:type="spellEnd"/>
      <w:r w:rsidR="00847F3D">
        <w:rPr>
          <w:lang w:val="nl-NL"/>
        </w:rPr>
        <w:t>, van Bayer</w:t>
      </w:r>
      <w:r>
        <w:rPr>
          <w:lang w:val="nl-NL"/>
        </w:rPr>
        <w:t xml:space="preserve">). Tegenover deze zaken met een hoge aandacht staan de tienduizenden andere implantaten waarvan geen complicaties in de pers verschijnen. De vraag is nu of er een verschil is aan te wijzen tussen die paar steeds terugkerende zaken, en al die andere implantaten. </w:t>
      </w:r>
    </w:p>
    <w:p w:rsidR="00602356" w:rsidP="00F07579" w:rsidRDefault="00602356" w14:paraId="368DF94E" w14:textId="0CFAAE0D">
      <w:pPr>
        <w:spacing w:after="0"/>
        <w:rPr>
          <w:lang w:val="nl-NL"/>
        </w:rPr>
      </w:pPr>
      <w:r>
        <w:rPr>
          <w:lang w:val="nl-NL"/>
        </w:rPr>
        <w:t xml:space="preserve">Het eerste </w:t>
      </w:r>
      <w:r w:rsidR="00693EEE">
        <w:rPr>
          <w:lang w:val="nl-NL"/>
        </w:rPr>
        <w:t>d</w:t>
      </w:r>
      <w:r>
        <w:rPr>
          <w:lang w:val="nl-NL"/>
        </w:rPr>
        <w:t xml:space="preserve">at opvalt is dat die zaken in de aandacht worden gehouden door een paar </w:t>
      </w:r>
      <w:r w:rsidR="00EF3766">
        <w:rPr>
          <w:lang w:val="nl-NL"/>
        </w:rPr>
        <w:t>patiënten</w:t>
      </w:r>
      <w:r>
        <w:rPr>
          <w:lang w:val="nl-NL"/>
        </w:rPr>
        <w:t xml:space="preserve">, of door een vereniging van </w:t>
      </w:r>
      <w:r w:rsidR="00EF3766">
        <w:rPr>
          <w:lang w:val="nl-NL"/>
        </w:rPr>
        <w:t>patiënten</w:t>
      </w:r>
      <w:r>
        <w:rPr>
          <w:lang w:val="nl-NL"/>
        </w:rPr>
        <w:t xml:space="preserve"> die deze specifieke implantaten gebruiken of hebben gebruikt. Het tweede dat opvalt is dat die </w:t>
      </w:r>
      <w:r w:rsidR="007C6B64">
        <w:rPr>
          <w:lang w:val="nl-NL"/>
        </w:rPr>
        <w:t>patiënten</w:t>
      </w:r>
      <w:r>
        <w:rPr>
          <w:lang w:val="nl-NL"/>
        </w:rPr>
        <w:t xml:space="preserve"> stellen, in allerhande bewoordingen, dat ze zich niet gehoord </w:t>
      </w:r>
      <w:r>
        <w:rPr>
          <w:lang w:val="nl-NL"/>
        </w:rPr>
        <w:lastRenderedPageBreak/>
        <w:t>voelen</w:t>
      </w:r>
      <w:r w:rsidR="005624F3">
        <w:rPr>
          <w:lang w:val="nl-NL"/>
        </w:rPr>
        <w:t xml:space="preserve"> over hun klachten</w:t>
      </w:r>
      <w:r>
        <w:rPr>
          <w:lang w:val="nl-NL"/>
        </w:rPr>
        <w:t>.</w:t>
      </w:r>
      <w:r w:rsidR="005624F3">
        <w:rPr>
          <w:lang w:val="nl-NL"/>
        </w:rPr>
        <w:t xml:space="preserve"> Het lijkt er dus op dat in enkele zaken gebruikers nadelige effecten hebben ervaren, daarover aan de bel hebben getrokken en vervolgens zagen dat de implantaten gewoon op de markt bleven.</w:t>
      </w:r>
      <w:r w:rsidR="008A58CB">
        <w:rPr>
          <w:lang w:val="nl-NL"/>
        </w:rPr>
        <w:t xml:space="preserve"> Deze gebruikers lijken ook twijfels te hebben over het functioneren van het toezicht op implantaten</w:t>
      </w:r>
      <w:r w:rsidR="00665A79">
        <w:rPr>
          <w:lang w:val="nl-NL"/>
        </w:rPr>
        <w:t>.</w:t>
      </w:r>
      <w:r w:rsidR="00A57DF0">
        <w:rPr>
          <w:lang w:val="nl-NL"/>
        </w:rPr>
        <w:t xml:space="preserve"> </w:t>
      </w:r>
      <w:r w:rsidR="005624F3">
        <w:rPr>
          <w:lang w:val="nl-NL"/>
        </w:rPr>
        <w:t xml:space="preserve">Zonder nader onderzoek is helaas niet vast te stellen of dit inderdaad het verschil maakt tussen de paar zaken die steeds weer terug komen, en alle andere implantaten waar we weinig of niets over horen. </w:t>
      </w:r>
      <w:r w:rsidR="006D0348">
        <w:rPr>
          <w:lang w:val="nl-NL"/>
        </w:rPr>
        <w:t xml:space="preserve">Op basis van de nu beschikbare gegevens is het niet mogelijk te stellen of </w:t>
      </w:r>
      <w:r w:rsidR="009042B6">
        <w:rPr>
          <w:lang w:val="nl-NL"/>
        </w:rPr>
        <w:t>het continueren</w:t>
      </w:r>
      <w:r w:rsidR="006D0348">
        <w:rPr>
          <w:lang w:val="nl-NL"/>
        </w:rPr>
        <w:t xml:space="preserve"> van het implanteren is gebeurd onder een aanvaardbaar risico, al is bijvoorbeeld </w:t>
      </w:r>
      <w:proofErr w:type="spellStart"/>
      <w:r w:rsidR="006D0348">
        <w:rPr>
          <w:lang w:val="nl-NL"/>
        </w:rPr>
        <w:t>Essure</w:t>
      </w:r>
      <w:proofErr w:type="spellEnd"/>
      <w:r w:rsidR="006D0348">
        <w:rPr>
          <w:lang w:val="nl-NL"/>
        </w:rPr>
        <w:t xml:space="preserve"> nu uit de handel genomen</w:t>
      </w:r>
      <w:r w:rsidR="009042B6">
        <w:rPr>
          <w:lang w:val="nl-NL"/>
        </w:rPr>
        <w:t>;</w:t>
      </w:r>
      <w:r w:rsidRPr="0065123D" w:rsidR="006D0348">
        <w:rPr>
          <w:lang w:val="nl-NL"/>
        </w:rPr>
        <w:t xml:space="preserve"> </w:t>
      </w:r>
      <w:r w:rsidR="006D0348">
        <w:rPr>
          <w:lang w:val="nl-NL"/>
        </w:rPr>
        <w:t>volgens de fabrikant om commerciële redenen.</w:t>
      </w:r>
    </w:p>
    <w:p w:rsidR="005624F3" w:rsidP="00F07579" w:rsidRDefault="005624F3" w14:paraId="7FA2035E" w14:textId="77777777">
      <w:pPr>
        <w:spacing w:after="0"/>
        <w:rPr>
          <w:lang w:val="nl-NL"/>
        </w:rPr>
      </w:pPr>
    </w:p>
    <w:p w:rsidRPr="00F76AF3" w:rsidR="00D844D7" w:rsidP="00D844D7" w:rsidRDefault="00D844D7" w14:paraId="384780D5" w14:textId="1086662B">
      <w:pPr>
        <w:spacing w:after="0"/>
        <w:rPr>
          <w:b/>
          <w:bCs/>
          <w:lang w:val="nl-NL"/>
        </w:rPr>
      </w:pPr>
      <w:r w:rsidRPr="00F76AF3">
        <w:rPr>
          <w:b/>
          <w:bCs/>
          <w:lang w:val="nl-NL"/>
        </w:rPr>
        <w:t xml:space="preserve">‘Slimme‘ MDCG </w:t>
      </w:r>
      <w:proofErr w:type="spellStart"/>
      <w:r w:rsidRPr="00F76AF3">
        <w:rPr>
          <w:b/>
          <w:bCs/>
          <w:lang w:val="nl-NL"/>
        </w:rPr>
        <w:t>guidance</w:t>
      </w:r>
      <w:proofErr w:type="spellEnd"/>
      <w:r w:rsidRPr="00F76AF3">
        <w:rPr>
          <w:b/>
          <w:bCs/>
          <w:lang w:val="nl-NL"/>
        </w:rPr>
        <w:t xml:space="preserve"> documenten</w:t>
      </w:r>
      <w:r w:rsidRPr="00F76AF3" w:rsidR="00F76AF3">
        <w:rPr>
          <w:b/>
          <w:bCs/>
          <w:lang w:val="nl-NL"/>
        </w:rPr>
        <w:t xml:space="preserve"> en aan</w:t>
      </w:r>
      <w:r w:rsidR="00F76AF3">
        <w:rPr>
          <w:b/>
          <w:bCs/>
          <w:lang w:val="nl-NL"/>
        </w:rPr>
        <w:t>vullende wetgeving</w:t>
      </w:r>
    </w:p>
    <w:p w:rsidR="00BC7E47" w:rsidP="00E92D83" w:rsidRDefault="00D844D7" w14:paraId="5CDFB418" w14:textId="3EECC1E0">
      <w:pPr>
        <w:spacing w:after="0"/>
        <w:rPr>
          <w:lang w:val="nl-NL"/>
        </w:rPr>
      </w:pPr>
      <w:r w:rsidRPr="00D844D7">
        <w:rPr>
          <w:lang w:val="nl-NL"/>
        </w:rPr>
        <w:t xml:space="preserve">Als Nederland invloed wil hebben middels </w:t>
      </w:r>
      <w:proofErr w:type="spellStart"/>
      <w:r w:rsidRPr="00D844D7">
        <w:rPr>
          <w:lang w:val="nl-NL"/>
        </w:rPr>
        <w:t>guidance</w:t>
      </w:r>
      <w:proofErr w:type="spellEnd"/>
      <w:r w:rsidRPr="00D844D7">
        <w:rPr>
          <w:lang w:val="nl-NL"/>
        </w:rPr>
        <w:t xml:space="preserve"> documenten dan z</w:t>
      </w:r>
      <w:bookmarkStart w:name="_GoBack" w:id="0"/>
      <w:bookmarkEnd w:id="0"/>
      <w:r w:rsidRPr="00D844D7">
        <w:rPr>
          <w:lang w:val="nl-NL"/>
        </w:rPr>
        <w:t xml:space="preserve">al de Nederlandse MDCG vertegenwoordiging heldere instructies moeten krijgen. Wanneer Nederland invloed wil hebben op de veiligheid van implantaten dan zou dat inderdaad via een verscherping van de </w:t>
      </w:r>
      <w:proofErr w:type="spellStart"/>
      <w:r w:rsidRPr="00D844D7">
        <w:rPr>
          <w:lang w:val="nl-NL"/>
        </w:rPr>
        <w:t>vigilance</w:t>
      </w:r>
      <w:proofErr w:type="spellEnd"/>
      <w:r w:rsidRPr="00D844D7">
        <w:rPr>
          <w:lang w:val="nl-NL"/>
        </w:rPr>
        <w:t xml:space="preserve"> procedures kunnen, al zijn die onder de MDR al behoorlijk aangescherpt. </w:t>
      </w:r>
      <w:r w:rsidR="00CA42A3">
        <w:rPr>
          <w:lang w:val="nl-NL"/>
        </w:rPr>
        <w:t xml:space="preserve">Het is </w:t>
      </w:r>
      <w:r w:rsidR="00555F4B">
        <w:rPr>
          <w:lang w:val="nl-NL"/>
        </w:rPr>
        <w:t xml:space="preserve">dan </w:t>
      </w:r>
      <w:r w:rsidR="00CA42A3">
        <w:rPr>
          <w:lang w:val="nl-NL"/>
        </w:rPr>
        <w:t xml:space="preserve">ook de vraag of dit nodig </w:t>
      </w:r>
      <w:r w:rsidR="00E700C4">
        <w:rPr>
          <w:lang w:val="nl-NL"/>
        </w:rPr>
        <w:t xml:space="preserve">is. Wellicht </w:t>
      </w:r>
      <w:r w:rsidR="002B1F80">
        <w:rPr>
          <w:lang w:val="nl-NL"/>
        </w:rPr>
        <w:t>zouden</w:t>
      </w:r>
      <w:r w:rsidR="00E700C4">
        <w:rPr>
          <w:lang w:val="nl-NL"/>
        </w:rPr>
        <w:t xml:space="preserve"> de inhoudelijk en procedureel aangescherpte eisen van de MDR eerst een kans </w:t>
      </w:r>
      <w:r w:rsidR="002B1F80">
        <w:rPr>
          <w:lang w:val="nl-NL"/>
        </w:rPr>
        <w:t>kunnen krijgen</w:t>
      </w:r>
      <w:r w:rsidR="00E700C4">
        <w:rPr>
          <w:lang w:val="nl-NL"/>
        </w:rPr>
        <w:t>.</w:t>
      </w:r>
      <w:r w:rsidR="00E92D83">
        <w:rPr>
          <w:lang w:val="nl-NL"/>
        </w:rPr>
        <w:t xml:space="preserve"> </w:t>
      </w:r>
    </w:p>
    <w:p w:rsidR="006A017D" w:rsidP="006A017D" w:rsidRDefault="00D844D7" w14:paraId="7F057F67" w14:textId="6D08A72C">
      <w:pPr>
        <w:spacing w:after="0"/>
        <w:rPr>
          <w:lang w:val="nl-NL"/>
        </w:rPr>
      </w:pPr>
      <w:r w:rsidRPr="00D844D7">
        <w:rPr>
          <w:lang w:val="nl-NL"/>
        </w:rPr>
        <w:t>Er zijn drie</w:t>
      </w:r>
      <w:r w:rsidR="00CA42A3">
        <w:rPr>
          <w:lang w:val="nl-NL"/>
        </w:rPr>
        <w:t xml:space="preserve"> alternatieve</w:t>
      </w:r>
      <w:r w:rsidRPr="00D844D7">
        <w:rPr>
          <w:lang w:val="nl-NL"/>
        </w:rPr>
        <w:t xml:space="preserve"> mogelijkheden waarop</w:t>
      </w:r>
      <w:r w:rsidR="00BC7E47">
        <w:rPr>
          <w:lang w:val="nl-NL"/>
        </w:rPr>
        <w:t xml:space="preserve"> </w:t>
      </w:r>
      <w:r w:rsidR="002B1F80">
        <w:rPr>
          <w:lang w:val="nl-NL"/>
        </w:rPr>
        <w:t xml:space="preserve">wellicht </w:t>
      </w:r>
      <w:r w:rsidR="00BC7E47">
        <w:rPr>
          <w:lang w:val="nl-NL"/>
        </w:rPr>
        <w:t>via</w:t>
      </w:r>
      <w:r w:rsidR="00665A79">
        <w:rPr>
          <w:lang w:val="nl-NL"/>
        </w:rPr>
        <w:t xml:space="preserve"> de</w:t>
      </w:r>
      <w:r w:rsidR="00BC7E47">
        <w:rPr>
          <w:lang w:val="nl-NL"/>
        </w:rPr>
        <w:t xml:space="preserve"> MDCG </w:t>
      </w:r>
      <w:r w:rsidRPr="00D844D7">
        <w:rPr>
          <w:lang w:val="nl-NL"/>
        </w:rPr>
        <w:t>invloed uitgeoefend zou kunnen worden</w:t>
      </w:r>
      <w:r w:rsidR="00BC7E47">
        <w:rPr>
          <w:lang w:val="nl-NL"/>
        </w:rPr>
        <w:t xml:space="preserve"> op het functioneren</w:t>
      </w:r>
      <w:r w:rsidR="00665A79">
        <w:rPr>
          <w:lang w:val="nl-NL"/>
        </w:rPr>
        <w:t xml:space="preserve"> van de MDR. </w:t>
      </w:r>
      <w:r w:rsidR="00790BCD">
        <w:rPr>
          <w:lang w:val="nl-NL"/>
        </w:rPr>
        <w:t xml:space="preserve">Nederland zou zich in kunnen zetten om </w:t>
      </w:r>
      <w:r w:rsidR="002B1F80">
        <w:rPr>
          <w:lang w:val="nl-NL"/>
        </w:rPr>
        <w:t>de</w:t>
      </w:r>
      <w:r w:rsidR="00790BCD">
        <w:rPr>
          <w:lang w:val="nl-NL"/>
        </w:rPr>
        <w:t xml:space="preserve"> lidstaten</w:t>
      </w:r>
      <w:r w:rsidR="002B1F80">
        <w:rPr>
          <w:lang w:val="nl-NL"/>
        </w:rPr>
        <w:t xml:space="preserve"> </w:t>
      </w:r>
      <w:r w:rsidR="006E5A25">
        <w:rPr>
          <w:lang w:val="nl-NL"/>
        </w:rPr>
        <w:t>te stimuleren</w:t>
      </w:r>
      <w:r w:rsidR="002B1F80">
        <w:rPr>
          <w:lang w:val="nl-NL"/>
        </w:rPr>
        <w:t xml:space="preserve"> effectief de MDR te ondersteunen:</w:t>
      </w:r>
    </w:p>
    <w:p w:rsidR="006A017D" w:rsidP="006A017D" w:rsidRDefault="006A017D" w14:paraId="4FC88258" w14:textId="01759BEF">
      <w:pPr>
        <w:pStyle w:val="ListParagraph"/>
        <w:numPr>
          <w:ilvl w:val="0"/>
          <w:numId w:val="1"/>
        </w:numPr>
        <w:spacing w:after="0"/>
        <w:rPr>
          <w:lang w:val="nl-NL"/>
        </w:rPr>
      </w:pPr>
      <w:r>
        <w:rPr>
          <w:lang w:val="nl-NL"/>
        </w:rPr>
        <w:t xml:space="preserve">Implantatenregisters; </w:t>
      </w:r>
      <w:r w:rsidR="00212A67">
        <w:rPr>
          <w:lang w:val="nl-NL"/>
        </w:rPr>
        <w:t xml:space="preserve">door de AVG is het nu niet mogelijk om implantatenregisters op te zetten waarin </w:t>
      </w:r>
      <w:r w:rsidR="002B1F80">
        <w:rPr>
          <w:lang w:val="nl-NL"/>
        </w:rPr>
        <w:t>patiënten</w:t>
      </w:r>
      <w:r w:rsidR="00212A67">
        <w:rPr>
          <w:lang w:val="nl-NL"/>
        </w:rPr>
        <w:t xml:space="preserve"> herleidbaar zijn opgeslagen</w:t>
      </w:r>
      <w:r w:rsidR="006E5A25">
        <w:rPr>
          <w:lang w:val="nl-NL"/>
        </w:rPr>
        <w:t xml:space="preserve"> en te volgen zijn</w:t>
      </w:r>
      <w:r w:rsidR="00212A67">
        <w:rPr>
          <w:lang w:val="nl-NL"/>
        </w:rPr>
        <w:t xml:space="preserve">. Het is natuurlijk wel mogelijk om bepaalde wetenschappelijke doelen aan de data opslag te koppelen en de </w:t>
      </w:r>
      <w:r w:rsidR="002B1F80">
        <w:rPr>
          <w:lang w:val="nl-NL"/>
        </w:rPr>
        <w:t>patiënten</w:t>
      </w:r>
      <w:r w:rsidR="00212A67">
        <w:rPr>
          <w:lang w:val="nl-NL"/>
        </w:rPr>
        <w:t xml:space="preserve"> om gebruik van hun data te vragen. Daarmee zou de waarde van deze registers enorm toe kunnen nemen.</w:t>
      </w:r>
      <w:r w:rsidR="00BB502C">
        <w:rPr>
          <w:lang w:val="nl-NL"/>
        </w:rPr>
        <w:t xml:space="preserve"> Dit vraagt om aanvullende wetgeving</w:t>
      </w:r>
      <w:r w:rsidR="002B1F80">
        <w:rPr>
          <w:lang w:val="nl-NL"/>
        </w:rPr>
        <w:t>, die nationaal of Europees ingestoken kan worden.</w:t>
      </w:r>
    </w:p>
    <w:p w:rsidR="00212A67" w:rsidP="006A017D" w:rsidRDefault="0012295C" w14:paraId="7D6E5AAD" w14:textId="0B013F09">
      <w:pPr>
        <w:pStyle w:val="ListParagraph"/>
        <w:numPr>
          <w:ilvl w:val="0"/>
          <w:numId w:val="1"/>
        </w:numPr>
        <w:spacing w:after="0"/>
        <w:rPr>
          <w:lang w:val="nl-NL"/>
        </w:rPr>
      </w:pPr>
      <w:r>
        <w:rPr>
          <w:lang w:val="nl-NL"/>
        </w:rPr>
        <w:t xml:space="preserve">Rol van de </w:t>
      </w:r>
      <w:r w:rsidR="000C1E07">
        <w:rPr>
          <w:lang w:val="nl-NL"/>
        </w:rPr>
        <w:t xml:space="preserve">voor de naleving verantwoordelijke persoon (PRRC); deze rol </w:t>
      </w:r>
      <w:r w:rsidR="002B1F80">
        <w:rPr>
          <w:lang w:val="nl-NL"/>
        </w:rPr>
        <w:t>lijkt</w:t>
      </w:r>
      <w:r w:rsidR="000C1E07">
        <w:rPr>
          <w:lang w:val="nl-NL"/>
        </w:rPr>
        <w:t xml:space="preserve"> </w:t>
      </w:r>
      <w:r w:rsidR="00E544E1">
        <w:rPr>
          <w:lang w:val="nl-NL"/>
        </w:rPr>
        <w:t>in de MDR gekopieerd</w:t>
      </w:r>
      <w:r w:rsidR="002B1F80">
        <w:rPr>
          <w:lang w:val="nl-NL"/>
        </w:rPr>
        <w:t xml:space="preserve"> te zijn</w:t>
      </w:r>
      <w:r w:rsidR="00E544E1">
        <w:rPr>
          <w:lang w:val="nl-NL"/>
        </w:rPr>
        <w:t xml:space="preserve"> van die van de Verantwoordelijke Persoon die in de geneesmiddelenwet</w:t>
      </w:r>
      <w:r w:rsidR="002B1F80">
        <w:rPr>
          <w:lang w:val="nl-NL"/>
        </w:rPr>
        <w:t>, zonder dat de consequenties van het specifieke karakter van medische hulpmiddelen hierin goed is doordacht</w:t>
      </w:r>
      <w:r w:rsidR="00E544E1">
        <w:rPr>
          <w:lang w:val="nl-NL"/>
        </w:rPr>
        <w:t>. Die rol zou bij uitstek geschikt kunnen worden gemaakt als interne klokkenluider</w:t>
      </w:r>
      <w:r w:rsidR="00BB502C">
        <w:rPr>
          <w:lang w:val="nl-NL"/>
        </w:rPr>
        <w:t xml:space="preserve">. Dit vraagt aanpassing van het </w:t>
      </w:r>
      <w:r w:rsidR="002B1F80">
        <w:rPr>
          <w:lang w:val="nl-NL"/>
        </w:rPr>
        <w:t xml:space="preserve">recent gepubliceerde </w:t>
      </w:r>
      <w:proofErr w:type="spellStart"/>
      <w:r w:rsidR="00BB502C">
        <w:rPr>
          <w:lang w:val="nl-NL"/>
        </w:rPr>
        <w:t>guidance</w:t>
      </w:r>
      <w:proofErr w:type="spellEnd"/>
      <w:r w:rsidR="00BB502C">
        <w:rPr>
          <w:lang w:val="nl-NL"/>
        </w:rPr>
        <w:t xml:space="preserve"> document</w:t>
      </w:r>
      <w:r w:rsidR="002B1F80">
        <w:rPr>
          <w:lang w:val="nl-NL"/>
        </w:rPr>
        <w:t xml:space="preserve"> MDCG 2019-7</w:t>
      </w:r>
      <w:r w:rsidR="00BB502C">
        <w:rPr>
          <w:lang w:val="nl-NL"/>
        </w:rPr>
        <w:t>.</w:t>
      </w:r>
    </w:p>
    <w:p w:rsidRPr="006A017D" w:rsidR="00BB502C" w:rsidP="006A017D" w:rsidRDefault="00BB502C" w14:paraId="3F0C9897" w14:textId="6CE1F00D">
      <w:pPr>
        <w:pStyle w:val="ListParagraph"/>
        <w:numPr>
          <w:ilvl w:val="0"/>
          <w:numId w:val="1"/>
        </w:numPr>
        <w:spacing w:after="0"/>
        <w:rPr>
          <w:lang w:val="nl-NL"/>
        </w:rPr>
      </w:pPr>
      <w:r>
        <w:rPr>
          <w:lang w:val="nl-NL"/>
        </w:rPr>
        <w:t xml:space="preserve">Toezicht op Periodiek </w:t>
      </w:r>
      <w:r w:rsidR="000B62A5">
        <w:rPr>
          <w:lang w:val="nl-NL"/>
        </w:rPr>
        <w:t>V</w:t>
      </w:r>
      <w:r w:rsidR="00FE7EC0">
        <w:rPr>
          <w:lang w:val="nl-NL"/>
        </w:rPr>
        <w:t xml:space="preserve">eiligheidsverslag (PSUR) en </w:t>
      </w:r>
      <w:r w:rsidR="000B62A5">
        <w:rPr>
          <w:lang w:val="nl-NL"/>
        </w:rPr>
        <w:t xml:space="preserve">Samenvatting van Veiligheids- en klinische prestatie (SSCP); </w:t>
      </w:r>
      <w:r w:rsidR="00580A64">
        <w:rPr>
          <w:lang w:val="nl-NL"/>
        </w:rPr>
        <w:t>door dit toezicht uitsluitend bij de Notified Body te leggen bestaat de kans dat de waarde van deze documenten uitgehold wordt.</w:t>
      </w:r>
      <w:r w:rsidR="002B1F80">
        <w:rPr>
          <w:lang w:val="nl-NL"/>
        </w:rPr>
        <w:t xml:space="preserve"> Dat komt onder andere doordat de bevoegdheden van de Notified Body anders zijn dan die van de bevoegde autoriteiten. </w:t>
      </w:r>
      <w:r w:rsidR="00580A64">
        <w:rPr>
          <w:lang w:val="nl-NL"/>
        </w:rPr>
        <w:t xml:space="preserve"> Omgekeerd zou een </w:t>
      </w:r>
      <w:r w:rsidR="0066076F">
        <w:rPr>
          <w:lang w:val="nl-NL"/>
        </w:rPr>
        <w:t>frequente</w:t>
      </w:r>
      <w:r w:rsidR="002B1F80">
        <w:rPr>
          <w:lang w:val="nl-NL"/>
        </w:rPr>
        <w:t>,</w:t>
      </w:r>
      <w:r w:rsidR="0066076F">
        <w:rPr>
          <w:lang w:val="nl-NL"/>
        </w:rPr>
        <w:t xml:space="preserve"> steekproef</w:t>
      </w:r>
      <w:r w:rsidR="002B1F80">
        <w:rPr>
          <w:lang w:val="nl-NL"/>
        </w:rPr>
        <w:t>sgewijze, kwalitatief hoogwaardige beoordeling van</w:t>
      </w:r>
      <w:r w:rsidR="0066076F">
        <w:rPr>
          <w:lang w:val="nl-NL"/>
        </w:rPr>
        <w:t xml:space="preserve"> deze documenten er juist voor kunnen zorgen dat deze documenten significant waardevoller worden. Dit vraagt een serieuze investering in het toezicht. </w:t>
      </w:r>
    </w:p>
    <w:p w:rsidR="00D844D7" w:rsidP="00D844D7" w:rsidRDefault="00D844D7" w14:paraId="17B3589B" w14:textId="77777777">
      <w:pPr>
        <w:spacing w:after="0"/>
        <w:rPr>
          <w:lang w:val="nl-NL"/>
        </w:rPr>
      </w:pPr>
    </w:p>
    <w:p w:rsidR="00D844D7" w:rsidP="00D844D7" w:rsidRDefault="00D844D7" w14:paraId="565AFCB6" w14:textId="77777777">
      <w:pPr>
        <w:spacing w:after="0"/>
        <w:rPr>
          <w:lang w:val="nl-NL"/>
        </w:rPr>
      </w:pPr>
    </w:p>
    <w:sectPr w:rsidR="00D844D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A48BE" w14:textId="77777777" w:rsidR="00B27662" w:rsidRDefault="00B27662" w:rsidP="00B27662">
      <w:pPr>
        <w:spacing w:after="0" w:line="240" w:lineRule="auto"/>
      </w:pPr>
      <w:r>
        <w:separator/>
      </w:r>
    </w:p>
  </w:endnote>
  <w:endnote w:type="continuationSeparator" w:id="0">
    <w:p w14:paraId="22358369" w14:textId="77777777" w:rsidR="00B27662" w:rsidRDefault="00B27662" w:rsidP="00B2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C2293" w14:textId="77777777" w:rsidR="00B27662" w:rsidRDefault="00B27662" w:rsidP="00B27662">
      <w:pPr>
        <w:spacing w:after="0" w:line="240" w:lineRule="auto"/>
      </w:pPr>
      <w:r>
        <w:separator/>
      </w:r>
    </w:p>
  </w:footnote>
  <w:footnote w:type="continuationSeparator" w:id="0">
    <w:p w14:paraId="4A5AB0F4" w14:textId="77777777" w:rsidR="00B27662" w:rsidRDefault="00B27662" w:rsidP="00B27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31C7A"/>
    <w:multiLevelType w:val="hybridMultilevel"/>
    <w:tmpl w:val="76B6A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79"/>
    <w:rsid w:val="00023709"/>
    <w:rsid w:val="000B62A5"/>
    <w:rsid w:val="000C1E07"/>
    <w:rsid w:val="000E1C08"/>
    <w:rsid w:val="0012295C"/>
    <w:rsid w:val="001D71A0"/>
    <w:rsid w:val="00206DAF"/>
    <w:rsid w:val="00212A67"/>
    <w:rsid w:val="002B1F80"/>
    <w:rsid w:val="002D2FB0"/>
    <w:rsid w:val="00387E17"/>
    <w:rsid w:val="00391DCA"/>
    <w:rsid w:val="003E7E1E"/>
    <w:rsid w:val="004A0438"/>
    <w:rsid w:val="005238C5"/>
    <w:rsid w:val="00555F4B"/>
    <w:rsid w:val="005624F3"/>
    <w:rsid w:val="00580A64"/>
    <w:rsid w:val="00586779"/>
    <w:rsid w:val="00602356"/>
    <w:rsid w:val="0065123D"/>
    <w:rsid w:val="0066076F"/>
    <w:rsid w:val="00665A79"/>
    <w:rsid w:val="00693EEE"/>
    <w:rsid w:val="00697E8A"/>
    <w:rsid w:val="006A017D"/>
    <w:rsid w:val="006D0348"/>
    <w:rsid w:val="006E5A25"/>
    <w:rsid w:val="0070187D"/>
    <w:rsid w:val="007611C0"/>
    <w:rsid w:val="00790BCD"/>
    <w:rsid w:val="007C6B64"/>
    <w:rsid w:val="00847F3D"/>
    <w:rsid w:val="008A26B5"/>
    <w:rsid w:val="008A58CB"/>
    <w:rsid w:val="009042B6"/>
    <w:rsid w:val="00921A7F"/>
    <w:rsid w:val="009C3C32"/>
    <w:rsid w:val="00A57DF0"/>
    <w:rsid w:val="00AD4191"/>
    <w:rsid w:val="00AE78A6"/>
    <w:rsid w:val="00B27662"/>
    <w:rsid w:val="00B341A3"/>
    <w:rsid w:val="00BA68E9"/>
    <w:rsid w:val="00BB502C"/>
    <w:rsid w:val="00BC7E47"/>
    <w:rsid w:val="00C31A34"/>
    <w:rsid w:val="00C40316"/>
    <w:rsid w:val="00C92EF2"/>
    <w:rsid w:val="00CA42A3"/>
    <w:rsid w:val="00CE1CA1"/>
    <w:rsid w:val="00CF3BE9"/>
    <w:rsid w:val="00D844D7"/>
    <w:rsid w:val="00E26D29"/>
    <w:rsid w:val="00E444D1"/>
    <w:rsid w:val="00E544E1"/>
    <w:rsid w:val="00E700C4"/>
    <w:rsid w:val="00E77443"/>
    <w:rsid w:val="00E92D83"/>
    <w:rsid w:val="00ED2CB3"/>
    <w:rsid w:val="00EF3766"/>
    <w:rsid w:val="00F07579"/>
    <w:rsid w:val="00F76AF3"/>
    <w:rsid w:val="00FE7E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4902B"/>
  <w15:chartTrackingRefBased/>
  <w15:docId w15:val="{13608E39-B8DE-4004-A0D7-270D3462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662"/>
  </w:style>
  <w:style w:type="paragraph" w:styleId="Footer">
    <w:name w:val="footer"/>
    <w:basedOn w:val="Normal"/>
    <w:link w:val="FooterChar"/>
    <w:uiPriority w:val="99"/>
    <w:unhideWhenUsed/>
    <w:rsid w:val="00B27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662"/>
  </w:style>
  <w:style w:type="paragraph" w:styleId="ListParagraph">
    <w:name w:val="List Paragraph"/>
    <w:basedOn w:val="Normal"/>
    <w:uiPriority w:val="34"/>
    <w:qFormat/>
    <w:rsid w:val="006A0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990</ap:Words>
  <ap:Characters>5643</ap:Characters>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2019-11-14T07:27:00.0000000Z</dcterms:created>
  <dcterms:modified xsi:type="dcterms:W3CDTF">2019-11-18T07:04:00.0000000Z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0x0101000C80628FB638AD4E88D5EA7ED3D6A915</vt:lpwstr>
  </property>
</Properties>
</file>