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743A" w:rsidR="004F743A" w:rsidP="004F743A" w:rsidRDefault="004F743A">
      <w:pPr>
        <w:spacing w:before="100" w:beforeAutospacing="1" w:after="100" w:afterAutospacing="1" w:line="240" w:lineRule="auto"/>
        <w:outlineLvl w:val="0"/>
        <w:rPr>
          <w:rFonts w:ascii="Arial" w:hAnsi="Arial" w:eastAsia="Times New Roman" w:cs="Arial"/>
          <w:b/>
          <w:bCs/>
          <w:kern w:val="36"/>
          <w:lang w:eastAsia="nl-NL"/>
        </w:rPr>
      </w:pPr>
      <w:r w:rsidRPr="004F743A">
        <w:rPr>
          <w:rFonts w:ascii="Arial" w:hAnsi="Arial" w:eastAsia="Times New Roman" w:cs="Arial"/>
          <w:b/>
          <w:bCs/>
          <w:kern w:val="36"/>
          <w:lang w:eastAsia="nl-NL"/>
        </w:rPr>
        <w:t>Hamerstuk</w:t>
      </w:r>
    </w:p>
    <w:p w:rsidRPr="004F743A" w:rsidR="004F743A" w:rsidP="004F743A" w:rsidRDefault="004F743A">
      <w:pPr>
        <w:rPr>
          <w:rFonts w:ascii="Arial" w:hAnsi="Arial" w:eastAsia="Times New Roman" w:cs="Arial"/>
        </w:rPr>
      </w:pPr>
      <w:r w:rsidRPr="004F743A">
        <w:rPr>
          <w:rFonts w:ascii="Arial" w:hAnsi="Arial" w:eastAsia="Times New Roman" w:cs="Arial"/>
        </w:rPr>
        <w:br/>
        <w:t>Aan de orde is de behandeling van:</w:t>
      </w:r>
    </w:p>
    <w:p w:rsidRPr="004F743A" w:rsidR="004F743A" w:rsidP="004F743A" w:rsidRDefault="004F743A">
      <w:pPr>
        <w:numPr>
          <w:ilvl w:val="0"/>
          <w:numId w:val="1"/>
        </w:numPr>
        <w:spacing w:before="100" w:beforeAutospacing="1" w:after="100" w:afterAutospacing="1" w:line="240" w:lineRule="auto"/>
        <w:rPr>
          <w:rFonts w:ascii="Arial" w:hAnsi="Arial" w:eastAsia="Times New Roman" w:cs="Arial"/>
        </w:rPr>
      </w:pPr>
      <w:r w:rsidRPr="004F743A">
        <w:rPr>
          <w:rFonts w:ascii="Arial" w:hAnsi="Arial" w:eastAsia="Times New Roman" w:cs="Arial"/>
          <w:b/>
          <w:bCs/>
        </w:rPr>
        <w:t>het wetsvoorstel Wijziging van de Wet strategische diensten in verband met Verordening (EU) 2019/125 van het Europees Parlement en de Raad van 16 januari 2019 met betrekking tot de handel in bepaalde goederen die gebruikt zouden kunnen worden voor de doodstraf, foltering of andere wrede, onmenselijke of onterende behandeling of bestraffing (</w:t>
      </w:r>
      <w:proofErr w:type="spellStart"/>
      <w:r w:rsidRPr="004F743A">
        <w:rPr>
          <w:rFonts w:ascii="Arial" w:hAnsi="Arial" w:eastAsia="Times New Roman" w:cs="Arial"/>
          <w:b/>
          <w:bCs/>
        </w:rPr>
        <w:t>PbEU</w:t>
      </w:r>
      <w:proofErr w:type="spellEnd"/>
      <w:r w:rsidRPr="004F743A">
        <w:rPr>
          <w:rFonts w:ascii="Arial" w:hAnsi="Arial" w:eastAsia="Times New Roman" w:cs="Arial"/>
          <w:b/>
          <w:bCs/>
        </w:rPr>
        <w:t xml:space="preserve"> 2019, L 30) (Wet tot wijziging van de Wet strategische diensten in verband met codificatie van de anti-folterverordening) (35288);</w:t>
      </w:r>
    </w:p>
    <w:p w:rsidRPr="004F743A" w:rsidR="004F743A" w:rsidP="004F743A" w:rsidRDefault="004F743A">
      <w:pPr>
        <w:spacing w:after="240"/>
        <w:rPr>
          <w:rFonts w:ascii="Arial" w:hAnsi="Arial" w:eastAsia="Times New Roman" w:cs="Arial"/>
        </w:rPr>
      </w:pPr>
      <w:bookmarkStart w:name="_GoBack" w:id="0"/>
      <w:bookmarkEnd w:id="0"/>
      <w:r w:rsidRPr="004F743A">
        <w:rPr>
          <w:rFonts w:ascii="Arial" w:hAnsi="Arial" w:eastAsia="Times New Roman" w:cs="Arial"/>
        </w:rPr>
        <w:b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AF9"/>
    <w:multiLevelType w:val="multilevel"/>
    <w:tmpl w:val="90F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3A"/>
    <w:rsid w:val="000D5708"/>
    <w:rsid w:val="00456CA4"/>
    <w:rsid w:val="004F7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D5138-BD97-4D0B-A063-AD73447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2019-11-15T07:44:00.0000000Z</dcterms:created>
  <dcterms:modified xsi:type="dcterms:W3CDTF">2019-11-15T07:44:00.0000000Z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0x010100E227620AD0D9824883B3481D70F0E119</vt:lpwstr>
  </property>
</Properties>
</file>