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W05.19.0151/I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30 augustus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51CA1" w:rsidRDefault="000B31A0">
              <w:r>
                <w:t>Bij Kabinetsmissive van 13 juni 2019, no.2019001130, heeft Uwe Majesteit, op voordracht van de Minister van Onderwijs, Cultuur en Wetenschap, mede namens de Minister voor Basis- en Voortgezet Onderwijs en Media, bij de Afdeling advisering van de Raad van State ter overweging aanhangig gemaakt het voorstel van wet tot wijziging van de verschillende wetten op met name het terrein van onderwijs, cultuur en media in verband met voornamelijk wetstechnische en redactionele verbeteringen (Verzamelwet OCW 20..), met memorie van toelichting.</w:t>
              </w:r>
            </w:p>
          </w:sdtContent>
        </w:sdt>
        <w:p w:rsidRPr="00831363" w:rsidR="00CE4655" w:rsidP="003C7608" w:rsidRDefault="00CE4655"/>
        <w:sdt>
          <w:sdtPr>
            <w:alias w:val="VrijeTekst1"/>
            <w:tag w:val="VrijeTekst1"/>
            <w:id w:val="-437221631"/>
            <w:lock w:val="sdtLocked"/>
          </w:sdtPr>
          <w:sdtEndPr/>
          <w:sdtContent>
            <w:p w:rsidR="0009078C" w:rsidP="005C4966" w:rsidRDefault="000B31A0">
              <w:pPr>
                <w:rPr>
                  <w:rFonts w:eastAsiaTheme="minorHAnsi" w:cstheme="minorBidi"/>
                  <w:szCs w:val="18"/>
                </w:rPr>
              </w:pPr>
              <w:r w:rsidRPr="00290D5A">
                <w:rPr>
                  <w:szCs w:val="18"/>
                </w:rPr>
                <w:t xml:space="preserve">Dit wetsvoorstel beoogt een vijftigtal wetten te wijzigen </w:t>
              </w:r>
              <w:r>
                <w:rPr>
                  <w:szCs w:val="18"/>
                </w:rPr>
                <w:t>op de</w:t>
              </w:r>
              <w:r w:rsidRPr="00290D5A">
                <w:rPr>
                  <w:szCs w:val="18"/>
                </w:rPr>
                <w:t xml:space="preserve"> </w:t>
              </w:r>
              <w:r>
                <w:rPr>
                  <w:szCs w:val="18"/>
                </w:rPr>
                <w:t>beleids</w:t>
              </w:r>
              <w:r w:rsidRPr="00290D5A">
                <w:rPr>
                  <w:szCs w:val="18"/>
                </w:rPr>
                <w:t>terrein</w:t>
              </w:r>
              <w:r>
                <w:rPr>
                  <w:szCs w:val="18"/>
                </w:rPr>
                <w:t>en</w:t>
              </w:r>
              <w:r w:rsidRPr="00290D5A">
                <w:rPr>
                  <w:szCs w:val="18"/>
                </w:rPr>
                <w:t xml:space="preserve"> van het Ministerie van O</w:t>
              </w:r>
              <w:r>
                <w:rPr>
                  <w:szCs w:val="18"/>
                </w:rPr>
                <w:t xml:space="preserve">nderwijs, Cultuur en Wetenschap (OCW). Het betreft een zogenoemde verzamelwet en </w:t>
              </w:r>
              <w:r>
                <w:rPr>
                  <w:rFonts w:eastAsiaTheme="minorHAnsi" w:cstheme="minorBidi"/>
                  <w:szCs w:val="18"/>
                </w:rPr>
                <w:t xml:space="preserve">is de eerste in een beoogde </w:t>
              </w:r>
              <w:r w:rsidRPr="00290D5A">
                <w:rPr>
                  <w:rFonts w:eastAsiaTheme="minorHAnsi" w:cstheme="minorBidi"/>
                  <w:szCs w:val="18"/>
                </w:rPr>
                <w:t xml:space="preserve">cyclus van jaarlijkse verzamelwetten voor de wetgeving </w:t>
              </w:r>
              <w:r>
                <w:rPr>
                  <w:rFonts w:eastAsiaTheme="minorHAnsi" w:cstheme="minorBidi"/>
                  <w:szCs w:val="18"/>
                </w:rPr>
                <w:t xml:space="preserve">van OCW, met als doel </w:t>
              </w:r>
              <w:r w:rsidRPr="00290D5A">
                <w:rPr>
                  <w:rFonts w:eastAsiaTheme="minorHAnsi" w:cstheme="minorBidi"/>
                  <w:szCs w:val="18"/>
                </w:rPr>
                <w:t>de kwaliteit van de OCW-wetgeving</w:t>
              </w:r>
              <w:r>
                <w:rPr>
                  <w:rFonts w:eastAsiaTheme="minorHAnsi" w:cstheme="minorBidi"/>
                  <w:szCs w:val="18"/>
                </w:rPr>
                <w:t xml:space="preserve"> systematisch te verhogen</w:t>
              </w:r>
              <w:r w:rsidRPr="00290D5A">
                <w:rPr>
                  <w:rFonts w:eastAsiaTheme="minorHAnsi" w:cstheme="minorBidi"/>
                  <w:szCs w:val="18"/>
                </w:rPr>
                <w:t xml:space="preserve">. </w:t>
              </w:r>
            </w:p>
            <w:p w:rsidR="008D4EA8" w:rsidP="005C4966" w:rsidRDefault="0005164F">
              <w:pPr>
                <w:rPr>
                  <w:rFonts w:eastAsiaTheme="minorHAnsi" w:cstheme="minorBidi"/>
                  <w:szCs w:val="18"/>
                </w:rPr>
              </w:pPr>
            </w:p>
            <w:p w:rsidRPr="00C0087B" w:rsidR="0009078C" w:rsidP="005C4966" w:rsidRDefault="000B31A0">
              <w:pPr>
                <w:rPr>
                  <w:rFonts w:eastAsiaTheme="minorHAnsi" w:cstheme="minorBidi"/>
                  <w:szCs w:val="18"/>
                </w:rPr>
              </w:pPr>
              <w:r>
                <w:rPr>
                  <w:rFonts w:eastAsiaTheme="minorHAnsi" w:cstheme="minorBidi"/>
                  <w:szCs w:val="18"/>
                </w:rPr>
                <w:t xml:space="preserve">De Afdeling advisering van de Raad van State maakt opmerkingen over de in het wetsvoorstel voorgestelde uitzondering op verplichte lichamelijke opvoeding in het voortgezet onderwijs, en over een tweetal delegatiegrondslagen op het gebied van de studiefinanciering. </w:t>
              </w:r>
              <w:r>
                <w:t>I</w:t>
              </w:r>
              <w:r w:rsidRPr="006B5F87">
                <w:t xml:space="preserve">n verband daarmee </w:t>
              </w:r>
              <w:r>
                <w:t xml:space="preserve">is </w:t>
              </w:r>
              <w:r w:rsidRPr="006B5F87">
                <w:t>aanpassing van het voorstel wenselijk.</w:t>
              </w:r>
            </w:p>
            <w:p w:rsidR="004C3357" w:rsidP="005C4966" w:rsidRDefault="0005164F"/>
            <w:p w:rsidR="005C4966" w:rsidP="005C4966" w:rsidRDefault="000B31A0">
              <w:pPr>
                <w:rPr>
                  <w:u w:val="single"/>
                </w:rPr>
              </w:pPr>
              <w:r>
                <w:t>1.</w:t>
              </w:r>
              <w:r>
                <w:tab/>
              </w:r>
              <w:r>
                <w:rPr>
                  <w:u w:val="single"/>
                </w:rPr>
                <w:t>Uitzondering op verplichte lichamelijke opvoeding</w:t>
              </w:r>
            </w:p>
            <w:p w:rsidR="005C4966" w:rsidP="005C4966" w:rsidRDefault="0005164F"/>
            <w:p w:rsidR="005C4966" w:rsidP="005C4966" w:rsidRDefault="000B31A0">
              <w:pPr>
                <w:rPr>
                  <w:u w:val="single"/>
                </w:rPr>
              </w:pPr>
              <w:r>
                <w:t xml:space="preserve">Artikel 25 van de Wet op het voortgezet onderwijs (WVO) </w:t>
              </w:r>
              <w:r w:rsidRPr="00067CD5">
                <w:t xml:space="preserve">biedt de minister de mogelijkheid goed te keuren dat voor de bijzondere inrichting van het onderwijs aan een school wordt afgeweken van een </w:t>
              </w:r>
              <w:r>
                <w:t xml:space="preserve">beperkt en limitatief opgesomd aantal artikelen </w:t>
              </w:r>
              <w:r w:rsidRPr="00067CD5">
                <w:t>van de WVO.</w:t>
              </w:r>
              <w:r>
                <w:t xml:space="preserve"> Voorgesteld wordt om ook artikel 6d WVO aan deze lijst toe te voegen.</w:t>
              </w:r>
              <w:r>
                <w:rPr>
                  <w:rStyle w:val="Voetnootmarkering"/>
                </w:rPr>
                <w:footnoteReference w:id="1"/>
              </w:r>
              <w:r>
                <w:t xml:space="preserve"> Artikel 6d WVO bevat de plicht voor zowel het openbaar als het bijzonder onderwijs om onderwijs te verzorgen in lichamelijke opvoeding. Het artikel bepaalt </w:t>
              </w:r>
              <w:r w:rsidRPr="00067CD5">
                <w:t xml:space="preserve">dat </w:t>
              </w:r>
              <w:r>
                <w:t xml:space="preserve">dit onderwijs </w:t>
              </w:r>
              <w:r w:rsidRPr="00067CD5">
                <w:t>gespreid over alle leerjaren moet worden gevolgd</w:t>
              </w:r>
              <w:r>
                <w:t>, maar stelt geen inhoudelijke eisen aan de inrichting van het onderwijs in lichamelijke opvoeding, met dien verstande dat het wel moet gaan om “</w:t>
              </w:r>
              <w:r w:rsidRPr="001B71ED">
                <w:t>praktische bewegingsactiviteiten</w:t>
              </w:r>
              <w:r>
                <w:t>”. Dit artikel vindt zijn oorsprong in een amendement van de Kamerleden Hamer en</w:t>
              </w:r>
              <w:r w:rsidRPr="00F94C89">
                <w:t xml:space="preserve"> M</w:t>
              </w:r>
              <w:r>
                <w:t>osterd, die daarmee zowel</w:t>
              </w:r>
              <w:r w:rsidRPr="00F94C89">
                <w:t xml:space="preserve"> </w:t>
              </w:r>
              <w:r>
                <w:t>de inrichtingsvrijheid als</w:t>
              </w:r>
              <w:r w:rsidRPr="00F94C89">
                <w:t xml:space="preserve"> de hoeveelheid onderwijstijd voor lichamelijke opvoeding </w:t>
              </w:r>
              <w:r>
                <w:t>wilden waarborgen.</w:t>
              </w:r>
              <w:r>
                <w:rPr>
                  <w:rStyle w:val="Voetnootmarkering"/>
                </w:rPr>
                <w:footnoteReference w:id="2"/>
              </w:r>
            </w:p>
            <w:p w:rsidR="005C4966" w:rsidP="005C4966" w:rsidRDefault="0005164F">
              <w:pPr>
                <w:rPr>
                  <w:u w:val="single"/>
                </w:rPr>
              </w:pPr>
            </w:p>
            <w:p w:rsidRPr="00820F6B" w:rsidR="00820F6B" w:rsidP="005C4966" w:rsidRDefault="000B31A0">
              <w:r>
                <w:t xml:space="preserve">In het onderhavige wetsvoorstel wordt voorgesteld om </w:t>
              </w:r>
              <w:r w:rsidRPr="00067CD5">
                <w:t>de minister</w:t>
              </w:r>
              <w:r>
                <w:t xml:space="preserve"> de mogelijkheid te geven om goed te keuren</w:t>
              </w:r>
              <w:r w:rsidRPr="00067CD5">
                <w:t xml:space="preserve"> dat</w:t>
              </w:r>
              <w:r>
                <w:t xml:space="preserve"> in het voortgezet onderwijs </w:t>
              </w:r>
              <w:r w:rsidRPr="00067CD5">
                <w:t xml:space="preserve">wordt afgeweken van </w:t>
              </w:r>
              <w:r>
                <w:t xml:space="preserve">de verplichting </w:t>
              </w:r>
              <w:r w:rsidRPr="006B5F87">
                <w:t>onderwijs in</w:t>
              </w:r>
              <w:r>
                <w:t xml:space="preserve"> </w:t>
              </w:r>
              <w:r w:rsidRPr="006B5F87">
                <w:t>lichamelijke opvoeding</w:t>
              </w:r>
              <w:r>
                <w:t xml:space="preserve"> te verzorgen. De reden achter deze algemene bevoegdheid is dat </w:t>
              </w:r>
              <w:r w:rsidRPr="006B5F87">
                <w:t xml:space="preserve">dit </w:t>
              </w:r>
              <w:r>
                <w:t xml:space="preserve">nodig en </w:t>
              </w:r>
              <w:r w:rsidRPr="006B5F87">
                <w:t>we</w:t>
              </w:r>
              <w:r>
                <w:t xml:space="preserve">nselijk zou zijn voor jonge toptalenten </w:t>
              </w:r>
              <w:r w:rsidRPr="006B5F87">
                <w:t xml:space="preserve">op het gebied van </w:t>
              </w:r>
              <w:r>
                <w:t xml:space="preserve">sport, </w:t>
              </w:r>
              <w:r w:rsidRPr="006B5F87">
                <w:t xml:space="preserve">dans of muziek </w:t>
              </w:r>
              <w:r>
                <w:t>op zogenoe</w:t>
              </w:r>
              <w:r w:rsidRPr="006B5F87">
                <w:t xml:space="preserve">mde Loot- en </w:t>
              </w:r>
              <w:proofErr w:type="spellStart"/>
              <w:r w:rsidRPr="006B5F87">
                <w:t>DaMu</w:t>
              </w:r>
              <w:proofErr w:type="spellEnd"/>
              <w:r w:rsidRPr="006B5F87">
                <w:t>-scholen.</w:t>
              </w:r>
              <w:r>
                <w:rPr>
                  <w:rStyle w:val="Voetnootmarkering"/>
                </w:rPr>
                <w:footnoteReference w:id="3"/>
              </w:r>
              <w:r w:rsidRPr="006B5F87">
                <w:t xml:space="preserve"> </w:t>
              </w:r>
              <w:r>
                <w:lastRenderedPageBreak/>
                <w:t>Momenteel worden ontheffingen voor deze leerlingen verleend op basis van specifieke beleidsregels,</w:t>
              </w:r>
              <w:r>
                <w:rPr>
                  <w:rStyle w:val="Voetnootmarkering"/>
                </w:rPr>
                <w:footnoteReference w:id="4"/>
              </w:r>
              <w:r>
                <w:t xml:space="preserve"> maar deze praktijk is zonder wettelijke grondslag.</w:t>
              </w:r>
            </w:p>
            <w:p w:rsidR="005C4966" w:rsidP="005C4966" w:rsidRDefault="0005164F">
              <w:pPr>
                <w:rPr>
                  <w:u w:val="single"/>
                </w:rPr>
              </w:pPr>
            </w:p>
            <w:p w:rsidR="005C4966" w:rsidP="005C4966" w:rsidRDefault="000B31A0">
              <w:pPr>
                <w:rPr>
                  <w:u w:val="single"/>
                </w:rPr>
              </w:pPr>
              <w:r>
                <w:t xml:space="preserve">De Afdeling merkt hierover het volgende op. </w:t>
              </w:r>
            </w:p>
            <w:p w:rsidR="005C4966" w:rsidP="005C4966" w:rsidRDefault="0005164F">
              <w:pPr>
                <w:rPr>
                  <w:u w:val="single"/>
                </w:rPr>
              </w:pPr>
            </w:p>
            <w:p w:rsidR="005C4966" w:rsidP="005C4966" w:rsidRDefault="000B31A0">
              <w:pPr>
                <w:rPr>
                  <w:u w:val="single"/>
                </w:rPr>
              </w:pPr>
              <w:r>
                <w:t xml:space="preserve">Voor jonge talenten op het gebied van sport en dans lijkt de voorgestelde bepaling niet noodzakelijk. Nu scholen vrij zijn in de inrichting van het bewegingsonderwijs, kan dit immers hoofdzakelijk gevuld worden met de sport of dans in kwestie. Met het aantal trainingsuren dat deze leerlingen in de regel maken, wordt bovendien ook ruimschoots aan de in artikel 6d WVO bedoelde urennormen voldaan. </w:t>
              </w:r>
            </w:p>
            <w:p w:rsidR="005C4966" w:rsidP="005C4966" w:rsidRDefault="0005164F">
              <w:pPr>
                <w:rPr>
                  <w:u w:val="single"/>
                </w:rPr>
              </w:pPr>
            </w:p>
            <w:p w:rsidRPr="00570622" w:rsidR="005C4966" w:rsidP="005C4966" w:rsidRDefault="000B31A0">
              <w:r w:rsidRPr="001500FD">
                <w:t>“Voor muziekleerlingen is de verplichting voor onderwijs in lichamelijke opvoeding niet nodig vanwege het risico op blessures”, aldus de toelichting.</w:t>
              </w:r>
              <w:r w:rsidRPr="001500FD">
                <w:rPr>
                  <w:rStyle w:val="Voetnootmarkering"/>
                </w:rPr>
                <w:footnoteReference w:id="5"/>
              </w:r>
              <w:r>
                <w:t xml:space="preserve"> Dit wordt niet nader toegelicht, terwijl voor toptalenten op het gebied van muziek een goede lichamelijke opvoeding evenzeer van belang is. Dat neemt niet weg dat de implicaties van bepaalde blessures juist voor deze groep aanzienlijk kunnen zijn. Het staat </w:t>
              </w:r>
              <w:proofErr w:type="spellStart"/>
              <w:r>
                <w:t>DaMu</w:t>
              </w:r>
              <w:proofErr w:type="spellEnd"/>
              <w:r>
                <w:t xml:space="preserve">-scholen momenteel al vrij het onderwijs in lichamelijke opvoeding zo in te richten dat het risico op bepaalde blessures teruggebracht wordt tot een acceptabel niveau. Dat kan bijvoorbeeld door ervoor te kiezen bepaalde </w:t>
              </w:r>
              <w:r w:rsidRPr="00570622">
                <w:t>praktische bewegingsactiviteiten</w:t>
              </w:r>
              <w:r>
                <w:t xml:space="preserve"> niet te laten uitvoeren. Op </w:t>
              </w:r>
              <w:proofErr w:type="spellStart"/>
              <w:r>
                <w:t>DaMu</w:t>
              </w:r>
              <w:proofErr w:type="spellEnd"/>
              <w:r>
                <w:t xml:space="preserve">-scholen is daarbij voldoende expertise aanwezig om de inrichting van het onderwijs in de lichamelijke opvoeding aan te laten sluiten op de bijzondere behoefte van muziekleerlingen. </w:t>
              </w:r>
            </w:p>
            <w:p w:rsidR="005C4966" w:rsidP="005C4966" w:rsidRDefault="0005164F">
              <w:pPr>
                <w:rPr>
                  <w:u w:val="single"/>
                </w:rPr>
              </w:pPr>
            </w:p>
            <w:p w:rsidR="005C4966" w:rsidP="005C4966" w:rsidRDefault="000B31A0">
              <w:pPr>
                <w:rPr>
                  <w:u w:val="single"/>
                </w:rPr>
              </w:pPr>
              <w:r w:rsidRPr="00E44C1E">
                <w:t xml:space="preserve">De voorgestelde wijziging van artikel 25 WVO creëert niet </w:t>
              </w:r>
              <w:r>
                <w:t xml:space="preserve">alleen </w:t>
              </w:r>
              <w:r w:rsidRPr="00E44C1E">
                <w:t xml:space="preserve">voor de bovenbedoelde groep een uitzondering, maar </w:t>
              </w:r>
              <w:r>
                <w:t>open</w:t>
              </w:r>
              <w:r w:rsidRPr="00E44C1E">
                <w:t>t</w:t>
              </w:r>
              <w:r>
                <w:t xml:space="preserve"> tevens de mogelijkheid</w:t>
              </w:r>
              <w:r w:rsidRPr="00E44C1E">
                <w:t xml:space="preserve"> om voor een bredere groep leerlingen een uitzondering te maken. Gelet op het algemeen </w:t>
              </w:r>
              <w:r>
                <w:t xml:space="preserve">belang </w:t>
              </w:r>
              <w:r w:rsidRPr="00E44C1E">
                <w:t xml:space="preserve">van lichamelijke opvoeding is het de vraag of dit wenselijk is. </w:t>
              </w:r>
            </w:p>
            <w:p w:rsidR="005C4966" w:rsidP="005C4966" w:rsidRDefault="0005164F">
              <w:pPr>
                <w:rPr>
                  <w:u w:val="single"/>
                </w:rPr>
              </w:pPr>
            </w:p>
            <w:p w:rsidR="000B31A0" w:rsidRDefault="000B31A0">
              <w:r>
                <w:t>De Afdeling adviseert het voorstel om artikel 6d op te nemen in de lijst van artikel 25 WVO te laten vervallen.</w:t>
              </w:r>
              <w:r>
                <w:br w:type="page"/>
              </w:r>
            </w:p>
            <w:p w:rsidR="00B51CA1" w:rsidRDefault="0005164F"/>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0B31A0">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51CA1" w:rsidRDefault="000B31A0">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W05.19.0151</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Pr="00A7795A" w:rsidR="00A7795A" w:rsidP="00DB31EB" w:rsidRDefault="000B31A0">
              <w:pPr>
                <w:numPr>
                  <w:ilvl w:val="0"/>
                  <w:numId w:val="1"/>
                </w:numPr>
                <w:rPr>
                  <w:b/>
                </w:rPr>
              </w:pPr>
              <w:r>
                <w:t xml:space="preserve">In de voorgestelde wijzigingen van de Wet tegemoetkoming onderwijsbijdrage en schoolkosten </w:t>
              </w:r>
              <w:r w:rsidRPr="00DB31EB">
                <w:t xml:space="preserve">(artikel XXXIII) alle voorstellen om door middel van afkortingen naar andere wetten te verwijzen schrappen (zie ook </w:t>
              </w:r>
              <w:r>
                <w:t xml:space="preserve">aanwijzing </w:t>
              </w:r>
              <w:r w:rsidRPr="00DB31EB">
                <w:t>3.9</w:t>
              </w:r>
              <w:r>
                <w:t xml:space="preserve"> en de toelichting bij aanwijzing </w:t>
              </w:r>
              <w:r w:rsidRPr="00DB31EB">
                <w:t>4.24</w:t>
              </w:r>
              <w:r>
                <w:t xml:space="preserve">, derde lid, van de Aanwijzingen voor de regelgeving (Ar)). </w:t>
              </w:r>
            </w:p>
            <w:p w:rsidRPr="00A7795A" w:rsidR="00E70C71" w:rsidP="00A7795A" w:rsidRDefault="000B31A0">
              <w:pPr>
                <w:numPr>
                  <w:ilvl w:val="0"/>
                  <w:numId w:val="1"/>
                </w:numPr>
                <w:rPr>
                  <w:b/>
                </w:rPr>
              </w:pPr>
              <w:r>
                <w:t xml:space="preserve">In het tweede lid van de voorgestelde </w:t>
              </w:r>
              <w:r w:rsidRPr="00DB31EB">
                <w:t>artikelen 6.9a van de Wet studiefinanciering 2000</w:t>
              </w:r>
              <w:r>
                <w:t xml:space="preserve"> (artikel XXX, onderdeel DD)</w:t>
              </w:r>
              <w:r w:rsidRPr="00DB31EB">
                <w:t xml:space="preserve"> en 4.9a Wet studiefinanciering BES</w:t>
              </w:r>
              <w:r>
                <w:t xml:space="preserve"> (artikel XXXI, onderdeel G) na “kunnen” invoegen “over de aflossingen genoemd in het eerste lid” (zie</w:t>
              </w:r>
              <w:r w:rsidRPr="00715267">
                <w:t xml:space="preserve"> ook A</w:t>
              </w:r>
              <w:r>
                <w:t>r</w:t>
              </w:r>
              <w:r w:rsidRPr="00715267">
                <w:t xml:space="preserve"> 2.23</w:t>
              </w:r>
              <w:r>
                <w:t>).</w:t>
              </w:r>
            </w:p>
          </w:sdtContent>
        </w:sdt>
        <w:p w:rsidR="00C50D4F" w:rsidP="005841EA" w:rsidRDefault="0005164F">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0B31A0" w:rsidP="005B3E03">
      <w:r>
        <w:separator/>
      </w:r>
    </w:p>
    <w:p w:rsidR="002D0ACF" w:rsidRDefault="0005164F"/>
  </w:endnote>
  <w:endnote w:type="continuationSeparator" w:id="0">
    <w:p w:rsidR="00847094" w:rsidRDefault="000B31A0" w:rsidP="005B3E03">
      <w:r>
        <w:continuationSeparator/>
      </w:r>
    </w:p>
    <w:p w:rsidR="002D0ACF" w:rsidRDefault="00051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0B31A0" w:rsidP="005B3E03">
      <w:r>
        <w:separator/>
      </w:r>
    </w:p>
    <w:p w:rsidR="002D0ACF" w:rsidRDefault="0005164F"/>
  </w:footnote>
  <w:footnote w:type="continuationSeparator" w:id="0">
    <w:p w:rsidR="00847094" w:rsidRDefault="000B31A0" w:rsidP="005B3E03">
      <w:r>
        <w:continuationSeparator/>
      </w:r>
    </w:p>
    <w:p w:rsidR="002D0ACF" w:rsidRDefault="0005164F"/>
  </w:footnote>
  <w:footnote w:id="1">
    <w:p w:rsidR="00F94C89" w:rsidRDefault="000B31A0" w:rsidP="00F94C89">
      <w:pPr>
        <w:pStyle w:val="Voetnoottekst"/>
      </w:pPr>
      <w:r>
        <w:rPr>
          <w:rStyle w:val="Voetnootmarkering"/>
        </w:rPr>
        <w:footnoteRef/>
      </w:r>
      <w:r>
        <w:t xml:space="preserve"> </w:t>
      </w:r>
      <w:r>
        <w:tab/>
        <w:t xml:space="preserve">Artikel XXVI, onderdeel E, van het wetsvoorstel. </w:t>
      </w:r>
    </w:p>
  </w:footnote>
  <w:footnote w:id="2">
    <w:p w:rsidR="00F94C89" w:rsidRDefault="000B31A0">
      <w:pPr>
        <w:pStyle w:val="Voetnoottekst"/>
      </w:pPr>
      <w:r>
        <w:rPr>
          <w:rStyle w:val="Voetnootmarkering"/>
        </w:rPr>
        <w:footnoteRef/>
      </w:r>
      <w:r>
        <w:t xml:space="preserve"> </w:t>
      </w:r>
      <w:r>
        <w:tab/>
      </w:r>
      <w:r w:rsidRPr="000B31A0">
        <w:t>Kamerstukken II</w:t>
      </w:r>
      <w:r>
        <w:t xml:space="preserve"> 2005/06, </w:t>
      </w:r>
      <w:r>
        <w:rPr>
          <w:rFonts w:cs="Arial"/>
        </w:rPr>
        <w:t xml:space="preserve">30187, nr. 25. </w:t>
      </w:r>
    </w:p>
  </w:footnote>
  <w:footnote w:id="3">
    <w:p w:rsidR="006B5F87" w:rsidRDefault="000B31A0">
      <w:pPr>
        <w:pStyle w:val="Voetnoottekst"/>
      </w:pPr>
      <w:r>
        <w:rPr>
          <w:rStyle w:val="Voetnootmarkering"/>
        </w:rPr>
        <w:footnoteRef/>
      </w:r>
      <w:r>
        <w:t xml:space="preserve"> </w:t>
      </w:r>
      <w:r>
        <w:tab/>
        <w:t>Memorie van toelichting, algemeen deel, paragraaf</w:t>
      </w:r>
      <w:r w:rsidRPr="006B5F87">
        <w:t xml:space="preserve"> </w:t>
      </w:r>
      <w:r>
        <w:rPr>
          <w:szCs w:val="18"/>
        </w:rPr>
        <w:t>2.2.</w:t>
      </w:r>
    </w:p>
  </w:footnote>
  <w:footnote w:id="4">
    <w:p w:rsidR="00BB0B82" w:rsidRDefault="000B31A0">
      <w:pPr>
        <w:pStyle w:val="Voetnoottekst"/>
      </w:pPr>
      <w:r>
        <w:rPr>
          <w:rStyle w:val="Voetnootmarkering"/>
        </w:rPr>
        <w:footnoteRef/>
      </w:r>
      <w:r>
        <w:t xml:space="preserve"> </w:t>
      </w:r>
      <w:r>
        <w:tab/>
        <w:t xml:space="preserve">Zie artikel 11-13 van de </w:t>
      </w:r>
      <w:r w:rsidRPr="00BB0B82">
        <w:t>Beleidsregel verstrekking licentie Topsporttalentschool VO</w:t>
      </w:r>
      <w:r>
        <w:t xml:space="preserve"> en artikel 11-13 van de </w:t>
      </w:r>
      <w:r w:rsidRPr="00BB0B82">
        <w:t>Beleidsregel verstrekking DAMU-licentie VO</w:t>
      </w:r>
      <w:r>
        <w:t>.</w:t>
      </w:r>
    </w:p>
  </w:footnote>
  <w:footnote w:id="5">
    <w:p w:rsidR="001500FD" w:rsidRDefault="000B31A0">
      <w:pPr>
        <w:pStyle w:val="Voetnoottekst"/>
      </w:pPr>
      <w:r>
        <w:rPr>
          <w:rStyle w:val="Voetnootmarkering"/>
        </w:rPr>
        <w:footnoteRef/>
      </w:r>
      <w:r>
        <w:t xml:space="preserve"> </w:t>
      </w:r>
      <w:r>
        <w:tab/>
        <w:t>Memorie van toelichting, algemeen deel, paragraaf</w:t>
      </w:r>
      <w:r w:rsidRPr="006B5F87">
        <w:t xml:space="preserve"> </w:t>
      </w:r>
      <w:r>
        <w:rPr>
          <w:szCs w:val="18"/>
        </w:rPr>
        <w:t>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843F0">
      <w:rPr>
        <w:rStyle w:val="Paginanummer"/>
        <w:noProof/>
      </w:rPr>
      <w:t>3</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5164F">
      <w:rPr>
        <w:rStyle w:val="Paginanummer"/>
        <w:noProof/>
      </w:rPr>
      <w:t>3</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5164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B25BE"/>
    <w:multiLevelType w:val="hybridMultilevel"/>
    <w:tmpl w:val="B23C3D66"/>
    <w:lvl w:ilvl="0" w:tplc="198685C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3A4E4B"/>
    <w:multiLevelType w:val="hybridMultilevel"/>
    <w:tmpl w:val="D8CEF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5164F"/>
    <w:rsid w:val="00060342"/>
    <w:rsid w:val="00070267"/>
    <w:rsid w:val="000854C3"/>
    <w:rsid w:val="000B31A0"/>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843F0"/>
    <w:rsid w:val="00796479"/>
    <w:rsid w:val="008108EA"/>
    <w:rsid w:val="00831363"/>
    <w:rsid w:val="00883369"/>
    <w:rsid w:val="008B2F14"/>
    <w:rsid w:val="008C5EDD"/>
    <w:rsid w:val="00907421"/>
    <w:rsid w:val="00977969"/>
    <w:rsid w:val="009E537C"/>
    <w:rsid w:val="009E72D2"/>
    <w:rsid w:val="00A316AD"/>
    <w:rsid w:val="00A31DA9"/>
    <w:rsid w:val="00AC5AD9"/>
    <w:rsid w:val="00B15811"/>
    <w:rsid w:val="00B51CA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9CC8446-B97E-4028-BF7D-9F8F554D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3">
    <w:name w:val="heading 3"/>
    <w:basedOn w:val="Standaard"/>
    <w:next w:val="Standaard"/>
    <w:link w:val="Kop3Char"/>
    <w:semiHidden/>
    <w:unhideWhenUsed/>
    <w:qFormat/>
    <w:rsid w:val="00712B3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semiHidden/>
    <w:rsid w:val="00712B3F"/>
    <w:rPr>
      <w:rFonts w:asciiTheme="majorHAnsi" w:eastAsiaTheme="majorEastAsia" w:hAnsiTheme="majorHAnsi" w:cstheme="majorBidi"/>
      <w:b/>
      <w:bCs/>
      <w:color w:val="4F81BD" w:themeColor="accent1"/>
      <w:sz w:val="22"/>
      <w:szCs w:val="24"/>
    </w:rPr>
  </w:style>
  <w:style w:type="character" w:styleId="Voetnootmarkering">
    <w:name w:val="footnote reference"/>
    <w:basedOn w:val="Standaardalinea-lettertype"/>
    <w:rsid w:val="00712B3F"/>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5D38FA"/>
    <w:rPr>
      <w:sz w:val="16"/>
      <w:szCs w:val="16"/>
    </w:rPr>
  </w:style>
  <w:style w:type="paragraph" w:styleId="Tekstopmerking">
    <w:name w:val="annotation text"/>
    <w:basedOn w:val="Standaard"/>
    <w:link w:val="TekstopmerkingChar"/>
    <w:rsid w:val="005D38FA"/>
    <w:rPr>
      <w:sz w:val="20"/>
      <w:szCs w:val="20"/>
    </w:rPr>
  </w:style>
  <w:style w:type="character" w:customStyle="1" w:styleId="TekstopmerkingChar">
    <w:name w:val="Tekst opmerking Char"/>
    <w:basedOn w:val="Standaardalinea-lettertype"/>
    <w:link w:val="Tekstopmerking"/>
    <w:rsid w:val="005D38FA"/>
    <w:rPr>
      <w:rFonts w:ascii="Univers" w:hAnsi="Univers"/>
    </w:rPr>
  </w:style>
  <w:style w:type="paragraph" w:styleId="Onderwerpvanopmerking">
    <w:name w:val="annotation subject"/>
    <w:basedOn w:val="Tekstopmerking"/>
    <w:next w:val="Tekstopmerking"/>
    <w:link w:val="OnderwerpvanopmerkingChar"/>
    <w:rsid w:val="005D38FA"/>
    <w:rPr>
      <w:b/>
      <w:bCs/>
    </w:rPr>
  </w:style>
  <w:style w:type="character" w:customStyle="1" w:styleId="OnderwerpvanopmerkingChar">
    <w:name w:val="Onderwerp van opmerking Char"/>
    <w:basedOn w:val="TekstopmerkingChar"/>
    <w:link w:val="Onderwerpvanopmerking"/>
    <w:rsid w:val="005D38FA"/>
    <w:rPr>
      <w:rFonts w:ascii="Univers" w:hAnsi="Univers"/>
      <w:b/>
      <w:bCs/>
    </w:rPr>
  </w:style>
  <w:style w:type="paragraph" w:styleId="Revisie">
    <w:name w:val="Revision"/>
    <w:hidden/>
    <w:uiPriority w:val="99"/>
    <w:semiHidden/>
    <w:rsid w:val="00D30ED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866</ap:Words>
  <ap:Characters>4767</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2019-08-30T10:52:00.0000000Z</lastPrinted>
  <dcterms:created xsi:type="dcterms:W3CDTF">2019-10-25T09:12:00.0000000Z</dcterms:created>
  <dcterms:modified xsi:type="dcterms:W3CDTF">2019-10-25T09:12:00.0000000Z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0x0101007055D18705C34A479EF21AA77C755C7F</vt:lpwstr>
  </property>
</Properties>
</file>