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C00215" w:rsidP="00C00215" w:rsidRDefault="00C00215" w14:paraId="7DA632A3" w14:textId="77777777">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C00215" w:rsidP="00C00215" w:rsidRDefault="00C00215" w14:paraId="6BF18FB2" w14:textId="77777777">
      <w:pPr>
        <w:rPr>
          <w:rFonts w:asciiTheme="minorHAnsi" w:hAnsiTheme="minorHAnsi"/>
          <w:sz w:val="20"/>
          <w:szCs w:val="20"/>
        </w:rPr>
      </w:pPr>
    </w:p>
    <w:p w:rsidRPr="00C00215" w:rsidR="00C00215" w:rsidP="00C00215" w:rsidRDefault="00C00215" w14:paraId="2D22A2DD" w14:textId="1B1D7FF7">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4A784A">
        <w:rPr>
          <w:rFonts w:asciiTheme="minorHAnsi" w:hAnsiTheme="minorHAnsi"/>
          <w:sz w:val="20"/>
          <w:szCs w:val="20"/>
          <w:u w:val="single"/>
        </w:rPr>
        <w:t>5</w:t>
      </w:r>
      <w:r w:rsidR="00261F1F">
        <w:rPr>
          <w:rFonts w:asciiTheme="minorHAnsi" w:hAnsiTheme="minorHAnsi"/>
          <w:sz w:val="20"/>
          <w:szCs w:val="20"/>
          <w:u w:val="single"/>
        </w:rPr>
        <w:t xml:space="preserve"> september 2019</w:t>
      </w:r>
      <w:r w:rsidRPr="0055500A">
        <w:rPr>
          <w:rFonts w:asciiTheme="minorHAnsi" w:hAnsiTheme="minorHAnsi"/>
          <w:sz w:val="20"/>
          <w:szCs w:val="20"/>
          <w:u w:val="single"/>
        </w:rPr>
        <w:t xml:space="preserve"> </w:t>
      </w:r>
      <w:r w:rsidR="005A4B9C">
        <w:rPr>
          <w:rFonts w:asciiTheme="minorHAnsi" w:hAnsiTheme="minorHAnsi"/>
          <w:sz w:val="20"/>
          <w:szCs w:val="20"/>
          <w:u w:val="single"/>
        </w:rPr>
        <w:t>tot en met 17</w:t>
      </w:r>
      <w:r w:rsidR="004A784A">
        <w:rPr>
          <w:rFonts w:asciiTheme="minorHAnsi" w:hAnsiTheme="minorHAnsi"/>
          <w:sz w:val="20"/>
          <w:szCs w:val="20"/>
          <w:u w:val="single"/>
        </w:rPr>
        <w:t xml:space="preserve"> oktober 2019</w:t>
      </w:r>
    </w:p>
    <w:p w:rsidRPr="00221383" w:rsidR="00C00215" w:rsidP="00C00215" w:rsidRDefault="00C00215" w14:paraId="24CED439"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1D5818A8" w14:textId="77777777">
        <w:trPr>
          <w:trHeight w:val="1550"/>
        </w:trPr>
        <w:tc>
          <w:tcPr>
            <w:tcW w:w="1149" w:type="dxa"/>
            <w:shd w:val="clear" w:color="auto" w:fill="auto"/>
            <w:textDirection w:val="btLr"/>
            <w:vAlign w:val="bottom"/>
            <w:hideMark/>
          </w:tcPr>
          <w:p w:rsidRPr="00221383" w:rsidR="00C00215" w:rsidP="00014FF3" w:rsidRDefault="00C00215" w14:paraId="2DB063AD"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62ECBCF0"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2F191BE7"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71504927"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30134E03"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6FA491D8"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177BF39F"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093DE0D3" w14:textId="77777777">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C00215" w:rsidP="00014FF3" w:rsidRDefault="00C00215" w14:paraId="25E6ABC3"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5AB70261"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57B69D14"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13B4DD03"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1C8F804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4838E282"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4956705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14208EA7"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400D565D"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212212" w:rsidTr="00614A1B" w14:paraId="64C4D1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12212" w:rsidR="00212212" w:rsidP="00014FF3" w:rsidRDefault="004A784A" w14:paraId="39E31FDA" w14:textId="77777777">
            <w:pPr>
              <w:rPr>
                <w:rFonts w:ascii="Calibri" w:hAnsi="Calibri"/>
                <w:color w:val="000000"/>
                <w:sz w:val="22"/>
                <w:szCs w:val="22"/>
              </w:rPr>
            </w:pPr>
            <w:r>
              <w:rPr>
                <w:rFonts w:ascii="Calibri" w:hAnsi="Calibri" w:cs="Calibri"/>
                <w:color w:val="000000"/>
                <w:sz w:val="22"/>
                <w:szCs w:val="22"/>
              </w:rPr>
              <w:t>1-okt-19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12212" w:rsidR="00212212" w:rsidP="00014FF3" w:rsidRDefault="00212212" w14:paraId="5949B527"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212212" w:rsidR="00212212" w:rsidP="0052026E" w:rsidRDefault="00212212" w14:paraId="7BB77387" w14:textId="77777777">
            <w:pPr>
              <w:rPr>
                <w:rFonts w:ascii="Calibri" w:hAnsi="Calibri"/>
                <w:color w:val="000000"/>
                <w:sz w:val="22"/>
                <w:szCs w:val="22"/>
              </w:rPr>
            </w:pPr>
            <w:r>
              <w:rPr>
                <w:rFonts w:ascii="Calibri" w:hAnsi="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212212" w:rsidR="00212212" w:rsidP="00014FF3" w:rsidRDefault="004A784A" w14:paraId="47D8047E" w14:textId="77777777">
            <w:pPr>
              <w:rPr>
                <w:rFonts w:ascii="Calibri" w:hAnsi="Calibri"/>
                <w:color w:val="000000"/>
                <w:sz w:val="22"/>
                <w:szCs w:val="22"/>
              </w:rPr>
            </w:pPr>
            <w:r>
              <w:rPr>
                <w:rFonts w:ascii="Calibri" w:hAnsi="Calibri" w:cs="Calibri"/>
                <w:color w:val="000000"/>
                <w:sz w:val="22"/>
                <w:szCs w:val="22"/>
              </w:rPr>
              <w:t>Voorstel voor een VERORDENING VAN DE RAAD betreffende de verdeling van de vangstmogelijkheden in het kader van het protocol tot vaststelling van de vangstmogelijkheden en de financiële tegenprestatie waarin is voorzien bij de Partnerschapsovereenkomst inzake visserij tussen de Europese Gemeenschap en de Islamitische Republiek Mauritanië voor een periode van ten hoogste één jaar</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A784A" w:rsidP="004A784A" w:rsidRDefault="00564979" w14:paraId="453138C1" w14:textId="77777777">
            <w:pPr>
              <w:rPr>
                <w:rFonts w:ascii="Calibri" w:hAnsi="Calibri" w:cs="Calibri"/>
                <w:color w:val="0000FF"/>
                <w:sz w:val="22"/>
                <w:szCs w:val="22"/>
                <w:u w:val="single"/>
              </w:rPr>
            </w:pPr>
            <w:hyperlink w:history="1" r:id="rId12">
              <w:r w:rsidR="004A784A">
                <w:rPr>
                  <w:rStyle w:val="Hyperlink"/>
                  <w:rFonts w:ascii="Calibri" w:hAnsi="Calibri" w:cs="Calibri"/>
                  <w:sz w:val="22"/>
                  <w:szCs w:val="22"/>
                </w:rPr>
                <w:t>COM (2019) 446</w:t>
              </w:r>
            </w:hyperlink>
          </w:p>
          <w:p w:rsidRPr="00212212" w:rsidR="00212212" w:rsidP="004A784A" w:rsidRDefault="00212212" w14:paraId="0C5B1BEF" w14:textId="77777777"/>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212212" w:rsidP="00014FF3" w:rsidRDefault="00212212" w14:paraId="1E4B4ECF"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682D48" w:rsidP="004A784A" w:rsidRDefault="00682D48" w14:paraId="4A1B0A67"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Er wordt een voorstel gedaan voor de vangstmogelijkheden in het kader van het protocol bij de partnerschapsovereenkomst met Mauritanië. De geldigheidsduur is 1 jaar. Nederland is betrokken bij één van de categorieën:</w:t>
            </w:r>
          </w:p>
          <w:p w:rsidR="00682D48" w:rsidP="00682D48" w:rsidRDefault="00682D48" w14:paraId="0A6AFBE5" w14:textId="77777777">
            <w:pPr>
              <w:pStyle w:val="Lijstalinea"/>
              <w:numPr>
                <w:ilvl w:val="0"/>
                <w:numId w:val="5"/>
              </w:num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Vriestrawlers voor de pelagische visserij: Nederland – 62592 ton. Nederland heeft daarbij 16 driemaandelijkse vergunningen.</w:t>
            </w:r>
          </w:p>
          <w:p w:rsidRPr="00212212" w:rsidR="00212212" w:rsidP="004A784A" w:rsidRDefault="00212212" w14:paraId="454E37F0"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682D48">
              <w:rPr>
                <w:rFonts w:eastAsia="Arial Unicode MS" w:asciiTheme="minorHAnsi" w:hAnsiTheme="minorHAnsi"/>
                <w:noProof/>
                <w:sz w:val="20"/>
                <w:szCs w:val="20"/>
              </w:rPr>
              <w:t>voor kennisgeving aannemen</w:t>
            </w:r>
          </w:p>
        </w:tc>
      </w:tr>
      <w:tr w:rsidRPr="00221383" w:rsidR="00326959" w:rsidTr="00614A1B" w14:paraId="015A32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26959" w:rsidP="00014FF3" w:rsidRDefault="00326959" w14:paraId="6DA2F0E7" w14:textId="77777777">
            <w:pPr>
              <w:rPr>
                <w:rFonts w:ascii="Calibri" w:hAnsi="Calibri" w:cs="Calibri"/>
                <w:color w:val="000000"/>
                <w:sz w:val="22"/>
                <w:szCs w:val="22"/>
              </w:rPr>
            </w:pPr>
            <w:r>
              <w:rPr>
                <w:rFonts w:ascii="Calibri" w:hAnsi="Calibri" w:cs="Calibri"/>
                <w:color w:val="000000"/>
                <w:sz w:val="22"/>
                <w:szCs w:val="22"/>
              </w:rPr>
              <w:t>8-okt-19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326959" w:rsidP="00014FF3" w:rsidRDefault="00326959" w14:paraId="1F00B180"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326959" w:rsidP="0052026E" w:rsidRDefault="00326959" w14:paraId="78A63E68" w14:textId="77777777">
            <w:pPr>
              <w:rPr>
                <w:rFonts w:ascii="Calibri" w:hAnsi="Calibri"/>
                <w:color w:val="000000"/>
                <w:sz w:val="22"/>
                <w:szCs w:val="22"/>
              </w:rPr>
            </w:pPr>
            <w:r>
              <w:rPr>
                <w:rFonts w:ascii="Calibri" w:hAnsi="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00326959" w:rsidP="00014FF3" w:rsidRDefault="00326959" w14:paraId="1CB523DA" w14:textId="77777777">
            <w:pPr>
              <w:rPr>
                <w:rFonts w:ascii="Calibri" w:hAnsi="Calibri" w:cs="Calibri"/>
                <w:color w:val="000000"/>
                <w:sz w:val="22"/>
                <w:szCs w:val="22"/>
              </w:rPr>
            </w:pPr>
            <w:r>
              <w:rPr>
                <w:rFonts w:ascii="Calibri" w:hAnsi="Calibri" w:cs="Calibri"/>
                <w:color w:val="000000"/>
                <w:sz w:val="22"/>
                <w:szCs w:val="22"/>
              </w:rPr>
              <w:t>Voorstel voor een verordening van de Raad tot vaststelling, voor 2020, van de vangstmogelijkheden voor bepaalde visbestanden en groepen visbestanden in de Middellandse Zee en de Zwarte Zee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26959" w:rsidP="004A784A" w:rsidRDefault="00564979" w14:paraId="6C2D36A3" w14:textId="77777777">
            <w:hyperlink w:history="1" r:id="rId13">
              <w:r w:rsidR="00326959">
                <w:rPr>
                  <w:rStyle w:val="Hyperlink"/>
                  <w:rFonts w:ascii="Calibri" w:hAnsi="Calibri" w:cs="Calibri"/>
                  <w:sz w:val="22"/>
                  <w:szCs w:val="22"/>
                </w:rPr>
                <w:t>COM (2019) 453</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326959" w:rsidP="00014FF3" w:rsidRDefault="00326959" w14:paraId="1D960041"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326959" w:rsidP="004A784A" w:rsidRDefault="006B4942" w14:paraId="1E948CF7"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Het betreft een voorstel voor het vastellen van de vangstmogelijkheden </w:t>
            </w:r>
            <w:r w:rsidR="003E55A0">
              <w:rPr>
                <w:rFonts w:eastAsia="Arial Unicode MS" w:asciiTheme="minorHAnsi" w:hAnsiTheme="minorHAnsi"/>
                <w:noProof/>
                <w:sz w:val="20"/>
                <w:szCs w:val="20"/>
              </w:rPr>
              <w:t xml:space="preserve">voor bepaalde bestanden en groepen in de Middellandse Zee en Zwarte Zee. </w:t>
            </w:r>
            <w:r w:rsidR="0011747F">
              <w:rPr>
                <w:rFonts w:eastAsia="Arial Unicode MS" w:asciiTheme="minorHAnsi" w:hAnsiTheme="minorHAnsi"/>
                <w:noProof/>
                <w:sz w:val="20"/>
                <w:szCs w:val="20"/>
              </w:rPr>
              <w:t xml:space="preserve">Er worden geen Nederlandse schepen betrokken bij deze verordening. </w:t>
            </w:r>
          </w:p>
          <w:p w:rsidRPr="00326959" w:rsidR="00326959" w:rsidP="006B4942" w:rsidRDefault="00326959" w14:paraId="43F0A0EB"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6B4942">
              <w:rPr>
                <w:rFonts w:eastAsia="Arial Unicode MS" w:asciiTheme="minorHAnsi" w:hAnsiTheme="minorHAnsi"/>
                <w:noProof/>
                <w:sz w:val="20"/>
                <w:szCs w:val="20"/>
              </w:rPr>
              <w:t>voor kennigsgeving aannemen</w:t>
            </w:r>
          </w:p>
        </w:tc>
      </w:tr>
      <w:tr w:rsidRPr="00221383" w:rsidR="00FA375C" w:rsidTr="00614A1B" w14:paraId="2C87A3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A375C" w:rsidP="00014FF3" w:rsidRDefault="00FA375C" w14:paraId="7F91D0CC" w14:textId="16BDDD3A">
            <w:pPr>
              <w:rPr>
                <w:rFonts w:ascii="Calibri" w:hAnsi="Calibri" w:cs="Calibri"/>
                <w:color w:val="000000"/>
                <w:sz w:val="22"/>
                <w:szCs w:val="22"/>
              </w:rPr>
            </w:pPr>
            <w:r>
              <w:rPr>
                <w:rFonts w:ascii="Calibri" w:hAnsi="Calibri" w:cs="Calibri"/>
                <w:color w:val="000000"/>
                <w:sz w:val="22"/>
                <w:szCs w:val="22"/>
              </w:rPr>
              <w:t>17-okt-19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FA375C" w:rsidP="00014FF3" w:rsidRDefault="00FA375C" w14:paraId="18041042" w14:textId="47E97CAD">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FA375C" w:rsidP="0052026E" w:rsidRDefault="00FA375C" w14:paraId="6EF0680D" w14:textId="7A861E8A">
            <w:pPr>
              <w:rPr>
                <w:rFonts w:ascii="Calibri" w:hAnsi="Calibri"/>
                <w:color w:val="000000"/>
                <w:sz w:val="22"/>
                <w:szCs w:val="22"/>
              </w:rPr>
            </w:pPr>
            <w:r>
              <w:rPr>
                <w:rFonts w:ascii="Calibri" w:hAnsi="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00FA375C" w:rsidP="00014FF3" w:rsidRDefault="00FA375C" w14:paraId="17D49DC8" w14:textId="26573096">
            <w:pPr>
              <w:rPr>
                <w:rFonts w:ascii="Calibri" w:hAnsi="Calibri" w:cs="Calibri"/>
                <w:color w:val="000000"/>
                <w:sz w:val="22"/>
                <w:szCs w:val="22"/>
              </w:rPr>
            </w:pPr>
            <w:r>
              <w:rPr>
                <w:rFonts w:ascii="Calibri" w:hAnsi="Calibri" w:cs="Calibri"/>
                <w:color w:val="000000"/>
                <w:sz w:val="22"/>
                <w:szCs w:val="22"/>
              </w:rPr>
              <w:t xml:space="preserve">Voorstel voor een VERORDENING VAN DE RAAD betreffende de verdeling van de vangstmogelijkheden in het kader van het protocol tot uitvoering van de </w:t>
            </w:r>
            <w:r>
              <w:rPr>
                <w:rFonts w:ascii="Calibri" w:hAnsi="Calibri" w:cs="Calibri"/>
                <w:color w:val="000000"/>
                <w:sz w:val="22"/>
                <w:szCs w:val="22"/>
              </w:rPr>
              <w:lastRenderedPageBreak/>
              <w:t>partnerschapsovereenkomst inzake visserij tussen de Republiek Senegal en de Europese Unie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A375C" w:rsidP="004A784A" w:rsidRDefault="00564979" w14:paraId="52B5BA3A" w14:textId="3614E1A6">
            <w:hyperlink w:history="1" r:id="rId14">
              <w:r w:rsidR="00FA375C">
                <w:rPr>
                  <w:rStyle w:val="Hyperlink"/>
                  <w:rFonts w:ascii="Calibri" w:hAnsi="Calibri" w:cs="Calibri"/>
                  <w:sz w:val="22"/>
                  <w:szCs w:val="22"/>
                </w:rPr>
                <w:t>COM (2019) 474</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FA375C" w:rsidP="00014FF3" w:rsidRDefault="00FA375C" w14:paraId="20B6223B"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FA375C" w:rsidP="004A784A" w:rsidRDefault="00FA375C" w14:paraId="51EA2C58" w14:textId="64CF5DFD">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Het betreft een voorstel voor een verordening waarin de verdeling van de vangstmogelijkheden worden vastgesteld in het kader van het protocol bij de partnerschapsovereenkomst visserij met Senegal. </w:t>
            </w:r>
          </w:p>
          <w:p w:rsidR="00FA375C" w:rsidP="004A784A" w:rsidRDefault="00FA375C" w14:paraId="0255B271" w14:textId="0EE8D84F">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lastRenderedPageBreak/>
              <w:t xml:space="preserve">Het betreft geen Nederlandse vaartuigen. </w:t>
            </w:r>
          </w:p>
          <w:p w:rsidR="00FA375C" w:rsidP="004A784A" w:rsidRDefault="00FA375C" w14:paraId="064BFF23" w14:textId="7C7AFE71">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p>
        </w:tc>
      </w:tr>
      <w:tr w:rsidRPr="00221383" w:rsidR="004A784A" w:rsidTr="00614A1B" w14:paraId="6BC7F2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A784A" w:rsidP="00014FF3" w:rsidRDefault="004A784A" w14:paraId="7C46F47A" w14:textId="77777777">
            <w:pPr>
              <w:rPr>
                <w:rFonts w:ascii="Calibri" w:hAnsi="Calibri" w:cs="Calibri"/>
                <w:color w:val="000000"/>
                <w:sz w:val="22"/>
                <w:szCs w:val="22"/>
              </w:rPr>
            </w:pPr>
            <w:r>
              <w:rPr>
                <w:rFonts w:ascii="Calibri" w:hAnsi="Calibri" w:cs="Calibri"/>
                <w:color w:val="000000"/>
                <w:sz w:val="22"/>
                <w:szCs w:val="22"/>
              </w:rPr>
              <w:lastRenderedPageBreak/>
              <w:t>25-sep-19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4A784A" w:rsidP="00014FF3" w:rsidRDefault="004A784A" w14:paraId="491DD8BE"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4A784A" w:rsidP="0052026E" w:rsidRDefault="004A784A" w14:paraId="1910D01C" w14:textId="77777777">
            <w:pPr>
              <w:rPr>
                <w:rFonts w:ascii="Calibri" w:hAnsi="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4A784A" w:rsidP="00014FF3" w:rsidRDefault="004A784A" w14:paraId="350C88E8" w14:textId="77777777">
            <w:pPr>
              <w:rPr>
                <w:rFonts w:ascii="Calibri" w:hAnsi="Calibri" w:cs="Calibri"/>
                <w:color w:val="000000"/>
                <w:sz w:val="22"/>
                <w:szCs w:val="22"/>
              </w:rPr>
            </w:pPr>
            <w:r>
              <w:rPr>
                <w:rFonts w:ascii="Calibri" w:hAnsi="Calibri" w:cs="Calibri"/>
                <w:color w:val="000000"/>
                <w:sz w:val="22"/>
                <w:szCs w:val="22"/>
              </w:rPr>
              <w:t>VERSLAG VAN DE COMMISSIE AAN HET EUROPEES PARLEMENT EN DE RAAD 12e FINANCIEEL VERSLAG VAN DE COMMISSIE AAN HET EUROPEES PARLEMENT EN DE RAAD over het EUROPEES LANDBOUWFONDS VOOR PLATTELANDSONTWIKKELING (Elfpo) BEGROTINGSJAAR 2018</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A784A" w:rsidP="004A784A" w:rsidRDefault="00564979" w14:paraId="3CECF1BE" w14:textId="77777777">
            <w:pPr>
              <w:rPr>
                <w:rFonts w:ascii="Calibri" w:hAnsi="Calibri" w:cs="Calibri"/>
                <w:color w:val="0000FF"/>
                <w:sz w:val="22"/>
                <w:szCs w:val="22"/>
                <w:u w:val="single"/>
              </w:rPr>
            </w:pPr>
            <w:hyperlink w:history="1" r:id="rId15">
              <w:r w:rsidR="004A784A">
                <w:rPr>
                  <w:rStyle w:val="Hyperlink"/>
                  <w:rFonts w:ascii="Calibri" w:hAnsi="Calibri" w:cs="Calibri"/>
                  <w:sz w:val="22"/>
                  <w:szCs w:val="22"/>
                </w:rPr>
                <w:t>COM (2019) 422</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4A784A" w:rsidP="00014FF3" w:rsidRDefault="004A784A" w14:paraId="6902C81C"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1F341F" w:rsidR="004A784A" w:rsidP="004A784A" w:rsidRDefault="001F341F" w14:paraId="2AC3BBF4"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 betreft een financieel verslag over de utivoering van het plattelandsontwikkelingsfonds (ELFPO) in 2018.</w:t>
            </w:r>
            <w:r w:rsidR="00BB0EE0">
              <w:rPr>
                <w:rFonts w:eastAsia="Arial Unicode MS" w:asciiTheme="minorHAnsi" w:hAnsiTheme="minorHAnsi"/>
                <w:noProof/>
                <w:sz w:val="20"/>
                <w:szCs w:val="20"/>
              </w:rPr>
              <w:t xml:space="preserve"> </w:t>
            </w:r>
            <w:r w:rsidR="002814DA">
              <w:rPr>
                <w:rFonts w:eastAsia="Arial Unicode MS" w:asciiTheme="minorHAnsi" w:hAnsiTheme="minorHAnsi"/>
                <w:noProof/>
                <w:sz w:val="20"/>
                <w:szCs w:val="20"/>
              </w:rPr>
              <w:t>Geen opvallendheden in de bestedingen.</w:t>
            </w:r>
          </w:p>
          <w:p w:rsidR="004A784A" w:rsidP="004A784A" w:rsidRDefault="004A784A" w14:paraId="320E5B0E" w14:textId="77777777">
            <w:pPr>
              <w:pBdr>
                <w:top w:val="nil"/>
                <w:left w:val="nil"/>
                <w:bottom w:val="nil"/>
                <w:right w:val="nil"/>
                <w:between w:val="nil"/>
                <w:bar w:val="nil"/>
              </w:pBdr>
              <w:spacing w:after="240"/>
              <w:rPr>
                <w:rFonts w:eastAsia="Arial Unicode MS" w:asciiTheme="minorHAnsi" w:hAnsiTheme="minorHAnsi"/>
                <w:b/>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w:t>
            </w:r>
            <w:r w:rsidR="00326959">
              <w:rPr>
                <w:rFonts w:eastAsia="Arial Unicode MS" w:asciiTheme="minorHAnsi" w:hAnsiTheme="minorHAnsi"/>
                <w:noProof/>
                <w:sz w:val="20"/>
                <w:szCs w:val="20"/>
              </w:rPr>
              <w:t xml:space="preserve"> voor kennisgeving aannemen</w:t>
            </w:r>
          </w:p>
        </w:tc>
      </w:tr>
      <w:tr w:rsidRPr="00221383" w:rsidR="004A784A" w:rsidTr="00614A1B" w14:paraId="3A1697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A784A" w:rsidP="004A784A" w:rsidRDefault="004A784A" w14:paraId="70B44D26" w14:textId="77777777">
            <w:pPr>
              <w:rPr>
                <w:rFonts w:ascii="Calibri" w:hAnsi="Calibri" w:cs="Calibri"/>
                <w:color w:val="000000"/>
                <w:sz w:val="22"/>
                <w:szCs w:val="22"/>
              </w:rPr>
            </w:pPr>
            <w:r>
              <w:rPr>
                <w:rFonts w:ascii="Calibri" w:hAnsi="Calibri" w:cs="Calibri"/>
                <w:color w:val="000000"/>
                <w:sz w:val="22"/>
                <w:szCs w:val="22"/>
              </w:rPr>
              <w:t>27-sep-19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4A784A" w:rsidP="00014FF3" w:rsidRDefault="004A784A" w14:paraId="5000A769"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4A784A" w:rsidP="0052026E" w:rsidRDefault="004A784A" w14:paraId="442343AE" w14:textId="77777777">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4A784A" w:rsidP="004A784A" w:rsidRDefault="004A784A" w14:paraId="17E85091" w14:textId="77777777">
            <w:pPr>
              <w:rPr>
                <w:rFonts w:ascii="Calibri" w:hAnsi="Calibri" w:cs="Calibri"/>
                <w:color w:val="000000"/>
                <w:sz w:val="22"/>
                <w:szCs w:val="22"/>
              </w:rPr>
            </w:pPr>
            <w:r>
              <w:rPr>
                <w:rFonts w:ascii="Calibri" w:hAnsi="Calibri" w:cs="Calibri"/>
                <w:color w:val="000000"/>
                <w:sz w:val="22"/>
                <w:szCs w:val="22"/>
              </w:rPr>
              <w:t xml:space="preserve">VERSLAG VAN DE COMMISSIE AAN HET EUROPEES PARLEMENT EN DE RAAD over de uitoefening van de bevoegdheid tot het vaststellen van gedelegeerde handelingen die aan de Commissie is toegekend bij Richtlijn 2000/36/EG van het Europees Parlement en de Raad van 23 juni 2000 inzake cacao- en chocoladeproducten voor menselijke consumptie, Richtlijn 2001/110/EG van de Raad van 20 december 2001 inzake honing, Richtlijn 2001/111/EG van de Raad van 20 december 2001 inzake bepaalde voor menselijke voeding bestemde suikers, Richtlijn 2001/112/EG van de Raad van 20 december 2001 inzake voor menselijke voeding bestemde vruchtensappen en bepaalde soortgelijke producten, Richtlijn 2001/113/EG van de Raad van 20 december 2001 inzake voor menselijke voeding bestemde vruchtenjam of -confituur, -gelei en -marmelade, alsmede kastanjepasta </w:t>
            </w:r>
          </w:p>
          <w:p w:rsidR="004A784A" w:rsidP="004A784A" w:rsidRDefault="004A784A" w14:paraId="466782CC" w14:textId="77777777">
            <w:pPr>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A784A" w:rsidP="004A784A" w:rsidRDefault="00564979" w14:paraId="0C11A7D3" w14:textId="77777777">
            <w:pPr>
              <w:rPr>
                <w:rFonts w:ascii="Calibri" w:hAnsi="Calibri" w:cs="Calibri"/>
                <w:color w:val="0000FF"/>
                <w:sz w:val="22"/>
                <w:szCs w:val="22"/>
                <w:u w:val="single"/>
              </w:rPr>
            </w:pPr>
            <w:hyperlink w:history="1" r:id="rId16">
              <w:r w:rsidR="004A784A">
                <w:rPr>
                  <w:rStyle w:val="Hyperlink"/>
                  <w:rFonts w:ascii="Calibri" w:hAnsi="Calibri" w:cs="Calibri"/>
                  <w:sz w:val="22"/>
                  <w:szCs w:val="22"/>
                </w:rPr>
                <w:t>COM (2019) 435</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4A784A" w:rsidP="00014FF3" w:rsidRDefault="004A784A" w14:paraId="1C6009B8"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2814DA" w:rsidR="004A784A" w:rsidP="004A784A" w:rsidRDefault="002814DA" w14:paraId="2B6196EF"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In een aantal richtlijnen heeft de Europese Commissie de bevoegdheid gekregen om gedelegeerde handelingen vast te stellen voor bepaalde handelingen om bij te blijven met de technologiche vooruitgang en ontwikkelingen in internationale normen. </w:t>
            </w:r>
            <w:r w:rsidR="00345375">
              <w:rPr>
                <w:rFonts w:eastAsia="Arial Unicode MS" w:asciiTheme="minorHAnsi" w:hAnsiTheme="minorHAnsi"/>
                <w:noProof/>
                <w:sz w:val="20"/>
                <w:szCs w:val="20"/>
              </w:rPr>
              <w:t xml:space="preserve">Sinds 2014 is de bevoegdheid niet ingezet. </w:t>
            </w:r>
          </w:p>
          <w:p w:rsidR="004A784A" w:rsidP="004A784A" w:rsidRDefault="004A784A" w14:paraId="59E8266A" w14:textId="77777777">
            <w:pPr>
              <w:pBdr>
                <w:top w:val="nil"/>
                <w:left w:val="nil"/>
                <w:bottom w:val="nil"/>
                <w:right w:val="nil"/>
                <w:between w:val="nil"/>
                <w:bar w:val="nil"/>
              </w:pBdr>
              <w:spacing w:after="240"/>
              <w:rPr>
                <w:rFonts w:eastAsia="Arial Unicode MS" w:asciiTheme="minorHAnsi" w:hAnsiTheme="minorHAnsi"/>
                <w:b/>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w:t>
            </w:r>
            <w:r w:rsidR="00326959">
              <w:rPr>
                <w:rFonts w:eastAsia="Arial Unicode MS" w:asciiTheme="minorHAnsi" w:hAnsiTheme="minorHAnsi"/>
                <w:noProof/>
                <w:sz w:val="20"/>
                <w:szCs w:val="20"/>
              </w:rPr>
              <w:t xml:space="preserve"> voor kennisgeving aannemen</w:t>
            </w:r>
          </w:p>
        </w:tc>
      </w:tr>
      <w:tr w:rsidRPr="00221383" w:rsidR="004A784A" w:rsidTr="00614A1B" w14:paraId="49A1F0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A784A" w:rsidP="004A784A" w:rsidRDefault="004A784A" w14:paraId="0FB793A2" w14:textId="77777777">
            <w:pPr>
              <w:rPr>
                <w:rFonts w:ascii="Calibri" w:hAnsi="Calibri" w:cs="Calibri"/>
                <w:color w:val="000000"/>
                <w:sz w:val="22"/>
                <w:szCs w:val="22"/>
              </w:rPr>
            </w:pPr>
            <w:r>
              <w:rPr>
                <w:rFonts w:ascii="Calibri" w:hAnsi="Calibri" w:cs="Calibri"/>
                <w:color w:val="000000"/>
                <w:sz w:val="22"/>
                <w:szCs w:val="22"/>
              </w:rPr>
              <w:lastRenderedPageBreak/>
              <w:t>27-sep-19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4A784A" w:rsidP="00014FF3" w:rsidRDefault="004A784A" w14:paraId="10A770D7"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4A784A" w:rsidP="0052026E" w:rsidRDefault="004A784A" w14:paraId="02A0AA6C" w14:textId="77777777">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4A784A" w:rsidP="004A784A" w:rsidRDefault="004A784A" w14:paraId="68B69B31" w14:textId="77777777">
            <w:pPr>
              <w:rPr>
                <w:rFonts w:ascii="Calibri" w:hAnsi="Calibri" w:cs="Calibri"/>
                <w:color w:val="000000"/>
                <w:sz w:val="22"/>
                <w:szCs w:val="22"/>
              </w:rPr>
            </w:pPr>
            <w:r>
              <w:rPr>
                <w:rFonts w:ascii="Calibri" w:hAnsi="Calibri" w:cs="Calibri"/>
                <w:color w:val="000000"/>
                <w:sz w:val="22"/>
                <w:szCs w:val="22"/>
              </w:rPr>
              <w:t>VERSLAG VAN DE COMMISSIE AAN HET EUROPEES PARLEMENT EN DE RAAD over de uitoefening van de bevoegdheid om gedelegeerde handelingen vast te stellen die aan de Commissie is verleend overeenkomstig Verordening (EU) nr. 1305/2013 van het Europees Parlement en de Raad van 17 december 2013 inzake steun voor plattelandsontwikkeling uit het Europees Landbouwfonds voor plattelandsontwikkeling (Elfpo) en tot intrekking van Verordening (EG) nr. 1698/2005 van de Raad, Verordening (EU) nr. 1306/2013 van het Europees Parlement en de Raad van 17 december 2013 inzake de financiering, het beheer en de monitoring van het gemeenschappelijk landbouwbeleid en tot intrekking van Verordeningen (EEG) nr. 352/78, (EG) nr. 165/94, (EG) nr. 2799/98, (EG) nr. 814/2000, (EG) nr. 1290/2005 en (EG) nr. 485/2008 van de Raad, Verordening (EU) nr. 1307/2013 van het Europees Parlement en de Raad van 17 december 2013 tot vaststelling van voorschriften voor rechtstreekse betalingen aan landbouwers in het kader van de steunregelingen van</w:t>
            </w:r>
          </w:p>
          <w:p w:rsidR="004A784A" w:rsidP="004A784A" w:rsidRDefault="004A784A" w14:paraId="406C9C37" w14:textId="77777777">
            <w:pPr>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4A784A" w:rsidP="004A784A" w:rsidRDefault="00564979" w14:paraId="21B1CCAA" w14:textId="77777777">
            <w:pPr>
              <w:rPr>
                <w:rFonts w:ascii="Calibri" w:hAnsi="Calibri" w:cs="Calibri"/>
                <w:color w:val="0000FF"/>
                <w:sz w:val="22"/>
                <w:szCs w:val="22"/>
                <w:u w:val="single"/>
              </w:rPr>
            </w:pPr>
            <w:hyperlink w:history="1" r:id="rId17">
              <w:r w:rsidR="004A784A">
                <w:rPr>
                  <w:rStyle w:val="Hyperlink"/>
                  <w:rFonts w:ascii="Calibri" w:hAnsi="Calibri" w:cs="Calibri"/>
                  <w:sz w:val="22"/>
                  <w:szCs w:val="22"/>
                </w:rPr>
                <w:t>COM (2019) 433</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4A784A" w:rsidP="00014FF3" w:rsidRDefault="004A784A" w14:paraId="3D0551B3"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65642A" w:rsidR="004A784A" w:rsidP="004A784A" w:rsidRDefault="0065642A" w14:paraId="101C25DC"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65642A">
              <w:rPr>
                <w:rFonts w:eastAsia="Arial Unicode MS" w:asciiTheme="minorHAnsi" w:hAnsiTheme="minorHAnsi"/>
                <w:noProof/>
                <w:sz w:val="20"/>
                <w:szCs w:val="20"/>
              </w:rPr>
              <w:t>De Commiss</w:t>
            </w:r>
            <w:r>
              <w:rPr>
                <w:rFonts w:eastAsia="Arial Unicode MS" w:asciiTheme="minorHAnsi" w:hAnsiTheme="minorHAnsi"/>
                <w:noProof/>
                <w:sz w:val="20"/>
                <w:szCs w:val="20"/>
              </w:rPr>
              <w:t xml:space="preserve">ie doet verslag van het gebruik van gedelegeerde handelingen. Geen opvallendheden in het gebruik van de bevoegdheid.  </w:t>
            </w:r>
          </w:p>
          <w:p w:rsidRPr="004A784A" w:rsidR="004A784A" w:rsidP="004A784A" w:rsidRDefault="004A784A" w14:paraId="22E516A1"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326959">
              <w:rPr>
                <w:rFonts w:eastAsia="Arial Unicode MS" w:asciiTheme="minorHAnsi" w:hAnsiTheme="minorHAnsi"/>
                <w:noProof/>
                <w:sz w:val="20"/>
                <w:szCs w:val="20"/>
              </w:rPr>
              <w:t>voor kennisgeving aannemen</w:t>
            </w:r>
          </w:p>
        </w:tc>
      </w:tr>
      <w:tr w:rsidRPr="00221383" w:rsidR="00AE7D3F" w:rsidTr="00614A1B" w14:paraId="22AEFD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E7D3F" w:rsidP="004A784A" w:rsidRDefault="00AE7D3F" w14:paraId="649B4D60" w14:textId="77777777">
            <w:pPr>
              <w:rPr>
                <w:rFonts w:ascii="Calibri" w:hAnsi="Calibri" w:cs="Calibri"/>
                <w:color w:val="000000"/>
                <w:sz w:val="22"/>
                <w:szCs w:val="22"/>
              </w:rPr>
            </w:pPr>
            <w:r>
              <w:rPr>
                <w:rFonts w:ascii="Calibri" w:hAnsi="Calibri" w:cs="Calibri"/>
                <w:color w:val="000000"/>
                <w:sz w:val="22"/>
                <w:szCs w:val="22"/>
              </w:rPr>
              <w:t>27-sep-19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E7D3F" w:rsidP="00014FF3" w:rsidRDefault="00AE7D3F" w14:paraId="34F459FB"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E7D3F" w:rsidP="0052026E" w:rsidRDefault="00AE7D3F" w14:paraId="1D2CC090" w14:textId="77777777">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AE7D3F" w:rsidP="004A784A" w:rsidRDefault="00AE7D3F" w14:paraId="58E407A3" w14:textId="77777777">
            <w:pPr>
              <w:rPr>
                <w:rFonts w:ascii="Calibri" w:hAnsi="Calibri" w:cs="Calibri"/>
                <w:color w:val="000000"/>
                <w:sz w:val="22"/>
                <w:szCs w:val="22"/>
              </w:rPr>
            </w:pPr>
            <w:r>
              <w:rPr>
                <w:rFonts w:ascii="Calibri" w:hAnsi="Calibri" w:cs="Calibri"/>
                <w:color w:val="000000"/>
                <w:sz w:val="22"/>
                <w:szCs w:val="22"/>
              </w:rPr>
              <w:t xml:space="preserve">VERSLAG VAN DE COMMISSIE AAN HET EUROPEES PARLEMENT EN DE RAAD over de uitoefening van de bevoegdheid tot het vaststellen van gedelegeerde handelingen die aan de Commissie is toegekend bij Verordening (EU) nr. 251/2014 van het Europees Parlement en de Raad van 26 februari 2014 inzake de </w:t>
            </w:r>
            <w:r>
              <w:rPr>
                <w:rFonts w:ascii="Calibri" w:hAnsi="Calibri" w:cs="Calibri"/>
                <w:color w:val="000000"/>
                <w:sz w:val="22"/>
                <w:szCs w:val="22"/>
              </w:rPr>
              <w:lastRenderedPageBreak/>
              <w:t>definitie, de aanduiding, de aanbiedingsvorm, de etikettering en de bescherming van geografische aanduidingen van gearomatiseerde wijnbouwproducten en houdende intrekking van Verordening (EEG) nr. 1601/91 van de Raad</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E7D3F" w:rsidP="004A784A" w:rsidRDefault="00564979" w14:paraId="3F05E250" w14:textId="77777777">
            <w:pPr>
              <w:rPr>
                <w:rFonts w:ascii="Calibri" w:hAnsi="Calibri" w:cs="Calibri"/>
                <w:color w:val="0000FF"/>
                <w:sz w:val="22"/>
                <w:szCs w:val="22"/>
                <w:u w:val="single"/>
              </w:rPr>
            </w:pPr>
            <w:hyperlink w:history="1" r:id="rId18">
              <w:r w:rsidR="00AE7D3F">
                <w:rPr>
                  <w:rStyle w:val="Hyperlink"/>
                  <w:rFonts w:ascii="Calibri" w:hAnsi="Calibri" w:cs="Calibri"/>
                  <w:sz w:val="22"/>
                  <w:szCs w:val="22"/>
                </w:rPr>
                <w:t>COM (2019) 434</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AE7D3F" w:rsidP="00014FF3" w:rsidRDefault="00AE7D3F" w14:paraId="5FC7F8B1"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65642A" w:rsidR="00AE7D3F" w:rsidP="004A784A" w:rsidRDefault="0065642A" w14:paraId="159C9225"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65642A">
              <w:rPr>
                <w:rFonts w:eastAsia="Arial Unicode MS" w:asciiTheme="minorHAnsi" w:hAnsiTheme="minorHAnsi"/>
                <w:noProof/>
                <w:sz w:val="20"/>
                <w:szCs w:val="20"/>
              </w:rPr>
              <w:t>De Commiss</w:t>
            </w:r>
            <w:r>
              <w:rPr>
                <w:rFonts w:eastAsia="Arial Unicode MS" w:asciiTheme="minorHAnsi" w:hAnsiTheme="minorHAnsi"/>
                <w:noProof/>
                <w:sz w:val="20"/>
                <w:szCs w:val="20"/>
              </w:rPr>
              <w:t xml:space="preserve">ie doet verslag van het gebruik van gedelegeerde handelingen. Geen opvallendheden in het gebruik van de bevoegdheid.  </w:t>
            </w:r>
          </w:p>
          <w:p w:rsidRPr="00326959" w:rsidR="00AE7D3F" w:rsidP="004A784A" w:rsidRDefault="00AE7D3F" w14:paraId="329F41E0"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 xml:space="preserve">Behandelvoorstel: </w:t>
            </w:r>
            <w:r w:rsidR="00326959">
              <w:rPr>
                <w:rFonts w:eastAsia="Arial Unicode MS" w:asciiTheme="minorHAnsi" w:hAnsiTheme="minorHAnsi"/>
                <w:noProof/>
                <w:sz w:val="20"/>
                <w:szCs w:val="20"/>
              </w:rPr>
              <w:t>voor kennisgeving aannemen</w:t>
            </w:r>
          </w:p>
        </w:tc>
      </w:tr>
      <w:tr w:rsidRPr="00221383" w:rsidR="00AE7D3F" w:rsidTr="00614A1B" w14:paraId="126969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E7D3F" w:rsidP="004A784A" w:rsidRDefault="00AE7D3F" w14:paraId="2E346AAA" w14:textId="77777777">
            <w:pPr>
              <w:rPr>
                <w:rFonts w:ascii="Calibri" w:hAnsi="Calibri" w:cs="Calibri"/>
                <w:color w:val="000000"/>
                <w:sz w:val="22"/>
                <w:szCs w:val="22"/>
              </w:rPr>
            </w:pPr>
            <w:r>
              <w:rPr>
                <w:rFonts w:ascii="Calibri" w:hAnsi="Calibri" w:cs="Calibri"/>
                <w:color w:val="000000"/>
                <w:sz w:val="22"/>
                <w:szCs w:val="22"/>
              </w:rPr>
              <w:lastRenderedPageBreak/>
              <w:t>27-sep-19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E7D3F" w:rsidP="00014FF3" w:rsidRDefault="00AE7D3F" w14:paraId="2BECCD22"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E7D3F" w:rsidP="0052026E" w:rsidRDefault="00AE7D3F" w14:paraId="36864EDE" w14:textId="77777777">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AE7D3F" w:rsidP="004A784A" w:rsidRDefault="00AE7D3F" w14:paraId="598C795B" w14:textId="77777777">
            <w:pPr>
              <w:rPr>
                <w:rFonts w:ascii="Calibri" w:hAnsi="Calibri" w:cs="Calibri"/>
                <w:color w:val="000000"/>
                <w:sz w:val="22"/>
                <w:szCs w:val="22"/>
              </w:rPr>
            </w:pPr>
            <w:r>
              <w:rPr>
                <w:rFonts w:ascii="Calibri" w:hAnsi="Calibri" w:cs="Calibri"/>
                <w:color w:val="000000"/>
                <w:sz w:val="22"/>
                <w:szCs w:val="22"/>
              </w:rPr>
              <w:t>VERSLAG VAN DE COMMISSIE AAN HET EUROPEES PARLEMENT EN DE RAAD over de uitoefening van de bevoegdheid tot het vaststellen van gedelegeerde handelingen die aan de Commissie is toegekend bij Verordening (EU) nr. 228/2013 van het Europees Parlement en de Raad van 13 maart 2013 houdende specifieke maatregelen op landbouwgebied ten behoeve van de ultraperifere gebieden van de Unie en tot intrekking van Verordening (EG) nr. 247/2006 van de Raad en bij Verordening (EU) nr. 229/2013 van het Europees Parlement en de Raad van 13 maart 2013 houdende specifieke maatregelen op landbouwgebied ten behoeve van de kleinere eilanden in de Egeïsche Zee en tot intrekking van Verordening (EG) nr. 1405/2006 van de Raad</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E7D3F" w:rsidP="004A784A" w:rsidRDefault="00564979" w14:paraId="7D1888AC" w14:textId="77777777">
            <w:pPr>
              <w:rPr>
                <w:rFonts w:ascii="Calibri" w:hAnsi="Calibri" w:cs="Calibri"/>
                <w:color w:val="0000FF"/>
                <w:sz w:val="22"/>
                <w:szCs w:val="22"/>
                <w:u w:val="single"/>
              </w:rPr>
            </w:pPr>
            <w:hyperlink w:history="1" r:id="rId19">
              <w:r w:rsidR="00AE7D3F">
                <w:rPr>
                  <w:rStyle w:val="Hyperlink"/>
                  <w:rFonts w:ascii="Calibri" w:hAnsi="Calibri" w:cs="Calibri"/>
                  <w:sz w:val="22"/>
                  <w:szCs w:val="22"/>
                </w:rPr>
                <w:t>COM (2019) 436</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AE7D3F" w:rsidP="00014FF3" w:rsidRDefault="00AE7D3F" w14:paraId="31402EEA"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65642A" w:rsidR="00AE7D3F" w:rsidP="004A784A" w:rsidRDefault="0065642A" w14:paraId="06548760"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65642A">
              <w:rPr>
                <w:rFonts w:eastAsia="Arial Unicode MS" w:asciiTheme="minorHAnsi" w:hAnsiTheme="minorHAnsi"/>
                <w:noProof/>
                <w:sz w:val="20"/>
                <w:szCs w:val="20"/>
              </w:rPr>
              <w:t>De Commiss</w:t>
            </w:r>
            <w:r>
              <w:rPr>
                <w:rFonts w:eastAsia="Arial Unicode MS" w:asciiTheme="minorHAnsi" w:hAnsiTheme="minorHAnsi"/>
                <w:noProof/>
                <w:sz w:val="20"/>
                <w:szCs w:val="20"/>
              </w:rPr>
              <w:t xml:space="preserve">ie doet verslag van het gebruik van gedelegeerde handelingen. Geen opvallendheden in het gebruik van de bevoegdheid.  </w:t>
            </w:r>
          </w:p>
          <w:p w:rsidRPr="00326959" w:rsidR="00AE7D3F" w:rsidP="004A784A" w:rsidRDefault="00AE7D3F" w14:paraId="73DA2279"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 xml:space="preserve">Behandelvoorstel: </w:t>
            </w:r>
            <w:r w:rsidR="00326959">
              <w:rPr>
                <w:rFonts w:eastAsia="Arial Unicode MS" w:asciiTheme="minorHAnsi" w:hAnsiTheme="minorHAnsi"/>
                <w:noProof/>
                <w:sz w:val="20"/>
                <w:szCs w:val="20"/>
              </w:rPr>
              <w:t>voor kennisgeving aannemen</w:t>
            </w:r>
          </w:p>
        </w:tc>
      </w:tr>
      <w:tr w:rsidRPr="00221383" w:rsidR="00AE7D3F" w:rsidTr="00614A1B" w14:paraId="769563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E7D3F" w:rsidP="004A784A" w:rsidRDefault="00AE7D3F" w14:paraId="70FE62F8" w14:textId="77777777">
            <w:pPr>
              <w:rPr>
                <w:rFonts w:ascii="Calibri" w:hAnsi="Calibri" w:cs="Calibri"/>
                <w:color w:val="000000"/>
                <w:sz w:val="22"/>
                <w:szCs w:val="22"/>
              </w:rPr>
            </w:pPr>
            <w:r>
              <w:rPr>
                <w:rFonts w:ascii="Calibri" w:hAnsi="Calibri" w:cs="Calibri"/>
                <w:color w:val="000000"/>
                <w:sz w:val="22"/>
                <w:szCs w:val="22"/>
              </w:rPr>
              <w:t>27-sep-19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E7D3F" w:rsidP="00014FF3" w:rsidRDefault="00AE7D3F" w14:paraId="6A27C545"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E7D3F" w:rsidP="0052026E" w:rsidRDefault="00AE7D3F" w14:paraId="12C7C79A" w14:textId="77777777">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AE7D3F" w:rsidP="004A784A" w:rsidRDefault="00AE7D3F" w14:paraId="15412921" w14:textId="77777777">
            <w:pPr>
              <w:rPr>
                <w:rFonts w:ascii="Calibri" w:hAnsi="Calibri" w:cs="Calibri"/>
                <w:color w:val="000000"/>
                <w:sz w:val="22"/>
                <w:szCs w:val="22"/>
              </w:rPr>
            </w:pPr>
            <w:r>
              <w:rPr>
                <w:rFonts w:ascii="Calibri" w:hAnsi="Calibri" w:cs="Calibri"/>
                <w:color w:val="000000"/>
                <w:sz w:val="22"/>
                <w:szCs w:val="22"/>
              </w:rPr>
              <w:t xml:space="preserve">VERSLAG VAN DE COMMISSIE AAN HET EUROPEES PARLEMENT EN DE RAAD over de uitoefening van de bevoegdheid tot het vaststellen van gedelegeerde handelingen die aan de Commissie is toegekend bij Richtlijn 2000/36/EG van het Europees Parlement en de Raad van 23 juni 2000 inzake cacao- en chocoladeproducten voor menselijke consumptie, Richtlijn 2001/110/EG van de Raad van 20 december 2001 inzake honing, Richtlijn 2001/111/EG van de Raad van 20 december </w:t>
            </w:r>
            <w:r>
              <w:rPr>
                <w:rFonts w:ascii="Calibri" w:hAnsi="Calibri" w:cs="Calibri"/>
                <w:color w:val="000000"/>
                <w:sz w:val="22"/>
                <w:szCs w:val="22"/>
              </w:rPr>
              <w:lastRenderedPageBreak/>
              <w:t>2001 inzake bepaalde voor menselijke voeding bestemde suikers, Richtlijn 2001/112/EG van de Raad van 20 december 2001 inzake voor menselijke voeding bestemde vruchtensappen en bepaalde soortgelijke producten, Richtlijn 2001/113/EG van de Raad van 20 december 2001 inzake voor menselijke voeding bestemde vruchtenjam of -confituur, -gelei en -marmelade, alsmede kastanjepasta</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E7D3F" w:rsidP="004A784A" w:rsidRDefault="00564979" w14:paraId="7FD383B8" w14:textId="77777777">
            <w:pPr>
              <w:rPr>
                <w:rFonts w:ascii="Calibri" w:hAnsi="Calibri" w:cs="Calibri"/>
                <w:color w:val="0000FF"/>
                <w:sz w:val="22"/>
                <w:szCs w:val="22"/>
                <w:u w:val="single"/>
              </w:rPr>
            </w:pPr>
            <w:hyperlink w:history="1" r:id="rId20">
              <w:r w:rsidR="00AE7D3F">
                <w:rPr>
                  <w:rStyle w:val="Hyperlink"/>
                  <w:rFonts w:ascii="Calibri" w:hAnsi="Calibri" w:cs="Calibri"/>
                  <w:sz w:val="22"/>
                  <w:szCs w:val="22"/>
                </w:rPr>
                <w:t>COM (2019) 437</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AE7D3F" w:rsidP="00014FF3" w:rsidRDefault="00AE7D3F" w14:paraId="7071148A"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0268DC" w:rsidR="00AE7D3F" w:rsidP="004A784A" w:rsidRDefault="000268DC" w14:paraId="3D2DE526"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65642A">
              <w:rPr>
                <w:rFonts w:eastAsia="Arial Unicode MS" w:asciiTheme="minorHAnsi" w:hAnsiTheme="minorHAnsi"/>
                <w:noProof/>
                <w:sz w:val="20"/>
                <w:szCs w:val="20"/>
              </w:rPr>
              <w:t>De Commiss</w:t>
            </w:r>
            <w:r>
              <w:rPr>
                <w:rFonts w:eastAsia="Arial Unicode MS" w:asciiTheme="minorHAnsi" w:hAnsiTheme="minorHAnsi"/>
                <w:noProof/>
                <w:sz w:val="20"/>
                <w:szCs w:val="20"/>
              </w:rPr>
              <w:t xml:space="preserve">ie doet verslag van het gebruik van gedelegeerde handelingen. Geen opvallendheden in het gebruik van de bevoegdheid.  </w:t>
            </w:r>
          </w:p>
          <w:p w:rsidRPr="00AE7D3F" w:rsidR="00AE7D3F" w:rsidP="004A784A" w:rsidRDefault="00AE7D3F" w14:paraId="24BCB5C1"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326959">
              <w:rPr>
                <w:rFonts w:eastAsia="Arial Unicode MS" w:asciiTheme="minorHAnsi" w:hAnsiTheme="minorHAnsi"/>
                <w:noProof/>
                <w:sz w:val="20"/>
                <w:szCs w:val="20"/>
              </w:rPr>
              <w:t>voor kennisgeving aannemen</w:t>
            </w:r>
          </w:p>
        </w:tc>
      </w:tr>
      <w:tr w:rsidRPr="00221383" w:rsidR="00A97650" w:rsidTr="00614A1B" w14:paraId="26C643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97650" w:rsidP="004A784A" w:rsidRDefault="00A97650" w14:paraId="5C176D7B" w14:textId="77777777">
            <w:pPr>
              <w:rPr>
                <w:rFonts w:ascii="Calibri" w:hAnsi="Calibri" w:cs="Calibri"/>
                <w:color w:val="000000"/>
                <w:sz w:val="22"/>
                <w:szCs w:val="22"/>
              </w:rPr>
            </w:pPr>
            <w:r>
              <w:rPr>
                <w:rFonts w:ascii="Calibri" w:hAnsi="Calibri" w:cs="Calibri"/>
                <w:color w:val="000000"/>
                <w:sz w:val="22"/>
                <w:szCs w:val="22"/>
              </w:rPr>
              <w:lastRenderedPageBreak/>
              <w:t>1-okt-19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97650" w:rsidP="00014FF3" w:rsidRDefault="00A97650" w14:paraId="09D0003F"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97650" w:rsidP="0052026E" w:rsidRDefault="00A97650" w14:paraId="0BA62E55" w14:textId="77777777">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A97650" w:rsidP="004A784A" w:rsidRDefault="00A97650" w14:paraId="014C2443" w14:textId="77777777">
            <w:pPr>
              <w:rPr>
                <w:rFonts w:ascii="Calibri" w:hAnsi="Calibri" w:cs="Calibri"/>
                <w:color w:val="000000"/>
                <w:sz w:val="22"/>
                <w:szCs w:val="22"/>
              </w:rPr>
            </w:pPr>
            <w:r>
              <w:rPr>
                <w:rFonts w:ascii="Calibri" w:hAnsi="Calibri" w:cs="Calibri"/>
                <w:color w:val="000000"/>
                <w:sz w:val="22"/>
                <w:szCs w:val="22"/>
              </w:rPr>
              <w:t>Voorstel voor een BESLUIT VAN DE RAAD betreffende de sluiting van de overeenkomst in de vorm van een briefwisseling tussen de Europese Unie en de Islamitische Republiek Mauritanië over de verlenging van het protocol tot vaststelling van de vangstmogelijkheden en de financiële tegenprestatie waarin is voorzien bij de Partnerschapsovereenkomst inzake visserij tussen de Europese Gemeenschap en de Islamitische Republiek Mauritanië, dat op 15 november 2019 afloopt</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97650" w:rsidP="004A784A" w:rsidRDefault="00564979" w14:paraId="6117C65A" w14:textId="77777777">
            <w:pPr>
              <w:rPr>
                <w:rFonts w:ascii="Calibri" w:hAnsi="Calibri" w:cs="Calibri"/>
                <w:color w:val="0000FF"/>
                <w:sz w:val="22"/>
                <w:szCs w:val="22"/>
                <w:u w:val="single"/>
              </w:rPr>
            </w:pPr>
            <w:hyperlink w:history="1" r:id="rId21">
              <w:r w:rsidR="00A97650">
                <w:rPr>
                  <w:rStyle w:val="Hyperlink"/>
                  <w:rFonts w:ascii="Calibri" w:hAnsi="Calibri" w:cs="Calibri"/>
                  <w:sz w:val="22"/>
                  <w:szCs w:val="22"/>
                </w:rPr>
                <w:t>COM (2019) 448</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A97650" w:rsidP="00014FF3" w:rsidRDefault="00A97650" w14:paraId="68214462"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BC0C4E" w:rsidR="00BC0C4E" w:rsidP="004A784A" w:rsidRDefault="00BC0C4E" w14:paraId="5F49592A"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Het voorstel betreft de goedkeuring van de overeenkomst in de vorm van een briefwisseling tussen de EU en Mauritanië over de verlenging </w:t>
            </w:r>
            <w:r w:rsidR="00C758F2">
              <w:rPr>
                <w:rFonts w:eastAsia="Arial Unicode MS" w:asciiTheme="minorHAnsi" w:hAnsiTheme="minorHAnsi"/>
                <w:noProof/>
                <w:sz w:val="20"/>
                <w:szCs w:val="20"/>
              </w:rPr>
              <w:t xml:space="preserve">van het protocol tot vaststelling van de vangstmogelijkheden en de financiële tegenprestatie. </w:t>
            </w:r>
          </w:p>
          <w:p w:rsidRPr="00A97650" w:rsidR="00A97650" w:rsidP="004A784A" w:rsidRDefault="00A97650" w14:paraId="1BEE79E0"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326959">
              <w:rPr>
                <w:rFonts w:eastAsia="Arial Unicode MS" w:asciiTheme="minorHAnsi" w:hAnsiTheme="minorHAnsi"/>
                <w:noProof/>
                <w:sz w:val="20"/>
                <w:szCs w:val="20"/>
              </w:rPr>
              <w:t>voor kennisgeving aannemen</w:t>
            </w:r>
          </w:p>
        </w:tc>
      </w:tr>
      <w:tr w:rsidRPr="00221383" w:rsidR="00A97650" w:rsidTr="00614A1B" w14:paraId="1E37E6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97650" w:rsidP="004A784A" w:rsidRDefault="00A97650" w14:paraId="1F0AA1D5" w14:textId="77777777">
            <w:pPr>
              <w:rPr>
                <w:rFonts w:ascii="Calibri" w:hAnsi="Calibri" w:cs="Calibri"/>
                <w:color w:val="000000"/>
                <w:sz w:val="22"/>
                <w:szCs w:val="22"/>
              </w:rPr>
            </w:pPr>
            <w:r>
              <w:rPr>
                <w:rFonts w:ascii="Calibri" w:hAnsi="Calibri" w:cs="Calibri"/>
                <w:color w:val="000000"/>
                <w:sz w:val="22"/>
                <w:szCs w:val="22"/>
              </w:rPr>
              <w:t>1-okt-19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97650" w:rsidP="00014FF3" w:rsidRDefault="00A97650" w14:paraId="75EF357A"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97650" w:rsidP="0052026E" w:rsidRDefault="00A97650" w14:paraId="74E38600" w14:textId="77777777">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A97650" w:rsidP="004A784A" w:rsidRDefault="00A97650" w14:paraId="5798916E" w14:textId="77777777">
            <w:pPr>
              <w:rPr>
                <w:rFonts w:ascii="Calibri" w:hAnsi="Calibri" w:cs="Calibri"/>
                <w:color w:val="000000"/>
                <w:sz w:val="22"/>
                <w:szCs w:val="22"/>
              </w:rPr>
            </w:pPr>
            <w:r>
              <w:rPr>
                <w:rFonts w:ascii="Calibri" w:hAnsi="Calibri" w:cs="Calibri"/>
                <w:color w:val="000000"/>
                <w:sz w:val="22"/>
                <w:szCs w:val="22"/>
              </w:rPr>
              <w:t>Voorstel voor een BESLUIT VAN DE RAAD betreffende de ondertekening, namens de Europese Unie, en voorlopige toepassing van de overeenkomst in de vorm van een briefwisseling tussen de Europese Unie en de Islamitische Republiek Mauritanië over de verlenging van het protocol tot vaststelling van de vangstmogelijkheden en de financiële tegenprestatie waarin is voorzien bij de Partnerschapsovereenkomst inzake visserij tussen de Europese Gemeenschap en de Islamitische Republiek Mauritanië, dat op 15 november 2019 afloopt</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97650" w:rsidP="004A784A" w:rsidRDefault="00564979" w14:paraId="1310044D" w14:textId="77777777">
            <w:pPr>
              <w:rPr>
                <w:rFonts w:ascii="Calibri" w:hAnsi="Calibri" w:cs="Calibri"/>
                <w:color w:val="0000FF"/>
                <w:sz w:val="22"/>
                <w:szCs w:val="22"/>
                <w:u w:val="single"/>
              </w:rPr>
            </w:pPr>
            <w:hyperlink w:history="1" r:id="rId22">
              <w:r w:rsidR="00A97650">
                <w:rPr>
                  <w:rStyle w:val="Hyperlink"/>
                  <w:rFonts w:ascii="Calibri" w:hAnsi="Calibri" w:cs="Calibri"/>
                  <w:sz w:val="22"/>
                  <w:szCs w:val="22"/>
                </w:rPr>
                <w:t>COM (2019) 447</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A97650" w:rsidP="00014FF3" w:rsidRDefault="00A97650" w14:paraId="6881C18E"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BC0C4E" w:rsidR="007039BB" w:rsidP="007039BB" w:rsidRDefault="007039BB" w14:paraId="54EB5EA5"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Het voorstel betreft de ondertekening en de voorlopige toepassing van de overeenkomst in de vorm van een briefwisseling tussen de EU en Mauritanië over de verlenging van het protocol tot vaststelling van de vangstmogelijkheden en de financiële tegenprestatie. </w:t>
            </w:r>
          </w:p>
          <w:p w:rsidRPr="00A97650" w:rsidR="00A97650" w:rsidP="004A784A" w:rsidRDefault="00A97650" w14:paraId="649AB5A8"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326959">
              <w:rPr>
                <w:rFonts w:eastAsia="Arial Unicode MS" w:asciiTheme="minorHAnsi" w:hAnsiTheme="minorHAnsi"/>
                <w:noProof/>
                <w:sz w:val="20"/>
                <w:szCs w:val="20"/>
              </w:rPr>
              <w:t>voor kennisgeving aannemen</w:t>
            </w:r>
          </w:p>
        </w:tc>
      </w:tr>
      <w:tr w:rsidRPr="00221383" w:rsidR="00CB729C" w:rsidTr="00614A1B" w14:paraId="3CB1F2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B729C" w:rsidP="00CB729C" w:rsidRDefault="00CB729C" w14:paraId="2F32FED7" w14:textId="763BBC67">
            <w:pPr>
              <w:rPr>
                <w:rFonts w:ascii="Calibri" w:hAnsi="Calibri" w:cs="Calibri"/>
                <w:color w:val="000000"/>
                <w:sz w:val="22"/>
                <w:szCs w:val="22"/>
              </w:rPr>
            </w:pPr>
            <w:r>
              <w:rPr>
                <w:rFonts w:ascii="Calibri" w:hAnsi="Calibri" w:cs="Calibri"/>
                <w:color w:val="000000"/>
                <w:sz w:val="22"/>
                <w:szCs w:val="22"/>
              </w:rPr>
              <w:lastRenderedPageBreak/>
              <w:t>14-okt-19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B729C" w:rsidP="00014FF3" w:rsidRDefault="00CB729C" w14:paraId="52675206" w14:textId="0E7E7349">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B729C" w:rsidP="0052026E" w:rsidRDefault="00CB729C" w14:paraId="60C29ACD" w14:textId="7EB4B7F8">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CB729C" w:rsidP="004A784A" w:rsidRDefault="00CB729C" w14:paraId="24B99685" w14:textId="5398A28E">
            <w:pPr>
              <w:rPr>
                <w:rFonts w:ascii="Calibri" w:hAnsi="Calibri" w:cs="Calibri"/>
                <w:color w:val="000000"/>
                <w:sz w:val="22"/>
                <w:szCs w:val="22"/>
              </w:rPr>
            </w:pPr>
            <w:r>
              <w:rPr>
                <w:rFonts w:ascii="Calibri" w:hAnsi="Calibri" w:cs="Calibri"/>
                <w:color w:val="000000"/>
                <w:sz w:val="22"/>
                <w:szCs w:val="22"/>
              </w:rPr>
              <w:t>Voorstel voor een BESLUIT VAN DE RAAD betreffende de sluiting, namens de Europese Unie, van het protocol tot wijziging van het Internationaal Verdrag voor de instandhouding van Atlantische tonijnen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B729C" w:rsidP="004A784A" w:rsidRDefault="00564979" w14:paraId="7ED0434E" w14:textId="643D34B7">
            <w:hyperlink w:history="1" r:id="rId23">
              <w:r w:rsidR="00CB729C">
                <w:rPr>
                  <w:rStyle w:val="Hyperlink"/>
                  <w:rFonts w:ascii="Calibri" w:hAnsi="Calibri" w:cs="Calibri"/>
                  <w:sz w:val="22"/>
                  <w:szCs w:val="22"/>
                </w:rPr>
                <w:t>COM (2019) 472</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CB729C" w:rsidP="00014FF3" w:rsidRDefault="00CB729C" w14:paraId="16B3031F"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CB729C" w:rsidP="00CB729C" w:rsidRDefault="00CB729C" w14:paraId="3A17DC92" w14:textId="2A6CD205">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In 2013 heeft de Europese Commissie mandaat gekregen om te onderhandelen over een wijziging van het Internationaal Verdrag voor de instandhouding van Atlantsiche tonijnen. Het voornemen is om in de vergadering van de Iccat-commissie van 18 tot en met 25 november 2019 een besluit te nemen over het protocol tot wijziging van het verdrag. Dit voorgestelde besluit stelt voor om het protocol namens de Unie goed te keuren. Voornaamste gevolgen van de wijzigingen zijn de volgende:</w:t>
            </w:r>
          </w:p>
          <w:p w:rsidR="00CB729C" w:rsidP="00CB729C" w:rsidRDefault="00CB729C" w14:paraId="2BC1C250" w14:textId="3F5E906C">
            <w:pPr>
              <w:pStyle w:val="Lijstalinea"/>
              <w:numPr>
                <w:ilvl w:val="0"/>
                <w:numId w:val="6"/>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Uitbreiding toepassingsgebied tot instandhouding en beheer van haaien;</w:t>
            </w:r>
          </w:p>
          <w:p w:rsidR="00CB729C" w:rsidP="00CB729C" w:rsidRDefault="00CB729C" w14:paraId="29D76031" w14:textId="660765F8">
            <w:pPr>
              <w:pStyle w:val="Lijstalinea"/>
              <w:numPr>
                <w:ilvl w:val="0"/>
                <w:numId w:val="6"/>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Verduidelijking stemregels en quorum Iccat commissie;</w:t>
            </w:r>
          </w:p>
          <w:p w:rsidR="00CB729C" w:rsidP="00CB729C" w:rsidRDefault="00CB729C" w14:paraId="44DFC3EB" w14:textId="4178AEE8">
            <w:pPr>
              <w:pStyle w:val="Lijstalinea"/>
              <w:numPr>
                <w:ilvl w:val="0"/>
                <w:numId w:val="6"/>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 xml:space="preserve">Vaststelling beginselen Iccat-commissie; </w:t>
            </w:r>
          </w:p>
          <w:p w:rsidR="00CB729C" w:rsidP="00CB729C" w:rsidRDefault="00CB729C" w14:paraId="65106828" w14:textId="7232AFFD">
            <w:pPr>
              <w:pStyle w:val="Lijstalinea"/>
              <w:numPr>
                <w:ilvl w:val="0"/>
                <w:numId w:val="6"/>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Termijn inwerkingtreding van goedgekeurde aanbevelingen</w:t>
            </w:r>
            <w:r w:rsidR="00B2280B">
              <w:rPr>
                <w:rFonts w:eastAsia="Arial Unicode MS" w:asciiTheme="minorHAnsi" w:hAnsiTheme="minorHAnsi"/>
                <w:noProof/>
                <w:sz w:val="20"/>
                <w:szCs w:val="20"/>
              </w:rPr>
              <w:t xml:space="preserve"> -</w:t>
            </w:r>
            <w:r>
              <w:rPr>
                <w:rFonts w:eastAsia="Arial Unicode MS" w:asciiTheme="minorHAnsi" w:hAnsiTheme="minorHAnsi"/>
                <w:noProof/>
                <w:sz w:val="20"/>
                <w:szCs w:val="20"/>
              </w:rPr>
              <w:t xml:space="preserve"> van 6 naar 4 maanden;</w:t>
            </w:r>
          </w:p>
          <w:p w:rsidR="00CB729C" w:rsidP="00CB729C" w:rsidRDefault="00B2280B" w14:paraId="11A09A22" w14:textId="21AEDF00">
            <w:pPr>
              <w:pStyle w:val="Lijstalinea"/>
              <w:numPr>
                <w:ilvl w:val="0"/>
                <w:numId w:val="6"/>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Verduidelijking bezwaarprocedure;</w:t>
            </w:r>
          </w:p>
          <w:p w:rsidR="00B2280B" w:rsidP="00CB729C" w:rsidRDefault="00B2280B" w14:paraId="4CADBA99" w14:textId="7A094874">
            <w:pPr>
              <w:pStyle w:val="Lijstalinea"/>
              <w:numPr>
                <w:ilvl w:val="0"/>
                <w:numId w:val="6"/>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Versterkte samenwerking met niet-verdragsluitende partijen;</w:t>
            </w:r>
          </w:p>
          <w:p w:rsidRPr="00CB729C" w:rsidR="00B2280B" w:rsidP="00CB729C" w:rsidRDefault="00B2280B" w14:paraId="512D75F6" w14:textId="1997C8E2">
            <w:pPr>
              <w:pStyle w:val="Lijstalinea"/>
              <w:numPr>
                <w:ilvl w:val="0"/>
                <w:numId w:val="6"/>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Vrijwillig mechanisme voor geschillenbeslechting</w:t>
            </w:r>
          </w:p>
          <w:p w:rsidR="00CB729C" w:rsidP="007039BB" w:rsidRDefault="00CB729C" w14:paraId="7E50433B" w14:textId="77777777">
            <w:pPr>
              <w:pBdr>
                <w:top w:val="nil"/>
                <w:left w:val="nil"/>
                <w:bottom w:val="nil"/>
                <w:right w:val="nil"/>
                <w:between w:val="nil"/>
                <w:bar w:val="nil"/>
              </w:pBdr>
              <w:spacing w:after="240"/>
              <w:rPr>
                <w:rFonts w:eastAsia="Arial Unicode MS" w:asciiTheme="minorHAnsi" w:hAnsiTheme="minorHAnsi"/>
                <w:noProof/>
                <w:sz w:val="20"/>
                <w:szCs w:val="20"/>
              </w:rPr>
            </w:pPr>
          </w:p>
          <w:p w:rsidR="00CB729C" w:rsidP="007039BB" w:rsidRDefault="00CB729C" w14:paraId="6C8B726F" w14:textId="59158E04">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p>
        </w:tc>
      </w:tr>
      <w:tr w:rsidRPr="00221383" w:rsidR="00CB729C" w:rsidTr="00614A1B" w14:paraId="25812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B729C" w:rsidP="00CB729C" w:rsidRDefault="00CB729C" w14:paraId="4669E69B" w14:textId="73CBCB5C">
            <w:pPr>
              <w:rPr>
                <w:rFonts w:ascii="Calibri" w:hAnsi="Calibri" w:cs="Calibri"/>
                <w:color w:val="000000"/>
                <w:sz w:val="22"/>
                <w:szCs w:val="22"/>
              </w:rPr>
            </w:pPr>
            <w:r>
              <w:rPr>
                <w:rFonts w:ascii="Calibri" w:hAnsi="Calibri" w:cs="Calibri"/>
                <w:color w:val="000000"/>
                <w:sz w:val="22"/>
                <w:szCs w:val="22"/>
              </w:rPr>
              <w:t>14-okt-19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B729C" w:rsidP="00014FF3" w:rsidRDefault="00CB729C" w14:paraId="67C09B1A" w14:textId="2C135972">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B729C" w:rsidP="0052026E" w:rsidRDefault="00CB729C" w14:paraId="630B29A2" w14:textId="3F2B5677">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CB729C" w:rsidP="004A784A" w:rsidRDefault="00CB729C" w14:paraId="3E4908FD" w14:textId="511C0536">
            <w:pPr>
              <w:rPr>
                <w:rFonts w:ascii="Calibri" w:hAnsi="Calibri" w:cs="Calibri"/>
                <w:color w:val="000000"/>
                <w:sz w:val="22"/>
                <w:szCs w:val="22"/>
              </w:rPr>
            </w:pPr>
            <w:r>
              <w:rPr>
                <w:rFonts w:ascii="Calibri" w:hAnsi="Calibri" w:cs="Calibri"/>
                <w:color w:val="000000"/>
                <w:sz w:val="22"/>
                <w:szCs w:val="22"/>
              </w:rPr>
              <w:t>Voorstel voor een besluit van de Raad betreffende de ondertekening, namens de Europese Unie, en de voorlopige toepassing van het Protocol tot wijziging van het Internationaal Verdrag voor de instandhouding van Atlantische tonijnen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B729C" w:rsidP="004A784A" w:rsidRDefault="00564979" w14:paraId="12EAA349" w14:textId="3DDE2F8F">
            <w:pPr>
              <w:rPr>
                <w:rFonts w:ascii="Calibri" w:hAnsi="Calibri" w:cs="Calibri"/>
                <w:color w:val="0000FF"/>
                <w:sz w:val="22"/>
                <w:szCs w:val="22"/>
                <w:u w:val="single"/>
              </w:rPr>
            </w:pPr>
            <w:hyperlink w:history="1" r:id="rId24">
              <w:r w:rsidRPr="00BA2810" w:rsidR="00BA2810">
                <w:rPr>
                  <w:rStyle w:val="Hyperlink"/>
                  <w:rFonts w:ascii="Calibri" w:hAnsi="Calibri"/>
                  <w:sz w:val="22"/>
                  <w:szCs w:val="22"/>
                </w:rPr>
                <w:t>COM (2019) 470</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CB729C" w:rsidP="00014FF3" w:rsidRDefault="00CB729C" w14:paraId="4E86E509"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CB729C" w:rsidP="007039BB" w:rsidRDefault="00BA2810" w14:paraId="1CAAA28B" w14:textId="6BBBBDE9">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Dit besluit stelt voor om machtiging te verlenen om namens de unie het protocol tot wijziging van het Internationaal Verdrag te ondertekening onder voorbehoud van sluiting van dat protocol.  (link met bovenstaand voorstelt tot besluit (COM(2019)470))</w:t>
            </w:r>
          </w:p>
          <w:p w:rsidR="00BA2810" w:rsidP="007039BB" w:rsidRDefault="00BA2810" w14:paraId="280D68FB" w14:textId="6FB4E3BA">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p>
        </w:tc>
      </w:tr>
      <w:tr w:rsidRPr="00221383" w:rsidR="00CB729C" w:rsidTr="00614A1B" w14:paraId="099384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B729C" w:rsidP="00CB729C" w:rsidRDefault="00CB729C" w14:paraId="3B76846C" w14:textId="698A462A">
            <w:pPr>
              <w:rPr>
                <w:rFonts w:ascii="Calibri" w:hAnsi="Calibri" w:cs="Calibri"/>
                <w:color w:val="000000"/>
                <w:sz w:val="22"/>
                <w:szCs w:val="22"/>
              </w:rPr>
            </w:pPr>
            <w:r>
              <w:rPr>
                <w:rFonts w:ascii="Calibri" w:hAnsi="Calibri" w:cs="Calibri"/>
                <w:color w:val="000000"/>
                <w:sz w:val="22"/>
                <w:szCs w:val="22"/>
              </w:rPr>
              <w:lastRenderedPageBreak/>
              <w:t>15-okt-19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B729C" w:rsidP="00CB729C" w:rsidRDefault="00CB729C" w14:paraId="4CC2FFC5" w14:textId="5F8F5F39">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B729C" w:rsidP="00CB729C" w:rsidRDefault="00CB729C" w14:paraId="6FDB0EEA" w14:textId="1A4503F2">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CB729C" w:rsidP="00CB729C" w:rsidRDefault="00CB729C" w14:paraId="64B52684" w14:textId="77777777">
            <w:pPr>
              <w:rPr>
                <w:rFonts w:ascii="Calibri" w:hAnsi="Calibri" w:cs="Calibri"/>
                <w:color w:val="000000"/>
                <w:sz w:val="22"/>
                <w:szCs w:val="22"/>
              </w:rPr>
            </w:pPr>
            <w:r>
              <w:rPr>
                <w:rFonts w:ascii="Calibri" w:hAnsi="Calibri" w:cs="Calibri"/>
                <w:color w:val="000000"/>
                <w:sz w:val="22"/>
                <w:szCs w:val="22"/>
              </w:rPr>
              <w:t>VERSLAG VAN DE COMMISSIE AAN HET EUROPEES PARLEMENT EN DE RAAD over de ontwikkeling, validering en wettelijke erkenning van alternatieve methoden voor dierproeven op het gebied van cosmetische producten (2018)</w:t>
            </w:r>
          </w:p>
          <w:p w:rsidR="00CB729C" w:rsidP="00CB729C" w:rsidRDefault="00CB729C" w14:paraId="41D82BDB" w14:textId="77777777">
            <w:pPr>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B729C" w:rsidP="00CB729C" w:rsidRDefault="00564979" w14:paraId="1D174C59" w14:textId="14937A5C">
            <w:pPr>
              <w:rPr>
                <w:rFonts w:ascii="Calibri" w:hAnsi="Calibri" w:cs="Calibri"/>
                <w:color w:val="0000FF"/>
                <w:sz w:val="22"/>
                <w:szCs w:val="22"/>
                <w:u w:val="single"/>
              </w:rPr>
            </w:pPr>
            <w:hyperlink w:history="1" r:id="rId25">
              <w:r w:rsidR="00CB729C">
                <w:rPr>
                  <w:rStyle w:val="Hyperlink"/>
                  <w:rFonts w:ascii="Calibri" w:hAnsi="Calibri" w:cs="Calibri"/>
                  <w:sz w:val="22"/>
                  <w:szCs w:val="22"/>
                </w:rPr>
                <w:t>COM (2019) 479</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CB729C" w:rsidP="00CB729C" w:rsidRDefault="00CB729C" w14:paraId="21D8B95E"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CB729C" w:rsidP="00CB729C" w:rsidRDefault="0002584F" w14:paraId="256B5219" w14:textId="3DC18EE6">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Het betreft het dertiende verslag van de Commissie over de ontwikkeling, validering en wettelijke erkenning van alternatieve methoden voor dierproeven op het gebied van cosmetische producten. </w:t>
            </w:r>
            <w:r w:rsidR="001918F9">
              <w:rPr>
                <w:rFonts w:eastAsia="Arial Unicode MS" w:asciiTheme="minorHAnsi" w:hAnsiTheme="minorHAnsi"/>
                <w:noProof/>
                <w:sz w:val="20"/>
                <w:szCs w:val="20"/>
              </w:rPr>
              <w:t>Dit verslag wordt gedaan op grond van artikel 35 van Verordening 1223/2009</w:t>
            </w:r>
            <w:r w:rsidR="005A02F2">
              <w:rPr>
                <w:rFonts w:eastAsia="Arial Unicode MS" w:asciiTheme="minorHAnsi" w:hAnsiTheme="minorHAnsi"/>
                <w:noProof/>
                <w:sz w:val="20"/>
                <w:szCs w:val="20"/>
              </w:rPr>
              <w:t xml:space="preserve"> en richtlijn 86/609/EEG</w:t>
            </w:r>
            <w:r w:rsidR="005076C6">
              <w:rPr>
                <w:rFonts w:eastAsia="Arial Unicode MS" w:asciiTheme="minorHAnsi" w:hAnsiTheme="minorHAnsi"/>
                <w:noProof/>
                <w:sz w:val="20"/>
                <w:szCs w:val="20"/>
              </w:rPr>
              <w:t>. Weinig melding van problemen bij naleving van de verboden. Het belangrijkste probleem bij naleving en toezicht is het feit dat er vaak onvolledige dossiers zijn.   De Commissie gaat in op de vooruitgang op het gebied van onderzoeks- en ontwikkelingsactiviteiten voor alternatieve methoden voor dierproeven en de validering van deze methoden.</w:t>
            </w:r>
            <w:r w:rsidR="00664E7A">
              <w:rPr>
                <w:rFonts w:eastAsia="Arial Unicode MS" w:asciiTheme="minorHAnsi" w:hAnsiTheme="minorHAnsi"/>
                <w:noProof/>
                <w:sz w:val="20"/>
                <w:szCs w:val="20"/>
              </w:rPr>
              <w:t xml:space="preserve"> Er zijn grote vorderingen, maar de alternatieve testmethoden zijn nog niet aanvaard voor de veiligheidsbeoordeling</w:t>
            </w:r>
            <w:r w:rsidR="001F1ABD">
              <w:rPr>
                <w:rFonts w:eastAsia="Arial Unicode MS" w:asciiTheme="minorHAnsi" w:hAnsiTheme="minorHAnsi"/>
                <w:noProof/>
                <w:sz w:val="20"/>
                <w:szCs w:val="20"/>
              </w:rPr>
              <w:t xml:space="preserve"> van ingrediënten voor sommige van de meest complexe eindpunten, met name gelinkt aan toxiciteit. </w:t>
            </w:r>
            <w:r w:rsidR="00893F5D">
              <w:rPr>
                <w:rFonts w:eastAsia="Arial Unicode MS" w:asciiTheme="minorHAnsi" w:hAnsiTheme="minorHAnsi"/>
                <w:noProof/>
                <w:sz w:val="20"/>
                <w:szCs w:val="20"/>
              </w:rPr>
              <w:t xml:space="preserve">De Commissie geeft aan zich te blijven inzetten voor ontwkkeling op deze terreinen. </w:t>
            </w:r>
          </w:p>
          <w:p w:rsidRPr="0002584F" w:rsidR="0002584F" w:rsidP="00CB729C" w:rsidRDefault="0002584F" w14:paraId="124C061F" w14:textId="7BEF7479">
            <w:pPr>
              <w:pBdr>
                <w:top w:val="nil"/>
                <w:left w:val="nil"/>
                <w:bottom w:val="nil"/>
                <w:right w:val="nil"/>
                <w:between w:val="nil"/>
                <w:bar w:val="nil"/>
              </w:pBdr>
              <w:spacing w:after="240"/>
              <w:rPr>
                <w:rFonts w:eastAsia="Arial Unicode MS" w:asciiTheme="minorHAnsi" w:hAnsiTheme="minorHAnsi"/>
                <w:b/>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p>
        </w:tc>
      </w:tr>
      <w:tr w:rsidRPr="00221383" w:rsidR="00F010DA" w:rsidTr="00614A1B" w14:paraId="18DD65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010DA" w:rsidP="00CB729C" w:rsidRDefault="00F010DA" w14:paraId="06425767" w14:textId="7613FD76">
            <w:pPr>
              <w:rPr>
                <w:rFonts w:ascii="Calibri" w:hAnsi="Calibri" w:cs="Calibri"/>
                <w:color w:val="000000"/>
                <w:sz w:val="22"/>
                <w:szCs w:val="22"/>
              </w:rPr>
            </w:pPr>
            <w:r>
              <w:rPr>
                <w:rFonts w:ascii="Calibri" w:hAnsi="Calibri" w:cs="Calibri"/>
                <w:color w:val="000000"/>
                <w:sz w:val="22"/>
                <w:szCs w:val="22"/>
              </w:rPr>
              <w:t>17-okt-19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F010DA" w:rsidP="00CB729C" w:rsidRDefault="00F010DA" w14:paraId="3A1FB6DA" w14:textId="02693FDD">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F010DA" w:rsidP="00CB729C" w:rsidRDefault="00F010DA" w14:paraId="6DB69804" w14:textId="55911B5F">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F010DA" w:rsidP="00CB729C" w:rsidRDefault="00F010DA" w14:paraId="10F2D4F5" w14:textId="6E8E19CE">
            <w:pPr>
              <w:rPr>
                <w:rFonts w:ascii="Calibri" w:hAnsi="Calibri" w:cs="Calibri"/>
                <w:color w:val="000000"/>
                <w:sz w:val="22"/>
                <w:szCs w:val="22"/>
              </w:rPr>
            </w:pPr>
            <w:r w:rsidRPr="00F010DA">
              <w:rPr>
                <w:rFonts w:ascii="Calibri" w:hAnsi="Calibri" w:cs="Calibri"/>
                <w:color w:val="000000"/>
                <w:sz w:val="22"/>
                <w:szCs w:val="22"/>
              </w:rPr>
              <w:t>Voorstel voor een besluit van de Raad betreffende de sluiting, namens de Unie, van het protocol tot uitvoering van de partnerschapsovereenkomst inzake visserij tussen de Republiek Senegal en de Europese Unie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010DA" w:rsidP="00F010DA" w:rsidRDefault="00564979" w14:paraId="6289B1BD" w14:textId="77777777">
            <w:pPr>
              <w:rPr>
                <w:rFonts w:ascii="Calibri" w:hAnsi="Calibri"/>
                <w:color w:val="0000FF"/>
                <w:sz w:val="22"/>
                <w:szCs w:val="22"/>
                <w:u w:val="single"/>
              </w:rPr>
            </w:pPr>
            <w:hyperlink w:history="1" r:id="rId26">
              <w:r w:rsidR="00F010DA">
                <w:rPr>
                  <w:rStyle w:val="Hyperlink"/>
                  <w:rFonts w:ascii="Calibri" w:hAnsi="Calibri"/>
                  <w:sz w:val="22"/>
                  <w:szCs w:val="22"/>
                </w:rPr>
                <w:t>COM (2019) 473</w:t>
              </w:r>
            </w:hyperlink>
          </w:p>
          <w:p w:rsidR="00F010DA" w:rsidP="00CB729C" w:rsidRDefault="00F010DA" w14:paraId="4EE06616" w14:textId="77777777">
            <w:pPr>
              <w:rPr>
                <w:rFonts w:ascii="Calibri" w:hAnsi="Calibri" w:cs="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F010DA" w:rsidP="00CB729C" w:rsidRDefault="00F010DA" w14:paraId="11B944D8"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F010DA" w:rsidP="00BB4A1F" w:rsidRDefault="00BB4A1F" w14:paraId="3159BAAB" w14:textId="3CB16D90">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Dit voorstel voor een besluit stelt voor om machtiging te verlenen om het protocol te sluiten. Eerder werd deze al geparafeerd. Het protocol voorziet in vangstmogelijkheden in de volgende categorieën:</w:t>
            </w:r>
          </w:p>
          <w:p w:rsidR="00BB4A1F" w:rsidP="00BB4A1F" w:rsidRDefault="00BB4A1F" w14:paraId="7DC4F52A" w14:textId="1A89A00D">
            <w:pPr>
              <w:pStyle w:val="Lijstalinea"/>
              <w:numPr>
                <w:ilvl w:val="0"/>
                <w:numId w:val="7"/>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28 vriesschepen voor tonijnvisserij met de zegen;</w:t>
            </w:r>
          </w:p>
          <w:p w:rsidR="00BB4A1F" w:rsidP="00BB4A1F" w:rsidRDefault="00BB4A1F" w14:paraId="2CCDD915" w14:textId="70422F77">
            <w:pPr>
              <w:pStyle w:val="Lijstalinea"/>
              <w:numPr>
                <w:ilvl w:val="0"/>
                <w:numId w:val="7"/>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10 vaartuigen voor de hengelvisserij;</w:t>
            </w:r>
          </w:p>
          <w:p w:rsidR="00BB4A1F" w:rsidP="00BB4A1F" w:rsidRDefault="00BB4A1F" w14:paraId="3623EBBB" w14:textId="75E78909">
            <w:pPr>
              <w:pStyle w:val="Lijstalinea"/>
              <w:numPr>
                <w:ilvl w:val="0"/>
                <w:numId w:val="7"/>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5 vaartuigen voor de beugvisserij;</w:t>
            </w:r>
          </w:p>
          <w:p w:rsidR="00BB4A1F" w:rsidP="00BB4A1F" w:rsidRDefault="00BB4A1F" w14:paraId="4E8118A0" w14:textId="4DFBDED9">
            <w:pPr>
              <w:pStyle w:val="Lijstalinea"/>
              <w:numPr>
                <w:ilvl w:val="0"/>
                <w:numId w:val="7"/>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2 trawlers</w:t>
            </w:r>
          </w:p>
          <w:p w:rsidR="00BB4A1F" w:rsidP="00BB4A1F" w:rsidRDefault="00BB4A1F" w14:paraId="58A2EF9D" w14:textId="16C45A41">
            <w:pPr>
              <w:pBdr>
                <w:top w:val="nil"/>
                <w:left w:val="nil"/>
                <w:bottom w:val="nil"/>
                <w:right w:val="nil"/>
                <w:between w:val="nil"/>
                <w:bar w:val="nil"/>
              </w:pBdr>
              <w:rPr>
                <w:rFonts w:eastAsia="Arial Unicode MS" w:asciiTheme="minorHAnsi" w:hAnsiTheme="minorHAnsi"/>
                <w:noProof/>
                <w:sz w:val="20"/>
                <w:szCs w:val="20"/>
              </w:rPr>
            </w:pPr>
          </w:p>
          <w:p w:rsidRPr="00BB4A1F" w:rsidR="00BB4A1F" w:rsidP="00BB4A1F" w:rsidRDefault="00BB4A1F" w14:paraId="05C73C1E" w14:textId="77777777">
            <w:pPr>
              <w:pBdr>
                <w:top w:val="nil"/>
                <w:left w:val="nil"/>
                <w:bottom w:val="nil"/>
                <w:right w:val="nil"/>
                <w:between w:val="nil"/>
                <w:bar w:val="nil"/>
              </w:pBdr>
              <w:rPr>
                <w:rFonts w:eastAsia="Arial Unicode MS" w:asciiTheme="minorHAnsi" w:hAnsiTheme="minorHAnsi"/>
                <w:noProof/>
                <w:sz w:val="20"/>
                <w:szCs w:val="20"/>
              </w:rPr>
            </w:pPr>
          </w:p>
          <w:p w:rsidR="00F010DA" w:rsidP="00CB729C" w:rsidRDefault="00F010DA" w14:paraId="0B92C6B3" w14:textId="5C4F15D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BB4A1F">
              <w:rPr>
                <w:rFonts w:eastAsia="Arial Unicode MS" w:asciiTheme="minorHAnsi" w:hAnsiTheme="minorHAnsi"/>
                <w:noProof/>
                <w:sz w:val="20"/>
                <w:szCs w:val="20"/>
              </w:rPr>
              <w:t>voor kennisgeving aannemen</w:t>
            </w:r>
          </w:p>
        </w:tc>
      </w:tr>
      <w:tr w:rsidRPr="00221383" w:rsidR="00F010DA" w:rsidTr="00614A1B" w14:paraId="4661DC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010DA" w:rsidP="00CB729C" w:rsidRDefault="00F010DA" w14:paraId="2E1448A5" w14:textId="47A87960">
            <w:pPr>
              <w:rPr>
                <w:rFonts w:ascii="Calibri" w:hAnsi="Calibri" w:cs="Calibri"/>
                <w:color w:val="000000"/>
                <w:sz w:val="22"/>
                <w:szCs w:val="22"/>
              </w:rPr>
            </w:pPr>
            <w:r>
              <w:rPr>
                <w:rFonts w:ascii="Calibri" w:hAnsi="Calibri" w:cs="Calibri"/>
                <w:color w:val="000000"/>
                <w:sz w:val="22"/>
                <w:szCs w:val="22"/>
              </w:rPr>
              <w:lastRenderedPageBreak/>
              <w:t>17-okt-19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F010DA" w:rsidP="00CB729C" w:rsidRDefault="00F010DA" w14:paraId="5B33BAE1" w14:textId="551B7400">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F010DA" w:rsidP="00CB729C" w:rsidRDefault="00F010DA" w14:paraId="6A953AE1" w14:textId="75547CC3">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Pr="00F010DA" w:rsidR="00F010DA" w:rsidP="00CB729C" w:rsidRDefault="00F010DA" w14:paraId="7A00AE37" w14:textId="40C8083A">
            <w:pPr>
              <w:rPr>
                <w:rFonts w:ascii="Calibri" w:hAnsi="Calibri" w:cs="Calibri"/>
                <w:color w:val="000000"/>
                <w:sz w:val="22"/>
                <w:szCs w:val="22"/>
              </w:rPr>
            </w:pPr>
            <w:r w:rsidRPr="00F010DA">
              <w:rPr>
                <w:rFonts w:ascii="Calibri" w:hAnsi="Calibri" w:cs="Calibri"/>
                <w:color w:val="000000"/>
                <w:sz w:val="22"/>
                <w:szCs w:val="22"/>
              </w:rPr>
              <w:t>Voorstel voor een besluit van de Raad betreffende de ondertekening, namens de Unie, en de voorlopige toepassing van het protocol tot uitvoering van de partnerschapsovereenkomst inzake visserij tussen de Republiek Senegal en de Europese Unie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010DA" w:rsidP="00F010DA" w:rsidRDefault="00564979" w14:paraId="135650EB" w14:textId="77777777">
            <w:pPr>
              <w:rPr>
                <w:rFonts w:ascii="Calibri" w:hAnsi="Calibri"/>
                <w:color w:val="0000FF"/>
                <w:sz w:val="22"/>
                <w:szCs w:val="22"/>
                <w:u w:val="single"/>
              </w:rPr>
            </w:pPr>
            <w:hyperlink w:history="1" r:id="rId27">
              <w:r w:rsidR="00F010DA">
                <w:rPr>
                  <w:rStyle w:val="Hyperlink"/>
                  <w:rFonts w:ascii="Calibri" w:hAnsi="Calibri"/>
                  <w:sz w:val="22"/>
                  <w:szCs w:val="22"/>
                </w:rPr>
                <w:t>COM (2019) 475</w:t>
              </w:r>
            </w:hyperlink>
          </w:p>
          <w:p w:rsidR="00F010DA" w:rsidP="00F010DA" w:rsidRDefault="00F010DA" w14:paraId="07286414" w14:textId="77777777">
            <w:pPr>
              <w:rPr>
                <w:rFonts w:ascii="Calibri" w:hAnsi="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F010DA" w:rsidP="00CB729C" w:rsidRDefault="00F010DA" w14:paraId="3393FC8D"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F010DA" w:rsidP="00CB729C" w:rsidRDefault="00BB4A1F" w14:paraId="7F955ED3" w14:textId="00A20B32">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Dit besluit stelt voor om een machtiging af te geven om het protocol te ondertekenen en over te gaan op voorlopige toepassing van het protocol. </w:t>
            </w:r>
          </w:p>
          <w:p w:rsidR="00F010DA" w:rsidP="00CB729C" w:rsidRDefault="00F010DA" w14:paraId="4F4C8A48" w14:textId="2E55F950">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w:t>
            </w:r>
            <w:r w:rsidR="00BB4A1F">
              <w:rPr>
                <w:rFonts w:eastAsia="Arial Unicode MS" w:asciiTheme="minorHAnsi" w:hAnsiTheme="minorHAnsi"/>
                <w:b/>
                <w:noProof/>
                <w:sz w:val="20"/>
                <w:szCs w:val="20"/>
              </w:rPr>
              <w:t>el</w:t>
            </w:r>
            <w:r w:rsidR="00BB4A1F">
              <w:rPr>
                <w:rFonts w:eastAsia="Arial Unicode MS" w:asciiTheme="minorHAnsi" w:hAnsiTheme="minorHAnsi"/>
                <w:noProof/>
                <w:sz w:val="20"/>
                <w:szCs w:val="20"/>
              </w:rPr>
              <w:t>: voor kennisgeving aannemen</w:t>
            </w:r>
          </w:p>
        </w:tc>
      </w:tr>
    </w:tbl>
    <w:p w:rsidR="00614A1B" w:rsidP="00C00215" w:rsidRDefault="00614A1B" w14:paraId="619052EB" w14:textId="77777777">
      <w:pPr>
        <w:spacing w:after="200" w:line="276" w:lineRule="auto"/>
        <w:rPr>
          <w:rFonts w:asciiTheme="minorHAnsi" w:hAnsiTheme="minorHAnsi"/>
          <w:b/>
          <w:sz w:val="22"/>
          <w:szCs w:val="22"/>
        </w:rPr>
      </w:pPr>
    </w:p>
    <w:p w:rsidRPr="00221383" w:rsidR="00C00215" w:rsidP="00C00215" w:rsidRDefault="00C00215" w14:paraId="78C9E15A"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73D72DAE"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2100734F"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2954645C"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5FCB0DE6" w14:textId="77777777">
        <w:tc>
          <w:tcPr>
            <w:tcW w:w="2093" w:type="dxa"/>
          </w:tcPr>
          <w:p w:rsidRPr="00221383" w:rsidR="00C00215" w:rsidP="00014FF3" w:rsidRDefault="00C00215" w14:paraId="259ADBEA"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40F36637"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54A52D63"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2BF8295B" w14:textId="77777777">
        <w:tc>
          <w:tcPr>
            <w:tcW w:w="14142" w:type="dxa"/>
            <w:gridSpan w:val="3"/>
          </w:tcPr>
          <w:p w:rsidRPr="00221383" w:rsidR="00C00215" w:rsidP="00014FF3" w:rsidRDefault="00C00215" w14:paraId="0BE10FB8" w14:textId="77777777">
            <w:pPr>
              <w:pStyle w:val="Voetnoottekst"/>
              <w:rPr>
                <w:rFonts w:asciiTheme="minorHAnsi" w:hAnsiTheme="minorHAnsi"/>
                <w:i/>
              </w:rPr>
            </w:pPr>
          </w:p>
          <w:p w:rsidRPr="00221383" w:rsidR="00C00215" w:rsidP="00014FF3" w:rsidRDefault="00C00215" w14:paraId="5424AD2E"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082EF4ED" w14:textId="77777777">
        <w:tc>
          <w:tcPr>
            <w:tcW w:w="2093" w:type="dxa"/>
          </w:tcPr>
          <w:p w:rsidRPr="00221383" w:rsidR="00C00215" w:rsidP="00014FF3" w:rsidRDefault="00C00215" w14:paraId="6A574EDD"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32796714"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7674283A"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61384197"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463915E5"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1709DC71"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705AA441"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w:t>
            </w:r>
            <w:r w:rsidRPr="00221383">
              <w:rPr>
                <w:rFonts w:asciiTheme="minorHAnsi" w:hAnsiTheme="minorHAnsi"/>
              </w:rPr>
              <w:lastRenderedPageBreak/>
              <w:t>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4DA51429"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5103570A"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C00215" w:rsidTr="00014FF3" w14:paraId="7E6BA0B2" w14:textId="77777777">
        <w:tc>
          <w:tcPr>
            <w:tcW w:w="2093" w:type="dxa"/>
          </w:tcPr>
          <w:p w:rsidRPr="00221383" w:rsidR="00C00215" w:rsidP="00014FF3" w:rsidRDefault="00C00215" w14:paraId="0C76D6DB"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461D5039"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w:t>
            </w:r>
            <w:r w:rsidRPr="00221383">
              <w:rPr>
                <w:rFonts w:asciiTheme="minorHAnsi" w:hAnsiTheme="minorHAnsi"/>
              </w:rPr>
              <w:lastRenderedPageBreak/>
              <w:t xml:space="preserve">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6D9B6B2D" w14:textId="77777777">
            <w:pPr>
              <w:pStyle w:val="Voetnoottekst"/>
              <w:numPr>
                <w:ilvl w:val="0"/>
                <w:numId w:val="2"/>
              </w:numPr>
              <w:ind w:left="317" w:hanging="283"/>
              <w:rPr>
                <w:rFonts w:asciiTheme="minorHAnsi" w:hAnsiTheme="minorHAnsi"/>
              </w:rPr>
            </w:pPr>
          </w:p>
        </w:tc>
      </w:tr>
      <w:tr w:rsidRPr="00221383" w:rsidR="00C00215" w:rsidTr="00014FF3" w14:paraId="5AA9D07B" w14:textId="77777777">
        <w:tc>
          <w:tcPr>
            <w:tcW w:w="2093" w:type="dxa"/>
          </w:tcPr>
          <w:p w:rsidRPr="00221383" w:rsidR="00C00215" w:rsidP="00014FF3" w:rsidRDefault="00C00215" w14:paraId="0200B68B" w14:textId="77777777">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C00215" w:rsidP="00014FF3" w:rsidRDefault="00C00215" w14:paraId="706798EF"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162E9A2" w14:textId="77777777">
            <w:pPr>
              <w:pStyle w:val="Voetnoottekst"/>
              <w:numPr>
                <w:ilvl w:val="0"/>
                <w:numId w:val="2"/>
              </w:numPr>
              <w:ind w:left="317" w:hanging="283"/>
              <w:rPr>
                <w:rFonts w:asciiTheme="minorHAnsi" w:hAnsiTheme="minorHAnsi"/>
              </w:rPr>
            </w:pPr>
          </w:p>
        </w:tc>
      </w:tr>
      <w:tr w:rsidRPr="00221383" w:rsidR="00C00215" w:rsidTr="00014FF3" w14:paraId="57BF021A" w14:textId="77777777">
        <w:tc>
          <w:tcPr>
            <w:tcW w:w="14142" w:type="dxa"/>
            <w:gridSpan w:val="3"/>
          </w:tcPr>
          <w:p w:rsidRPr="00221383" w:rsidR="00C00215" w:rsidP="00014FF3" w:rsidRDefault="00C00215" w14:paraId="3FAFD65A"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C00215" w:rsidTr="00014FF3" w14:paraId="183048DB" w14:textId="77777777">
        <w:tc>
          <w:tcPr>
            <w:tcW w:w="2093" w:type="dxa"/>
          </w:tcPr>
          <w:p w:rsidRPr="00221383" w:rsidR="00C00215" w:rsidP="00014FF3" w:rsidRDefault="00C00215" w14:paraId="55C07D41"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54921056"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w:t>
            </w:r>
            <w:r w:rsidRPr="00221383">
              <w:rPr>
                <w:rFonts w:asciiTheme="minorHAnsi" w:hAnsiTheme="minorHAnsi"/>
              </w:rPr>
              <w:lastRenderedPageBreak/>
              <w:t xml:space="preserve">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02899866" w14:textId="77777777">
            <w:pPr>
              <w:pStyle w:val="Voetnoottekst"/>
              <w:numPr>
                <w:ilvl w:val="0"/>
                <w:numId w:val="1"/>
              </w:numPr>
              <w:rPr>
                <w:rFonts w:asciiTheme="minorHAnsi" w:hAnsiTheme="minorHAnsi"/>
              </w:rPr>
            </w:pPr>
            <w:r w:rsidRPr="00221383">
              <w:rPr>
                <w:rFonts w:asciiTheme="minorHAnsi" w:hAnsiTheme="minorHAnsi"/>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73A83CC5" w14:textId="77777777">
            <w:pPr>
              <w:pStyle w:val="Voetnoottekst"/>
              <w:ind w:left="360"/>
              <w:rPr>
                <w:rFonts w:asciiTheme="minorHAnsi" w:hAnsiTheme="minorHAnsi"/>
              </w:rPr>
            </w:pPr>
          </w:p>
        </w:tc>
      </w:tr>
      <w:tr w:rsidRPr="00221383" w:rsidR="00C00215" w:rsidTr="00014FF3" w14:paraId="2904582B" w14:textId="77777777">
        <w:tc>
          <w:tcPr>
            <w:tcW w:w="2093" w:type="dxa"/>
          </w:tcPr>
          <w:p w:rsidRPr="00221383" w:rsidR="00C00215" w:rsidP="00014FF3" w:rsidRDefault="00C00215" w14:paraId="0F67CAB6" w14:textId="77777777">
            <w:pPr>
              <w:pStyle w:val="Voetnoottekst"/>
              <w:rPr>
                <w:rFonts w:asciiTheme="minorHAnsi" w:hAnsiTheme="minorHAnsi"/>
              </w:rPr>
            </w:pPr>
            <w:r w:rsidRPr="00221383">
              <w:rPr>
                <w:rFonts w:asciiTheme="minorHAnsi" w:hAnsiTheme="minorHAnsi"/>
              </w:rPr>
              <w:lastRenderedPageBreak/>
              <w:t>Uitvoerings-handeling</w:t>
            </w:r>
          </w:p>
        </w:tc>
        <w:tc>
          <w:tcPr>
            <w:tcW w:w="6946" w:type="dxa"/>
          </w:tcPr>
          <w:p w:rsidRPr="00221383" w:rsidR="00C00215" w:rsidP="00014FF3" w:rsidRDefault="00C00215" w14:paraId="1BD850BB"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549DDAA4"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46D9B51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28">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719E7655" w14:textId="77777777">
        <w:tc>
          <w:tcPr>
            <w:tcW w:w="2093" w:type="dxa"/>
          </w:tcPr>
          <w:p w:rsidRPr="00221383" w:rsidR="00C00215" w:rsidP="00014FF3" w:rsidRDefault="00C00215" w14:paraId="26B7414A"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C00215" w:rsidP="00014FF3" w:rsidRDefault="00C00215" w14:paraId="5F507B4A"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2D96A3B2"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0712A707" w14:textId="77777777">
            <w:pPr>
              <w:pStyle w:val="Voetnoottekst"/>
              <w:numPr>
                <w:ilvl w:val="0"/>
                <w:numId w:val="1"/>
              </w:numPr>
              <w:rPr>
                <w:rFonts w:asciiTheme="minorHAnsi" w:hAnsiTheme="minorHAnsi"/>
              </w:rPr>
            </w:pPr>
          </w:p>
        </w:tc>
      </w:tr>
      <w:tr w:rsidRPr="00221383" w:rsidR="00C00215" w:rsidTr="00014FF3" w14:paraId="23AFD6E7" w14:textId="77777777">
        <w:tc>
          <w:tcPr>
            <w:tcW w:w="2093" w:type="dxa"/>
          </w:tcPr>
          <w:p w:rsidRPr="00221383" w:rsidR="00C00215" w:rsidP="00014FF3" w:rsidRDefault="00C00215" w14:paraId="672E7CF5"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7D7CBA5C"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35066930" w14:textId="77777777">
            <w:pPr>
              <w:pStyle w:val="Voetnoottekst"/>
              <w:rPr>
                <w:rFonts w:asciiTheme="minorHAnsi" w:hAnsiTheme="minorHAnsi"/>
              </w:rPr>
            </w:pPr>
          </w:p>
        </w:tc>
        <w:tc>
          <w:tcPr>
            <w:tcW w:w="5103" w:type="dxa"/>
          </w:tcPr>
          <w:p w:rsidRPr="00221383" w:rsidR="00C00215" w:rsidP="00014FF3" w:rsidRDefault="00C00215" w14:paraId="51FE2363"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1DA07BB6"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30B6BA6D"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6D1AC21C"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36959632"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C00215" w:rsidTr="00014FF3" w14:paraId="06EE475A" w14:textId="77777777">
        <w:tc>
          <w:tcPr>
            <w:tcW w:w="14142" w:type="dxa"/>
            <w:gridSpan w:val="3"/>
          </w:tcPr>
          <w:p w:rsidRPr="00221383" w:rsidR="00C00215" w:rsidP="00014FF3" w:rsidRDefault="00C00215" w14:paraId="2BD4347C"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C00215" w:rsidTr="00014FF3" w14:paraId="2511C888" w14:textId="77777777">
        <w:tc>
          <w:tcPr>
            <w:tcW w:w="2093" w:type="dxa"/>
          </w:tcPr>
          <w:p w:rsidRPr="00221383" w:rsidR="00C00215" w:rsidP="00014FF3" w:rsidRDefault="00C00215" w14:paraId="7E33F40D"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2A2684F2" w14:textId="77777777">
            <w:pPr>
              <w:jc w:val="right"/>
              <w:rPr>
                <w:rFonts w:asciiTheme="minorHAnsi" w:hAnsiTheme="minorHAnsi"/>
                <w:sz w:val="20"/>
                <w:szCs w:val="20"/>
              </w:rPr>
            </w:pPr>
          </w:p>
          <w:p w:rsidRPr="00221383" w:rsidR="00C00215" w:rsidP="00014FF3" w:rsidRDefault="00C00215" w14:paraId="22C6F2E2" w14:textId="77777777">
            <w:pPr>
              <w:jc w:val="right"/>
              <w:rPr>
                <w:rFonts w:asciiTheme="minorHAnsi" w:hAnsiTheme="minorHAnsi"/>
                <w:sz w:val="20"/>
                <w:szCs w:val="20"/>
              </w:rPr>
            </w:pPr>
          </w:p>
          <w:p w:rsidRPr="00221383" w:rsidR="00C00215" w:rsidP="00014FF3" w:rsidRDefault="00C00215" w14:paraId="4560A011" w14:textId="77777777">
            <w:pPr>
              <w:jc w:val="right"/>
              <w:rPr>
                <w:rFonts w:asciiTheme="minorHAnsi" w:hAnsiTheme="minorHAnsi"/>
                <w:sz w:val="20"/>
                <w:szCs w:val="20"/>
              </w:rPr>
            </w:pPr>
          </w:p>
          <w:p w:rsidRPr="00221383" w:rsidR="00C00215" w:rsidP="00014FF3" w:rsidRDefault="00C00215" w14:paraId="26E98F75" w14:textId="77777777">
            <w:pPr>
              <w:jc w:val="right"/>
              <w:rPr>
                <w:rFonts w:asciiTheme="minorHAnsi" w:hAnsiTheme="minorHAnsi"/>
                <w:sz w:val="20"/>
                <w:szCs w:val="20"/>
              </w:rPr>
            </w:pPr>
          </w:p>
          <w:p w:rsidRPr="00221383" w:rsidR="00C00215" w:rsidP="00014FF3" w:rsidRDefault="00C00215" w14:paraId="693148D4" w14:textId="77777777">
            <w:pPr>
              <w:jc w:val="right"/>
              <w:rPr>
                <w:rFonts w:asciiTheme="minorHAnsi" w:hAnsiTheme="minorHAnsi"/>
                <w:sz w:val="20"/>
                <w:szCs w:val="20"/>
              </w:rPr>
            </w:pPr>
          </w:p>
        </w:tc>
        <w:tc>
          <w:tcPr>
            <w:tcW w:w="6946" w:type="dxa"/>
          </w:tcPr>
          <w:p w:rsidRPr="00221383" w:rsidR="00C00215" w:rsidP="00014FF3" w:rsidRDefault="00C00215" w14:paraId="22C3D83D"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C00215" w:rsidP="00014FF3" w:rsidRDefault="00C00215" w14:paraId="4E4B733A"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3F905475" w14:textId="77777777">
            <w:pPr>
              <w:pStyle w:val="Voetnoottekst"/>
              <w:rPr>
                <w:rFonts w:asciiTheme="minorHAnsi" w:hAnsiTheme="minorHAnsi"/>
              </w:rPr>
            </w:pPr>
          </w:p>
          <w:p w:rsidRPr="00221383" w:rsidR="00C00215" w:rsidP="00014FF3" w:rsidRDefault="00C00215" w14:paraId="1F04E4EC" w14:textId="77777777">
            <w:pPr>
              <w:pStyle w:val="Voetnoottekst"/>
              <w:rPr>
                <w:rFonts w:asciiTheme="minorHAnsi" w:hAnsiTheme="minorHAnsi"/>
              </w:rPr>
            </w:pPr>
          </w:p>
          <w:p w:rsidRPr="00221383" w:rsidR="00C00215" w:rsidP="00014FF3" w:rsidRDefault="00C00215" w14:paraId="19CEF21A" w14:textId="77777777">
            <w:pPr>
              <w:pStyle w:val="Voetnoottekst"/>
              <w:rPr>
                <w:rFonts w:asciiTheme="minorHAnsi" w:hAnsiTheme="minorHAnsi"/>
              </w:rPr>
            </w:pPr>
          </w:p>
          <w:p w:rsidRPr="00221383" w:rsidR="00C00215" w:rsidP="00014FF3" w:rsidRDefault="00C00215" w14:paraId="332A840C" w14:textId="77777777">
            <w:pPr>
              <w:pStyle w:val="Voetnoottekst"/>
              <w:rPr>
                <w:rFonts w:asciiTheme="minorHAnsi" w:hAnsiTheme="minorHAnsi"/>
              </w:rPr>
            </w:pPr>
          </w:p>
          <w:p w:rsidRPr="00221383" w:rsidR="00C00215" w:rsidP="00014FF3" w:rsidRDefault="00C00215" w14:paraId="01188778" w14:textId="77777777">
            <w:pPr>
              <w:pStyle w:val="Voetnoottekst"/>
              <w:rPr>
                <w:rFonts w:asciiTheme="minorHAnsi" w:hAnsiTheme="minorHAnsi"/>
              </w:rPr>
            </w:pPr>
          </w:p>
        </w:tc>
      </w:tr>
      <w:tr w:rsidRPr="00221383" w:rsidR="00C00215" w:rsidTr="00014FF3" w14:paraId="57A2CF68" w14:textId="77777777">
        <w:tc>
          <w:tcPr>
            <w:tcW w:w="14142" w:type="dxa"/>
            <w:gridSpan w:val="3"/>
          </w:tcPr>
          <w:p w:rsidRPr="00221383" w:rsidR="00C00215" w:rsidP="00014FF3" w:rsidRDefault="00C00215" w14:paraId="3646DD41" w14:textId="77777777">
            <w:pPr>
              <w:pStyle w:val="Voetnoottekst"/>
              <w:rPr>
                <w:rFonts w:asciiTheme="minorHAnsi" w:hAnsiTheme="minorHAnsi"/>
                <w:i/>
              </w:rPr>
            </w:pPr>
            <w:r w:rsidRPr="00221383">
              <w:rPr>
                <w:rFonts w:asciiTheme="minorHAnsi" w:hAnsiTheme="minorHAnsi"/>
                <w:i/>
              </w:rPr>
              <w:lastRenderedPageBreak/>
              <w:t xml:space="preserve">Overige handelingen en instrumenten </w:t>
            </w:r>
          </w:p>
        </w:tc>
      </w:tr>
      <w:tr w:rsidRPr="00221383" w:rsidR="00C00215" w:rsidTr="00014FF3" w14:paraId="44A20F7F" w14:textId="77777777">
        <w:tc>
          <w:tcPr>
            <w:tcW w:w="2093" w:type="dxa"/>
          </w:tcPr>
          <w:p w:rsidRPr="00221383" w:rsidR="00C00215" w:rsidP="00014FF3" w:rsidRDefault="00C00215" w14:paraId="1BFBA133"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1F63E1E5"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55DDC2CA"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3786ACDB"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2490BA3E" w14:textId="77777777">
        <w:tc>
          <w:tcPr>
            <w:tcW w:w="2093" w:type="dxa"/>
          </w:tcPr>
          <w:p w:rsidRPr="00221383" w:rsidR="00C00215" w:rsidP="00014FF3" w:rsidRDefault="00C00215" w14:paraId="18394EFC"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6997D6D6"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0119BFEA" w14:textId="77777777">
            <w:pPr>
              <w:pStyle w:val="Voetnoottekst"/>
              <w:rPr>
                <w:rFonts w:asciiTheme="minorHAnsi" w:hAnsiTheme="minorHAnsi"/>
              </w:rPr>
            </w:pPr>
          </w:p>
          <w:p w:rsidRPr="00221383" w:rsidR="00C00215" w:rsidP="00014FF3" w:rsidRDefault="00C00215" w14:paraId="53E42443"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724FF747"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00CE5B67"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14:paraId="07953498"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020F6B36"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13D5E3EE" w14:textId="77777777">
        <w:tc>
          <w:tcPr>
            <w:tcW w:w="2093" w:type="dxa"/>
          </w:tcPr>
          <w:p w:rsidRPr="00221383" w:rsidR="00C00215" w:rsidP="00014FF3" w:rsidRDefault="00C00215" w14:paraId="5F45A086"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14:paraId="0D2C0C29"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9">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6DDB4A06"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10B3ACD0"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57F958F0"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02110D1F" w14:textId="77777777">
        <w:tc>
          <w:tcPr>
            <w:tcW w:w="14142" w:type="dxa"/>
            <w:gridSpan w:val="3"/>
          </w:tcPr>
          <w:p w:rsidRPr="00221383" w:rsidR="00C00215" w:rsidP="00014FF3" w:rsidRDefault="00C00215" w14:paraId="0F95D4CA"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008E69CB" w14:textId="77777777">
        <w:tc>
          <w:tcPr>
            <w:tcW w:w="2093" w:type="dxa"/>
          </w:tcPr>
          <w:p w:rsidRPr="00221383" w:rsidR="00C00215" w:rsidP="00014FF3" w:rsidRDefault="00C00215" w14:paraId="63311987"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6DAD43E2" w14:textId="77777777">
            <w:pPr>
              <w:pStyle w:val="Voetnoottekst"/>
              <w:rPr>
                <w:rFonts w:asciiTheme="minorHAnsi" w:hAnsiTheme="minorHAnsi"/>
              </w:rPr>
            </w:pPr>
            <w:r w:rsidRPr="00221383">
              <w:rPr>
                <w:rFonts w:asciiTheme="minorHAnsi" w:hAnsiTheme="minorHAnsi"/>
              </w:rPr>
              <w:lastRenderedPageBreak/>
              <w:t>(richting EU)</w:t>
            </w:r>
          </w:p>
        </w:tc>
        <w:tc>
          <w:tcPr>
            <w:tcW w:w="6946" w:type="dxa"/>
          </w:tcPr>
          <w:p w:rsidRPr="00221383" w:rsidR="00C00215" w:rsidP="00014FF3" w:rsidRDefault="00C00215" w14:paraId="2B121EE7" w14:textId="77777777">
            <w:pPr>
              <w:pStyle w:val="Lijstalinea"/>
              <w:ind w:left="0"/>
              <w:rPr>
                <w:rFonts w:asciiTheme="minorHAnsi" w:hAnsiTheme="minorHAnsi"/>
                <w:sz w:val="20"/>
                <w:szCs w:val="20"/>
              </w:rPr>
            </w:pPr>
            <w:r w:rsidRPr="00221383">
              <w:rPr>
                <w:rFonts w:asciiTheme="minorHAnsi" w:hAnsiTheme="minorHAnsi"/>
                <w:sz w:val="20"/>
                <w:szCs w:val="20"/>
              </w:rPr>
              <w:lastRenderedPageBreak/>
              <w:t xml:space="preserve">Bij een subsidiariteitstoets toetst een nationale (Kamer van een) Parlement of de </w:t>
            </w:r>
            <w:r w:rsidRPr="00221383">
              <w:rPr>
                <w:rFonts w:asciiTheme="minorHAnsi" w:hAnsiTheme="minorHAnsi"/>
                <w:sz w:val="20"/>
                <w:szCs w:val="20"/>
              </w:rPr>
              <w:lastRenderedPageBreak/>
              <w:t xml:space="preserve">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713849AC" w14:textId="77777777">
            <w:pPr>
              <w:pStyle w:val="Voetnoottekst"/>
              <w:numPr>
                <w:ilvl w:val="0"/>
                <w:numId w:val="1"/>
              </w:numPr>
              <w:rPr>
                <w:rFonts w:asciiTheme="minorHAnsi" w:hAnsiTheme="minorHAnsi"/>
              </w:rPr>
            </w:pPr>
            <w:r w:rsidRPr="00221383">
              <w:rPr>
                <w:rFonts w:asciiTheme="minorHAnsi" w:hAnsiTheme="minorHAnsi"/>
              </w:rPr>
              <w:lastRenderedPageBreak/>
              <w:t xml:space="preserve">bij wetgevende EU-voorstellen kan een </w:t>
            </w:r>
            <w:r w:rsidRPr="00221383">
              <w:rPr>
                <w:rFonts w:asciiTheme="minorHAnsi" w:hAnsiTheme="minorHAnsi"/>
              </w:rPr>
              <w:lastRenderedPageBreak/>
              <w:t>Kamercommissie besluiten tot het uitvoeren van een subsidiariteitstoets. Let op: dit moet binnen acht weken na het uitkomen van alle taalversies van het voorstel.</w:t>
            </w:r>
          </w:p>
          <w:p w:rsidRPr="00221383" w:rsidR="00C00215" w:rsidP="00014FF3" w:rsidRDefault="00C00215" w14:paraId="176F4FD0"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245589A6"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4AADF20D" w14:textId="77777777">
        <w:tc>
          <w:tcPr>
            <w:tcW w:w="2093" w:type="dxa"/>
          </w:tcPr>
          <w:p w:rsidRPr="00221383" w:rsidR="00C00215" w:rsidP="00014FF3" w:rsidRDefault="00C00215" w14:paraId="727D44F8" w14:textId="77777777">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C00215" w:rsidP="00014FF3" w:rsidRDefault="00C00215" w14:paraId="4ACBCF16"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07D46114"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799CE6D2"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13500D17"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C00215" w:rsidP="00014FF3" w:rsidRDefault="00C00215" w14:paraId="0112D625" w14:textId="77777777">
            <w:pPr>
              <w:pStyle w:val="Voetnoottekst"/>
              <w:rPr>
                <w:rFonts w:asciiTheme="minorHAnsi" w:hAnsiTheme="minorHAnsi"/>
              </w:rPr>
            </w:pPr>
          </w:p>
        </w:tc>
      </w:tr>
    </w:tbl>
    <w:p w:rsidRPr="00221383" w:rsidR="00C00215" w:rsidP="00C00215" w:rsidRDefault="00C00215" w14:paraId="0E2BC7CD" w14:textId="77777777">
      <w:pPr>
        <w:rPr>
          <w:rFonts w:asciiTheme="minorHAnsi" w:hAnsiTheme="minorHAnsi"/>
          <w:sz w:val="20"/>
          <w:szCs w:val="20"/>
        </w:rPr>
      </w:pPr>
    </w:p>
    <w:p w:rsidRPr="00221383" w:rsidR="00C00215" w:rsidP="00C00215" w:rsidRDefault="00C00215" w14:paraId="409CB1B4" w14:textId="77777777">
      <w:pPr>
        <w:rPr>
          <w:rFonts w:asciiTheme="minorHAnsi" w:hAnsiTheme="minorHAnsi"/>
        </w:rPr>
      </w:pPr>
    </w:p>
    <w:p w:rsidR="00BF2EB9" w:rsidRDefault="00BF2EB9" w14:paraId="565A2300"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163AA" w14:textId="77777777" w:rsidR="00C00215" w:rsidRDefault="00C00215" w:rsidP="00C00215">
      <w:r>
        <w:separator/>
      </w:r>
    </w:p>
  </w:endnote>
  <w:endnote w:type="continuationSeparator" w:id="0">
    <w:p w14:paraId="7B895A54"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0396A" w14:textId="77777777" w:rsidR="00C00215" w:rsidRDefault="00C00215" w:rsidP="00C00215">
      <w:r>
        <w:separator/>
      </w:r>
    </w:p>
  </w:footnote>
  <w:footnote w:type="continuationSeparator" w:id="0">
    <w:p w14:paraId="160774CC" w14:textId="77777777" w:rsidR="00C00215" w:rsidRDefault="00C00215" w:rsidP="00C00215">
      <w:r>
        <w:continuationSeparator/>
      </w:r>
    </w:p>
  </w:footnote>
  <w:footnote w:id="1">
    <w:p w14:paraId="37186F0E"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3F6947B9"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3474814"/>
    <w:multiLevelType w:val="hybridMultilevel"/>
    <w:tmpl w:val="E542BF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A32683F"/>
    <w:multiLevelType w:val="hybridMultilevel"/>
    <w:tmpl w:val="FDDEF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02584F"/>
    <w:rsid w:val="00026517"/>
    <w:rsid w:val="000268DC"/>
    <w:rsid w:val="00073356"/>
    <w:rsid w:val="0007694D"/>
    <w:rsid w:val="0011747F"/>
    <w:rsid w:val="001544A3"/>
    <w:rsid w:val="001918F9"/>
    <w:rsid w:val="001F1ABD"/>
    <w:rsid w:val="001F341F"/>
    <w:rsid w:val="00205733"/>
    <w:rsid w:val="00212212"/>
    <w:rsid w:val="00261F1F"/>
    <w:rsid w:val="00270493"/>
    <w:rsid w:val="0028110B"/>
    <w:rsid w:val="002814DA"/>
    <w:rsid w:val="002A64DD"/>
    <w:rsid w:val="003069A8"/>
    <w:rsid w:val="00326959"/>
    <w:rsid w:val="00327119"/>
    <w:rsid w:val="00332FB9"/>
    <w:rsid w:val="00345375"/>
    <w:rsid w:val="003E288E"/>
    <w:rsid w:val="003E55A0"/>
    <w:rsid w:val="00433D6E"/>
    <w:rsid w:val="004912BA"/>
    <w:rsid w:val="004A784A"/>
    <w:rsid w:val="004C634B"/>
    <w:rsid w:val="004D4835"/>
    <w:rsid w:val="004E0578"/>
    <w:rsid w:val="004E1C04"/>
    <w:rsid w:val="005076C6"/>
    <w:rsid w:val="0052026E"/>
    <w:rsid w:val="00520708"/>
    <w:rsid w:val="00532C45"/>
    <w:rsid w:val="00541C26"/>
    <w:rsid w:val="0055500A"/>
    <w:rsid w:val="00564979"/>
    <w:rsid w:val="005839B2"/>
    <w:rsid w:val="005A02F2"/>
    <w:rsid w:val="005A4B9C"/>
    <w:rsid w:val="005D40F4"/>
    <w:rsid w:val="005F79FF"/>
    <w:rsid w:val="006027C0"/>
    <w:rsid w:val="0060486B"/>
    <w:rsid w:val="00614A1B"/>
    <w:rsid w:val="0062122F"/>
    <w:rsid w:val="0065642A"/>
    <w:rsid w:val="00664E7A"/>
    <w:rsid w:val="0067217C"/>
    <w:rsid w:val="00682D48"/>
    <w:rsid w:val="006845D9"/>
    <w:rsid w:val="006B4942"/>
    <w:rsid w:val="007039BB"/>
    <w:rsid w:val="00720660"/>
    <w:rsid w:val="00725A57"/>
    <w:rsid w:val="00762B96"/>
    <w:rsid w:val="00777FE1"/>
    <w:rsid w:val="00813C57"/>
    <w:rsid w:val="00854E8E"/>
    <w:rsid w:val="00893F5D"/>
    <w:rsid w:val="008C200E"/>
    <w:rsid w:val="008C351C"/>
    <w:rsid w:val="008E6FE1"/>
    <w:rsid w:val="009075F6"/>
    <w:rsid w:val="00973C15"/>
    <w:rsid w:val="009C5EAC"/>
    <w:rsid w:val="009D7826"/>
    <w:rsid w:val="00A9670D"/>
    <w:rsid w:val="00A97650"/>
    <w:rsid w:val="00AE7D3F"/>
    <w:rsid w:val="00B2280B"/>
    <w:rsid w:val="00B63E4A"/>
    <w:rsid w:val="00BA2810"/>
    <w:rsid w:val="00BA5103"/>
    <w:rsid w:val="00BB0EE0"/>
    <w:rsid w:val="00BB4A1F"/>
    <w:rsid w:val="00BC0C4E"/>
    <w:rsid w:val="00BE337E"/>
    <w:rsid w:val="00BF2EB9"/>
    <w:rsid w:val="00BF7AF9"/>
    <w:rsid w:val="00C00215"/>
    <w:rsid w:val="00C151D3"/>
    <w:rsid w:val="00C34B7A"/>
    <w:rsid w:val="00C41D5B"/>
    <w:rsid w:val="00C758F2"/>
    <w:rsid w:val="00CB729C"/>
    <w:rsid w:val="00D812CC"/>
    <w:rsid w:val="00E346AE"/>
    <w:rsid w:val="00E52B0D"/>
    <w:rsid w:val="00E73721"/>
    <w:rsid w:val="00E778FE"/>
    <w:rsid w:val="00E961A1"/>
    <w:rsid w:val="00E961F8"/>
    <w:rsid w:val="00F010DA"/>
    <w:rsid w:val="00F06B40"/>
    <w:rsid w:val="00F944C3"/>
    <w:rsid w:val="00FA2BF2"/>
    <w:rsid w:val="00FA375C"/>
    <w:rsid w:val="00FA6E08"/>
    <w:rsid w:val="00FD058B"/>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9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992334">
      <w:bodyDiv w:val="1"/>
      <w:marLeft w:val="0"/>
      <w:marRight w:val="0"/>
      <w:marTop w:val="0"/>
      <w:marBottom w:val="0"/>
      <w:divBdr>
        <w:top w:val="none" w:sz="0" w:space="0" w:color="auto"/>
        <w:left w:val="none" w:sz="0" w:space="0" w:color="auto"/>
        <w:bottom w:val="none" w:sz="0" w:space="0" w:color="auto"/>
        <w:right w:val="none" w:sz="0" w:space="0" w:color="auto"/>
      </w:divBdr>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41534446">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447895324">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ecure.ipex.eu/IPEXL-WEB/dossier/document/COM20190453.do" TargetMode="External" Id="rId13" /><Relationship Type="http://schemas.openxmlformats.org/officeDocument/2006/relationships/hyperlink" Target="https://secure.ipex.eu/IPEXL-WEB/dossier/document/COM20190434.do" TargetMode="External" Id="rId18" /><Relationship Type="http://schemas.openxmlformats.org/officeDocument/2006/relationships/hyperlink" Target="https://secure.ipex.eu/IPEXL-WEB/dossier/document/COM20190473.do" TargetMode="External" Id="rId26" /><Relationship Type="http://schemas.openxmlformats.org/officeDocument/2006/relationships/hyperlink" Target="https://secure.ipex.eu/IPEXL-WEB/dossier/document/COM20190448.do" TargetMode="External" Id="rId21" /><Relationship Type="http://schemas.microsoft.com/office/2007/relationships/stylesWithEffects" Target="stylesWithEffects.xml" Id="rId7" /><Relationship Type="http://schemas.openxmlformats.org/officeDocument/2006/relationships/hyperlink" Target="https://secure.ipex.eu/IPEXL-WEB/dossier/document/COM20190446.do" TargetMode="External" Id="rId12" /><Relationship Type="http://schemas.openxmlformats.org/officeDocument/2006/relationships/hyperlink" Target="https://secure.ipex.eu/IPEXL-WEB/dossier/document/COM20190433.do" TargetMode="External" Id="rId17" /><Relationship Type="http://schemas.openxmlformats.org/officeDocument/2006/relationships/hyperlink" Target="https://secure.ipex.eu/IPEXL-WEB/dossier/document/COM20190479.do" TargetMode="External" Id="rId25" /><Relationship Type="http://schemas.openxmlformats.org/officeDocument/2006/relationships/hyperlink" Target="https://secure.ipex.eu/IPEXL-WEB/dossier/document/COM20190435.do" TargetMode="External" Id="rId16" /><Relationship Type="http://schemas.openxmlformats.org/officeDocument/2006/relationships/hyperlink" Target="https://secure.ipex.eu/IPEXL-WEB/dossier/document/COM20190437.do" TargetMode="External" Id="rId20" /><Relationship Type="http://schemas.openxmlformats.org/officeDocument/2006/relationships/hyperlink" Target="http://ec.europa.eu/yourvoice/consultations/index_nl.htm" TargetMode="External" Id="rId29"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hyperlink" Target="https://data.consilium.europa.eu/doc/document/ST-13118-2019-INIT/nl/pdf" TargetMode="External" Id="rId24" /><Relationship Type="http://schemas.openxmlformats.org/officeDocument/2006/relationships/numbering" Target="numbering.xml" Id="rId5" /><Relationship Type="http://schemas.openxmlformats.org/officeDocument/2006/relationships/hyperlink" Target="https://secure.ipex.eu/IPEXL-WEB/dossier/document/COM20190422.do" TargetMode="External" Id="rId15" /><Relationship Type="http://schemas.openxmlformats.org/officeDocument/2006/relationships/hyperlink" Target="https://secure.ipex.eu/IPEXL-WEB/dossier/document/COM20190472.do" TargetMode="External" Id="rId23"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8" /><Relationship Type="http://schemas.openxmlformats.org/officeDocument/2006/relationships/footnotes" Target="footnotes.xml" Id="rId10" /><Relationship Type="http://schemas.openxmlformats.org/officeDocument/2006/relationships/hyperlink" Target="https://secure.ipex.eu/IPEXL-WEB/dossier/document/COM20190436.do" TargetMode="External" Id="rId19" /><Relationship Type="http://schemas.openxmlformats.org/officeDocument/2006/relationships/theme" Target="theme/theme1.xml" Id="rId31" /><Relationship Type="http://schemas.openxmlformats.org/officeDocument/2006/relationships/webSettings" Target="webSettings.xml" Id="rId9" /><Relationship Type="http://schemas.openxmlformats.org/officeDocument/2006/relationships/hyperlink" Target="https://secure.ipex.eu/IPEXL-WEB/dossier/document/COM20190474.do" TargetMode="External" Id="rId14" /><Relationship Type="http://schemas.openxmlformats.org/officeDocument/2006/relationships/hyperlink" Target="https://secure.ipex.eu/IPEXL-WEB/dossier/document/COM20190447.do" TargetMode="External" Id="rId22" /><Relationship Type="http://schemas.openxmlformats.org/officeDocument/2006/relationships/hyperlink" Target="https://secure.ipex.eu/IPEXL-WEB/dossier/document/COM20190475.do" TargetMode="External" Id="rId27" /><Relationship Type="http://schemas.openxmlformats.org/officeDocument/2006/relationships/fontTable" Target="fontTable.xml" Id="rId30"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4514</ap:Words>
  <ap:Characters>24833</ap:Characters>
  <ap:DocSecurity>0</ap:DocSecurity>
  <ap:Lines>206</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2019-10-25T10:35:00.0000000Z</dcterms:created>
  <dcterms:modified xsi:type="dcterms:W3CDTF">2019-10-25T10:35:00.0000000Z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0x0101007055D18705C34A479EF21AA77C755C7F</vt:lpwstr>
  </property>
</Properties>
</file>