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8775C9" w:rsidRDefault="008775C9">
      <w:pPr>
        <w:rPr>
          <w:rFonts w:asciiTheme="minorHAnsi" w:hAnsiTheme="minorHAnsi" w:cstheme="minorHAnsi"/>
          <w:b/>
          <w:szCs w:val="22"/>
        </w:rPr>
      </w:pPr>
      <w:bookmarkStart w:name="_GoBack" w:id="0"/>
      <w:bookmarkEnd w:id="0"/>
      <w:r w:rsidRPr="001B0359">
        <w:rPr>
          <w:rFonts w:asciiTheme="minorHAnsi" w:hAnsiTheme="minorHAnsi" w:cstheme="minorHAnsi"/>
          <w:b/>
          <w:sz w:val="22"/>
          <w:szCs w:val="22"/>
        </w:rPr>
        <w:t>Vaste commissie voor Justitie en Veiligheid</w:t>
      </w:r>
      <w:r w:rsidRPr="001B0359">
        <w:rPr>
          <w:rFonts w:asciiTheme="minorHAnsi" w:hAnsiTheme="minorHAnsi" w:cstheme="minorHAnsi"/>
          <w:b/>
          <w:sz w:val="22"/>
          <w:szCs w:val="22"/>
        </w:rPr>
        <w:br/>
      </w:r>
      <w:r w:rsidRPr="001B0359">
        <w:rPr>
          <w:rFonts w:asciiTheme="minorHAnsi" w:hAnsiTheme="minorHAnsi" w:cstheme="minorHAnsi"/>
          <w:b/>
          <w:sz w:val="20"/>
          <w:szCs w:val="22"/>
        </w:rPr>
        <w:t>Overzicht nieuw gepubliceerde EU-voorstellen</w:t>
      </w:r>
    </w:p>
    <w:p w:rsidRPr="001B0359" w:rsidR="008775C9" w:rsidP="008775C9" w:rsidRDefault="008775C9">
      <w:pPr>
        <w:rPr>
          <w:rFonts w:asciiTheme="minorHAnsi" w:hAnsiTheme="minorHAnsi" w:cstheme="minorHAnsi"/>
          <w:sz w:val="20"/>
          <w:szCs w:val="22"/>
        </w:rPr>
      </w:pPr>
      <w:r w:rsidRPr="001B0359">
        <w:rPr>
          <w:rFonts w:asciiTheme="minorHAnsi" w:hAnsiTheme="minorHAnsi" w:cstheme="minorHAnsi"/>
          <w:sz w:val="20"/>
          <w:szCs w:val="22"/>
        </w:rPr>
        <w:t xml:space="preserve">Datum: </w:t>
      </w:r>
      <w:r w:rsidR="0013507D">
        <w:rPr>
          <w:rFonts w:asciiTheme="minorHAnsi" w:hAnsiTheme="minorHAnsi" w:cstheme="minorHAnsi"/>
          <w:sz w:val="20"/>
          <w:szCs w:val="22"/>
        </w:rPr>
        <w:t>03-10-2019</w:t>
      </w:r>
    </w:p>
    <w:p w:rsidRPr="001B0359" w:rsidR="008775C9" w:rsidP="008775C9" w:rsidRDefault="008775C9">
      <w:pPr>
        <w:rPr>
          <w:rFonts w:asciiTheme="minorHAnsi" w:hAnsiTheme="minorHAnsi" w:cstheme="minorHAnsi"/>
          <w:sz w:val="20"/>
          <w:szCs w:val="22"/>
        </w:rPr>
      </w:pPr>
    </w:p>
    <w:p w:rsidRPr="001B0359" w:rsidR="008775C9" w:rsidP="008775C9" w:rsidRDefault="008775C9">
      <w:pPr>
        <w:rPr>
          <w:rFonts w:asciiTheme="minorHAnsi" w:hAnsiTheme="minorHAnsi" w:cstheme="minorHAnsi"/>
          <w:b/>
          <w:sz w:val="20"/>
          <w:szCs w:val="22"/>
          <w:u w:val="single"/>
        </w:rPr>
      </w:pPr>
      <w:r w:rsidRPr="001B0359">
        <w:rPr>
          <w:rFonts w:asciiTheme="minorHAnsi" w:hAnsiTheme="minorHAnsi" w:cstheme="minorHAnsi"/>
          <w:b/>
          <w:sz w:val="20"/>
          <w:szCs w:val="22"/>
          <w:u w:val="single"/>
        </w:rPr>
        <w:t xml:space="preserve">Voorstellen verschenen in de periode </w:t>
      </w:r>
      <w:r w:rsidR="0013507D">
        <w:rPr>
          <w:rFonts w:asciiTheme="minorHAnsi" w:hAnsiTheme="minorHAnsi" w:cstheme="minorHAnsi"/>
          <w:b/>
          <w:sz w:val="20"/>
          <w:szCs w:val="22"/>
          <w:u w:val="single"/>
        </w:rPr>
        <w:t xml:space="preserve">20 september </w:t>
      </w:r>
      <w:r w:rsidR="00FB5545">
        <w:rPr>
          <w:rFonts w:asciiTheme="minorHAnsi" w:hAnsiTheme="minorHAnsi" w:cstheme="minorHAnsi"/>
          <w:b/>
          <w:sz w:val="20"/>
          <w:szCs w:val="22"/>
          <w:u w:val="single"/>
        </w:rPr>
        <w:t xml:space="preserve"> </w:t>
      </w:r>
      <w:r w:rsidR="00596B6D">
        <w:rPr>
          <w:rFonts w:asciiTheme="minorHAnsi" w:hAnsiTheme="minorHAnsi" w:cstheme="minorHAnsi"/>
          <w:b/>
          <w:sz w:val="20"/>
          <w:szCs w:val="22"/>
          <w:u w:val="single"/>
        </w:rPr>
        <w:t xml:space="preserve">t/m </w:t>
      </w:r>
      <w:r w:rsidR="0013507D">
        <w:rPr>
          <w:rFonts w:asciiTheme="minorHAnsi" w:hAnsiTheme="minorHAnsi" w:cstheme="minorHAnsi"/>
          <w:b/>
          <w:sz w:val="20"/>
          <w:szCs w:val="22"/>
          <w:u w:val="single"/>
        </w:rPr>
        <w:t>3 oktob</w:t>
      </w:r>
      <w:r w:rsidR="0094663D">
        <w:rPr>
          <w:rFonts w:asciiTheme="minorHAnsi" w:hAnsiTheme="minorHAnsi" w:cstheme="minorHAnsi"/>
          <w:b/>
          <w:sz w:val="20"/>
          <w:szCs w:val="22"/>
          <w:u w:val="single"/>
        </w:rPr>
        <w:t xml:space="preserve">er </w:t>
      </w:r>
      <w:r w:rsidRPr="001B0359" w:rsidR="00FA790A">
        <w:rPr>
          <w:rFonts w:asciiTheme="minorHAnsi" w:hAnsiTheme="minorHAnsi" w:cstheme="minorHAnsi"/>
          <w:b/>
          <w:sz w:val="20"/>
          <w:szCs w:val="22"/>
          <w:u w:val="single"/>
        </w:rPr>
        <w:t>2019</w:t>
      </w:r>
    </w:p>
    <w:p w:rsidRPr="001B0359" w:rsidR="008775C9" w:rsidP="008775C9" w:rsidRDefault="008775C9">
      <w:pPr>
        <w:rPr>
          <w:rFonts w:asciiTheme="minorHAnsi" w:hAnsiTheme="minorHAnsi" w:cstheme="minorHAnsi"/>
          <w:b/>
          <w:sz w:val="22"/>
          <w:szCs w:val="22"/>
          <w:u w:val="single"/>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w:t>
      </w:r>
      <w:r w:rsidRPr="001B0359" w:rsidR="00032E74">
        <w:rPr>
          <w:rFonts w:asciiTheme="minorHAnsi" w:hAnsiTheme="minorHAnsi" w:cstheme="minorHAnsi"/>
          <w:sz w:val="18"/>
          <w:szCs w:val="18"/>
        </w:rPr>
        <w:t>plegingen op het terrein van J&amp;V</w:t>
      </w:r>
      <w:r w:rsidRPr="001B0359">
        <w:rPr>
          <w:rFonts w:asciiTheme="minorHAnsi" w:hAnsiTheme="minorHAnsi" w:cstheme="minorHAnsi"/>
          <w:sz w:val="18"/>
          <w:szCs w:val="18"/>
        </w:rPr>
        <w:t xml:space="preserve"> die sinds de vorige procedurevergadering zijn verschenen. Dit geldt ook voor voorstellen voor (Raads)besluiten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pPr>
        <w:ind w:firstLine="708"/>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pPr>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p>
    <w:tbl>
      <w:tblPr>
        <w:tblW w:w="1475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279"/>
        <w:gridCol w:w="1468"/>
        <w:gridCol w:w="3685"/>
        <w:gridCol w:w="1654"/>
        <w:gridCol w:w="850"/>
        <w:gridCol w:w="5386"/>
      </w:tblGrid>
      <w:tr w:rsidRPr="001B0359" w:rsidR="001D7F4B" w:rsidTr="00B81109">
        <w:trPr>
          <w:trHeight w:val="1118"/>
        </w:trPr>
        <w:tc>
          <w:tcPr>
            <w:tcW w:w="435" w:type="dxa"/>
            <w:textDirection w:val="btLr"/>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Nummer</w:t>
            </w:r>
          </w:p>
        </w:tc>
        <w:tc>
          <w:tcPr>
            <w:tcW w:w="1279"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Publicatie-</w:t>
            </w: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datum</w:t>
            </w:r>
          </w:p>
        </w:tc>
        <w:tc>
          <w:tcPr>
            <w:tcW w:w="1468"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Soort</w:t>
            </w:r>
          </w:p>
        </w:tc>
        <w:tc>
          <w:tcPr>
            <w:tcW w:w="3685"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Titel</w:t>
            </w:r>
          </w:p>
        </w:tc>
        <w:tc>
          <w:tcPr>
            <w:tcW w:w="1654"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COM-nummer</w:t>
            </w:r>
          </w:p>
        </w:tc>
        <w:tc>
          <w:tcPr>
            <w:tcW w:w="850" w:type="dxa"/>
            <w:textDirection w:val="btLr"/>
          </w:tcPr>
          <w:p w:rsidRPr="001B0359" w:rsidR="00FA790A" w:rsidP="007A2A57" w:rsidRDefault="00FA790A">
            <w:pPr>
              <w:jc w:val="center"/>
              <w:rPr>
                <w:rFonts w:asciiTheme="minorHAnsi" w:hAnsiTheme="minorHAnsi" w:cstheme="minorHAnsi"/>
                <w:b/>
                <w:bCs/>
                <w:sz w:val="22"/>
                <w:szCs w:val="22"/>
              </w:rPr>
            </w:pP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Deadline</w:t>
            </w: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Sub.toets</w:t>
            </w:r>
          </w:p>
        </w:tc>
        <w:tc>
          <w:tcPr>
            <w:tcW w:w="5386"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Opmerking</w:t>
            </w:r>
          </w:p>
        </w:tc>
      </w:tr>
      <w:tr w:rsidRPr="001B0359" w:rsidR="001D7F4B" w:rsidTr="00B81109">
        <w:trPr>
          <w:trHeight w:val="300"/>
        </w:trPr>
        <w:tc>
          <w:tcPr>
            <w:tcW w:w="435" w:type="dxa"/>
            <w:tcBorders>
              <w:bottom w:val="single" w:color="auto" w:sz="4" w:space="0"/>
            </w:tcBorders>
            <w:shd w:val="clear" w:color="000000" w:fill="538DD5"/>
          </w:tcPr>
          <w:p w:rsidRPr="001B0359" w:rsidR="00FA790A" w:rsidP="007A2A57" w:rsidRDefault="00FA790A">
            <w:pPr>
              <w:jc w:val="center"/>
              <w:rPr>
                <w:rFonts w:asciiTheme="minorHAnsi" w:hAnsiTheme="minorHAnsi" w:cstheme="minorHAnsi"/>
                <w:b/>
                <w:bCs/>
                <w:sz w:val="22"/>
                <w:szCs w:val="22"/>
              </w:rPr>
            </w:pPr>
          </w:p>
        </w:tc>
        <w:tc>
          <w:tcPr>
            <w:tcW w:w="1279"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468" w:type="dxa"/>
            <w:tcBorders>
              <w:bottom w:val="single" w:color="auto" w:sz="4" w:space="0"/>
            </w:tcBorders>
            <w:shd w:val="clear" w:color="000000" w:fill="538DD5"/>
            <w:vAlign w:val="bottom"/>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3685"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654"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850" w:type="dxa"/>
            <w:tcBorders>
              <w:bottom w:val="single" w:color="auto" w:sz="4" w:space="0"/>
            </w:tcBorders>
            <w:shd w:val="clear" w:color="000000" w:fill="538DD5"/>
          </w:tcPr>
          <w:p w:rsidRPr="001B0359" w:rsidR="00FA790A" w:rsidP="007A2A57" w:rsidRDefault="00FA790A">
            <w:pPr>
              <w:rPr>
                <w:rFonts w:asciiTheme="minorHAnsi" w:hAnsiTheme="minorHAnsi" w:cstheme="minorHAnsi"/>
                <w:b/>
                <w:bCs/>
                <w:sz w:val="22"/>
                <w:szCs w:val="22"/>
              </w:rPr>
            </w:pPr>
          </w:p>
        </w:tc>
        <w:tc>
          <w:tcPr>
            <w:tcW w:w="5386" w:type="dxa"/>
            <w:tcBorders>
              <w:bottom w:val="single" w:color="auto" w:sz="4" w:space="0"/>
            </w:tcBorders>
            <w:shd w:val="clear" w:color="000000" w:fill="538DD5"/>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r>
      <w:tr w:rsidRPr="001B0359" w:rsidR="001D7F4B" w:rsidTr="00B81109">
        <w:trPr>
          <w:trHeight w:val="467"/>
        </w:trPr>
        <w:tc>
          <w:tcPr>
            <w:tcW w:w="14757" w:type="dxa"/>
            <w:gridSpan w:val="7"/>
            <w:shd w:val="clear" w:color="auto" w:fill="C2D69B" w:themeFill="accent3" w:themeFillTint="99"/>
          </w:tcPr>
          <w:p w:rsidRPr="001B0359" w:rsidR="008775C9" w:rsidP="007A2A57" w:rsidRDefault="008775C9">
            <w:pPr>
              <w:rPr>
                <w:rFonts w:asciiTheme="minorHAnsi" w:hAnsiTheme="minorHAnsi" w:cstheme="minorHAnsi"/>
                <w:b/>
                <w:i/>
                <w:sz w:val="22"/>
                <w:szCs w:val="22"/>
              </w:rPr>
            </w:pPr>
            <w:r w:rsidRPr="001B0359">
              <w:rPr>
                <w:rFonts w:asciiTheme="minorHAnsi" w:hAnsiTheme="minorHAnsi" w:cstheme="minorHAnsi"/>
                <w:b/>
                <w:i/>
                <w:sz w:val="22"/>
                <w:szCs w:val="22"/>
              </w:rPr>
              <w:t>Onderwerpen op het terrein van Justitie&amp; Veiligheid</w:t>
            </w:r>
          </w:p>
        </w:tc>
      </w:tr>
      <w:tr w:rsidRPr="001B0359" w:rsidR="00026673" w:rsidTr="00B81109">
        <w:trPr>
          <w:trHeight w:val="699"/>
        </w:trPr>
        <w:tc>
          <w:tcPr>
            <w:tcW w:w="435" w:type="dxa"/>
          </w:tcPr>
          <w:p w:rsidRPr="009761DD" w:rsidR="00026673" w:rsidP="00026673" w:rsidRDefault="00026673">
            <w:pPr>
              <w:jc w:val="center"/>
              <w:rPr>
                <w:rFonts w:asciiTheme="minorHAnsi" w:hAnsiTheme="minorHAnsi" w:cstheme="minorHAnsi"/>
                <w:sz w:val="22"/>
                <w:szCs w:val="22"/>
              </w:rPr>
            </w:pPr>
            <w:r w:rsidRPr="009761DD">
              <w:rPr>
                <w:rFonts w:asciiTheme="minorHAnsi" w:hAnsiTheme="minorHAnsi" w:cstheme="minorHAnsi"/>
                <w:sz w:val="22"/>
                <w:szCs w:val="22"/>
              </w:rPr>
              <w:t>1.</w:t>
            </w:r>
          </w:p>
        </w:tc>
        <w:tc>
          <w:tcPr>
            <w:tcW w:w="1279" w:type="dxa"/>
            <w:shd w:val="clear" w:color="auto" w:fill="auto"/>
            <w:noWrap/>
          </w:tcPr>
          <w:p w:rsidRPr="009761DD" w:rsidR="00F56E0C" w:rsidP="00F72549" w:rsidRDefault="00915BA8">
            <w:pPr>
              <w:spacing w:before="100" w:beforeAutospacing="1" w:after="100" w:afterAutospacing="1"/>
              <w:rPr>
                <w:rFonts w:asciiTheme="minorHAnsi" w:hAnsiTheme="minorHAnsi"/>
                <w:sz w:val="22"/>
                <w:szCs w:val="22"/>
              </w:rPr>
            </w:pPr>
            <w:r w:rsidRPr="009761DD">
              <w:rPr>
                <w:rFonts w:asciiTheme="minorHAnsi" w:hAnsiTheme="minorHAnsi"/>
                <w:color w:val="000000"/>
                <w:sz w:val="22"/>
                <w:szCs w:val="22"/>
              </w:rPr>
              <w:t>10</w:t>
            </w:r>
            <w:r w:rsidRPr="009761DD" w:rsidR="00F56E0C">
              <w:rPr>
                <w:rFonts w:asciiTheme="minorHAnsi" w:hAnsiTheme="minorHAnsi"/>
                <w:color w:val="000000"/>
                <w:sz w:val="22"/>
                <w:szCs w:val="22"/>
              </w:rPr>
              <w:t xml:space="preserve"> september 2019</w:t>
            </w:r>
          </w:p>
          <w:p w:rsidRPr="009761DD" w:rsidR="00026673" w:rsidP="00F72549" w:rsidRDefault="00026673">
            <w:pPr>
              <w:rPr>
                <w:rFonts w:asciiTheme="minorHAnsi" w:hAnsiTheme="minorHAnsi" w:cstheme="minorHAnsi"/>
                <w:sz w:val="22"/>
                <w:szCs w:val="22"/>
              </w:rPr>
            </w:pPr>
          </w:p>
        </w:tc>
        <w:tc>
          <w:tcPr>
            <w:tcW w:w="1468" w:type="dxa"/>
            <w:shd w:val="clear" w:color="auto" w:fill="auto"/>
            <w:noWrap/>
          </w:tcPr>
          <w:p w:rsidRPr="009761DD" w:rsidR="00026673" w:rsidP="00026673" w:rsidRDefault="00915BA8">
            <w:pPr>
              <w:spacing w:line="276" w:lineRule="auto"/>
              <w:rPr>
                <w:rFonts w:asciiTheme="minorHAnsi" w:hAnsiTheme="minorHAnsi" w:eastAsiaTheme="minorHAnsi" w:cstheme="minorHAnsi"/>
                <w:sz w:val="22"/>
                <w:szCs w:val="22"/>
                <w:lang w:eastAsia="en-US"/>
              </w:rPr>
            </w:pPr>
            <w:r w:rsidRPr="009761DD">
              <w:rPr>
                <w:rFonts w:asciiTheme="minorHAnsi" w:hAnsiTheme="minorHAnsi" w:eastAsiaTheme="minorHAnsi" w:cstheme="minorHAnsi"/>
                <w:sz w:val="22"/>
                <w:szCs w:val="22"/>
                <w:lang w:eastAsia="en-US"/>
              </w:rPr>
              <w:t>Raadpleging</w:t>
            </w:r>
          </w:p>
        </w:tc>
        <w:tc>
          <w:tcPr>
            <w:tcW w:w="3685" w:type="dxa"/>
            <w:shd w:val="clear" w:color="auto" w:fill="auto"/>
          </w:tcPr>
          <w:p w:rsidRPr="009761DD" w:rsidR="00026673" w:rsidP="00026673" w:rsidRDefault="00915BA8">
            <w:pPr>
              <w:rPr>
                <w:rFonts w:asciiTheme="minorHAnsi" w:hAnsiTheme="minorHAnsi" w:cstheme="minorHAnsi"/>
                <w:sz w:val="22"/>
                <w:szCs w:val="22"/>
                <w:lang w:val="en-US"/>
              </w:rPr>
            </w:pPr>
            <w:r w:rsidRPr="009761DD">
              <w:rPr>
                <w:rFonts w:asciiTheme="minorHAnsi" w:hAnsiTheme="minorHAnsi"/>
                <w:color w:val="000000"/>
                <w:sz w:val="22"/>
                <w:szCs w:val="22"/>
              </w:rPr>
              <w:t>Advance Passenger Information directive – evaluation</w:t>
            </w:r>
          </w:p>
        </w:tc>
        <w:tc>
          <w:tcPr>
            <w:tcW w:w="1654" w:type="dxa"/>
            <w:shd w:val="clear" w:color="auto" w:fill="auto"/>
            <w:noWrap/>
          </w:tcPr>
          <w:p w:rsidRPr="009761DD" w:rsidR="00026673" w:rsidP="00026673" w:rsidRDefault="00895FE4">
            <w:pPr>
              <w:jc w:val="center"/>
              <w:rPr>
                <w:rFonts w:asciiTheme="minorHAnsi" w:hAnsiTheme="minorHAnsi" w:cstheme="minorHAnsi"/>
                <w:color w:val="0000FF"/>
                <w:sz w:val="22"/>
                <w:szCs w:val="22"/>
              </w:rPr>
            </w:pPr>
            <w:hyperlink w:history="1" r:id="rId10">
              <w:hyperlink w:history="1" r:id="rId11">
                <w:r w:rsidRPr="009761DD" w:rsidR="00915BA8">
                  <w:rPr>
                    <w:rStyle w:val="Hyperlink"/>
                    <w:rFonts w:asciiTheme="minorHAnsi" w:hAnsiTheme="minorHAnsi"/>
                    <w:sz w:val="22"/>
                    <w:szCs w:val="22"/>
                  </w:rPr>
                  <w:t>OR</w:t>
                </w:r>
              </w:hyperlink>
              <w:r w:rsidRPr="009761DD" w:rsidR="00F56E0C">
                <w:rPr>
                  <w:rStyle w:val="Hyperlink"/>
                  <w:rFonts w:asciiTheme="minorHAnsi" w:hAnsiTheme="minorHAnsi" w:cstheme="minorHAnsi"/>
                  <w:sz w:val="22"/>
                  <w:szCs w:val="22"/>
                </w:rPr>
                <w:t xml:space="preserve">                      </w:t>
              </w:r>
            </w:hyperlink>
            <w:r w:rsidRPr="009761DD" w:rsidR="00F56E0C">
              <w:rPr>
                <w:rFonts w:asciiTheme="minorHAnsi" w:hAnsiTheme="minorHAnsi" w:cstheme="minorHAnsi"/>
                <w:sz w:val="22"/>
                <w:szCs w:val="22"/>
              </w:rPr>
              <w:t xml:space="preserve"> </w:t>
            </w:r>
          </w:p>
        </w:tc>
        <w:tc>
          <w:tcPr>
            <w:tcW w:w="850" w:type="dxa"/>
            <w:shd w:val="clear" w:color="auto" w:fill="auto"/>
          </w:tcPr>
          <w:p w:rsidRPr="009761DD" w:rsidR="00026673" w:rsidP="00026673" w:rsidRDefault="00AC6E3A">
            <w:pPr>
              <w:rPr>
                <w:rFonts w:asciiTheme="minorHAnsi" w:hAnsiTheme="minorHAnsi" w:cstheme="minorHAnsi"/>
                <w:sz w:val="22"/>
                <w:szCs w:val="22"/>
                <w:lang w:val="en-GB"/>
              </w:rPr>
            </w:pPr>
            <w:r w:rsidRPr="009761DD">
              <w:rPr>
                <w:rFonts w:asciiTheme="minorHAnsi" w:hAnsiTheme="minorHAnsi" w:cstheme="minorHAnsi"/>
                <w:sz w:val="22"/>
                <w:szCs w:val="22"/>
                <w:lang w:val="en-GB"/>
              </w:rPr>
              <w:t>03-12-2019</w:t>
            </w:r>
          </w:p>
        </w:tc>
        <w:tc>
          <w:tcPr>
            <w:tcW w:w="5386" w:type="dxa"/>
            <w:shd w:val="clear" w:color="auto" w:fill="auto"/>
          </w:tcPr>
          <w:p w:rsidRPr="009761DD" w:rsidR="00026673" w:rsidP="00026673" w:rsidRDefault="00F56E0C">
            <w:pPr>
              <w:rPr>
                <w:rFonts w:asciiTheme="minorHAnsi" w:hAnsiTheme="minorHAnsi" w:cstheme="minorHAnsi"/>
                <w:color w:val="000000"/>
                <w:sz w:val="22"/>
                <w:szCs w:val="22"/>
              </w:rPr>
            </w:pPr>
            <w:r w:rsidRPr="009761DD">
              <w:rPr>
                <w:rFonts w:asciiTheme="minorHAnsi" w:hAnsiTheme="minorHAnsi" w:cstheme="minorHAnsi"/>
                <w:color w:val="000000"/>
                <w:sz w:val="22"/>
                <w:szCs w:val="22"/>
                <w:u w:val="single"/>
              </w:rPr>
              <w:t>Behandelvoorstel</w:t>
            </w:r>
            <w:r w:rsidRPr="009761DD">
              <w:rPr>
                <w:rFonts w:asciiTheme="minorHAnsi" w:hAnsiTheme="minorHAnsi" w:cstheme="minorHAnsi"/>
                <w:color w:val="000000"/>
                <w:sz w:val="22"/>
                <w:szCs w:val="22"/>
              </w:rPr>
              <w:t>:</w:t>
            </w:r>
            <w:r w:rsidRPr="009761DD" w:rsidR="001C3742">
              <w:rPr>
                <w:rFonts w:asciiTheme="minorHAnsi" w:hAnsiTheme="minorHAnsi" w:cstheme="minorHAnsi"/>
                <w:color w:val="000000"/>
                <w:sz w:val="22"/>
                <w:szCs w:val="22"/>
              </w:rPr>
              <w:t xml:space="preserve"> voor kennisgeving aannemen</w:t>
            </w:r>
          </w:p>
          <w:p w:rsidRPr="009761DD" w:rsidR="00F56E0C" w:rsidP="00AC6E3A" w:rsidRDefault="00F56E0C">
            <w:pPr>
              <w:rPr>
                <w:rFonts w:asciiTheme="minorHAnsi" w:hAnsiTheme="minorHAnsi" w:cstheme="minorHAnsi"/>
                <w:i/>
                <w:sz w:val="22"/>
                <w:szCs w:val="22"/>
              </w:rPr>
            </w:pPr>
          </w:p>
          <w:p w:rsidRPr="009761DD" w:rsidR="009761DD" w:rsidP="00AC6E3A" w:rsidRDefault="009761DD">
            <w:pPr>
              <w:rPr>
                <w:rFonts w:asciiTheme="minorHAnsi" w:hAnsiTheme="minorHAnsi" w:cstheme="minorHAnsi"/>
                <w:i/>
                <w:sz w:val="22"/>
                <w:szCs w:val="22"/>
              </w:rPr>
            </w:pPr>
            <w:r w:rsidRPr="009761DD">
              <w:rPr>
                <w:rFonts w:asciiTheme="minorHAnsi" w:hAnsiTheme="minorHAnsi" w:cstheme="minorHAnsi"/>
                <w:i/>
                <w:sz w:val="22"/>
                <w:szCs w:val="22"/>
              </w:rPr>
              <w:t xml:space="preserve">Noot: </w:t>
            </w:r>
            <w:r>
              <w:rPr>
                <w:rFonts w:asciiTheme="minorHAnsi" w:hAnsiTheme="minorHAnsi" w:cstheme="minorHAnsi"/>
                <w:i/>
                <w:sz w:val="22"/>
                <w:szCs w:val="22"/>
              </w:rPr>
              <w:t>D</w:t>
            </w:r>
            <w:r w:rsidRPr="009761DD">
              <w:rPr>
                <w:rFonts w:asciiTheme="minorHAnsi" w:hAnsiTheme="minorHAnsi" w:cstheme="minorHAnsi"/>
                <w:i/>
                <w:sz w:val="22"/>
                <w:szCs w:val="22"/>
              </w:rPr>
              <w:t>it betreft een openbare raadpleging ten behoeve van de API-richtlijn, die een grondslag biedt voor de screening van vliegtuigpassagiers ter handhaving van het vreemdelingenrecht.</w:t>
            </w:r>
          </w:p>
        </w:tc>
      </w:tr>
      <w:tr w:rsidRPr="001B0359" w:rsidR="00026673" w:rsidTr="00B81109">
        <w:trPr>
          <w:trHeight w:val="699"/>
        </w:trPr>
        <w:tc>
          <w:tcPr>
            <w:tcW w:w="435" w:type="dxa"/>
          </w:tcPr>
          <w:p w:rsidRPr="009761DD" w:rsidR="00026673" w:rsidP="00026673" w:rsidRDefault="00B22DD3">
            <w:pPr>
              <w:jc w:val="center"/>
              <w:rPr>
                <w:rFonts w:asciiTheme="minorHAnsi" w:hAnsiTheme="minorHAnsi" w:cstheme="minorHAnsi"/>
                <w:sz w:val="22"/>
                <w:szCs w:val="22"/>
              </w:rPr>
            </w:pPr>
            <w:r w:rsidRPr="009761DD">
              <w:rPr>
                <w:rFonts w:asciiTheme="minorHAnsi" w:hAnsiTheme="minorHAnsi" w:cstheme="minorHAnsi"/>
                <w:sz w:val="22"/>
                <w:szCs w:val="22"/>
              </w:rPr>
              <w:t>2.</w:t>
            </w:r>
          </w:p>
        </w:tc>
        <w:tc>
          <w:tcPr>
            <w:tcW w:w="1279" w:type="dxa"/>
            <w:shd w:val="clear" w:color="auto" w:fill="auto"/>
            <w:noWrap/>
          </w:tcPr>
          <w:p w:rsidRPr="009761DD" w:rsidR="00026673" w:rsidP="00F72549" w:rsidRDefault="00915BA8">
            <w:pPr>
              <w:rPr>
                <w:rFonts w:asciiTheme="minorHAnsi" w:hAnsiTheme="minorHAnsi" w:cstheme="minorHAnsi"/>
                <w:sz w:val="22"/>
                <w:szCs w:val="22"/>
              </w:rPr>
            </w:pPr>
            <w:r w:rsidRPr="009761DD">
              <w:rPr>
                <w:rFonts w:asciiTheme="minorHAnsi" w:hAnsiTheme="minorHAnsi" w:cstheme="minorHAnsi"/>
                <w:sz w:val="22"/>
                <w:szCs w:val="22"/>
              </w:rPr>
              <w:t>27 september 2019</w:t>
            </w:r>
          </w:p>
        </w:tc>
        <w:tc>
          <w:tcPr>
            <w:tcW w:w="1468" w:type="dxa"/>
            <w:shd w:val="clear" w:color="auto" w:fill="auto"/>
            <w:noWrap/>
          </w:tcPr>
          <w:p w:rsidRPr="009761DD" w:rsidR="00026673" w:rsidP="00026673" w:rsidRDefault="00915BA8">
            <w:pPr>
              <w:spacing w:line="276" w:lineRule="auto"/>
              <w:rPr>
                <w:rFonts w:asciiTheme="minorHAnsi" w:hAnsiTheme="minorHAnsi" w:eastAsiaTheme="minorHAnsi" w:cstheme="minorHAnsi"/>
                <w:sz w:val="22"/>
                <w:szCs w:val="22"/>
                <w:lang w:eastAsia="en-US"/>
              </w:rPr>
            </w:pPr>
            <w:r w:rsidRPr="009761DD">
              <w:rPr>
                <w:rFonts w:asciiTheme="minorHAnsi" w:hAnsiTheme="minorHAnsi" w:eastAsiaTheme="minorHAnsi" w:cstheme="minorHAnsi"/>
                <w:sz w:val="22"/>
                <w:szCs w:val="22"/>
                <w:lang w:eastAsia="en-US"/>
              </w:rPr>
              <w:t>Besluit</w:t>
            </w:r>
          </w:p>
        </w:tc>
        <w:tc>
          <w:tcPr>
            <w:tcW w:w="3685" w:type="dxa"/>
            <w:shd w:val="clear" w:color="auto" w:fill="auto"/>
          </w:tcPr>
          <w:p w:rsidRPr="009761DD" w:rsidR="00026673" w:rsidP="00026673" w:rsidRDefault="00EC4200">
            <w:pPr>
              <w:rPr>
                <w:rFonts w:asciiTheme="minorHAnsi" w:hAnsiTheme="minorHAnsi" w:cstheme="minorHAnsi"/>
                <w:color w:val="000000"/>
                <w:sz w:val="22"/>
                <w:szCs w:val="22"/>
                <w:lang w:val="en-US"/>
              </w:rPr>
            </w:pPr>
            <w:r w:rsidRPr="009761DD">
              <w:rPr>
                <w:rFonts w:asciiTheme="minorHAnsi" w:hAnsiTheme="minorHAnsi"/>
                <w:color w:val="000000"/>
                <w:sz w:val="22"/>
                <w:szCs w:val="22"/>
              </w:rPr>
              <w:t xml:space="preserve">Aanbeveling voor een BESLUIT VAN DE RAAD houdende machtiging tot het openen van onderhandelingen over een overeenkomst tussen de Europese Unie en Japan betreffende de doorgifte en verwerking van persoonsgegevens van passagiers (PNR-gegevens) ter voorkoming en bestrijding van </w:t>
            </w:r>
            <w:r w:rsidRPr="009761DD">
              <w:rPr>
                <w:rFonts w:asciiTheme="minorHAnsi" w:hAnsiTheme="minorHAnsi"/>
                <w:color w:val="000000"/>
                <w:sz w:val="22"/>
                <w:szCs w:val="22"/>
              </w:rPr>
              <w:lastRenderedPageBreak/>
              <w:t>terrorisme en andere ernstige grensoverschrijdende criminaliteit</w:t>
            </w:r>
          </w:p>
        </w:tc>
        <w:tc>
          <w:tcPr>
            <w:tcW w:w="1654" w:type="dxa"/>
            <w:shd w:val="clear" w:color="auto" w:fill="auto"/>
            <w:noWrap/>
          </w:tcPr>
          <w:p w:rsidRPr="009761DD" w:rsidR="00026673" w:rsidP="00F56E0C" w:rsidRDefault="00895FE4">
            <w:pPr>
              <w:jc w:val="center"/>
              <w:rPr>
                <w:rFonts w:asciiTheme="minorHAnsi" w:hAnsiTheme="minorHAnsi" w:cstheme="minorHAnsi"/>
                <w:sz w:val="22"/>
                <w:szCs w:val="22"/>
              </w:rPr>
            </w:pPr>
            <w:hyperlink w:history="1" r:id="rId12">
              <w:r w:rsidRPr="009761DD" w:rsidR="00EC4200">
                <w:rPr>
                  <w:rStyle w:val="Hyperlink"/>
                  <w:rFonts w:asciiTheme="minorHAnsi" w:hAnsiTheme="minorHAnsi"/>
                  <w:sz w:val="22"/>
                  <w:szCs w:val="22"/>
                </w:rPr>
                <w:t>COM (2019) 420</w:t>
              </w:r>
            </w:hyperlink>
          </w:p>
        </w:tc>
        <w:tc>
          <w:tcPr>
            <w:tcW w:w="850" w:type="dxa"/>
            <w:shd w:val="clear" w:color="auto" w:fill="auto"/>
          </w:tcPr>
          <w:p w:rsidRPr="009761DD" w:rsidR="00026673" w:rsidP="00026673" w:rsidRDefault="00EC4200">
            <w:pPr>
              <w:rPr>
                <w:rFonts w:asciiTheme="minorHAnsi" w:hAnsiTheme="minorHAnsi" w:cstheme="minorHAnsi"/>
                <w:sz w:val="22"/>
                <w:szCs w:val="22"/>
                <w:lang w:val="en-GB"/>
              </w:rPr>
            </w:pPr>
            <w:r w:rsidRPr="009761DD">
              <w:rPr>
                <w:rFonts w:asciiTheme="minorHAnsi" w:hAnsiTheme="minorHAnsi" w:cstheme="minorHAnsi"/>
                <w:sz w:val="22"/>
                <w:szCs w:val="22"/>
                <w:lang w:val="en-GB"/>
              </w:rPr>
              <w:t>n.v.t.</w:t>
            </w:r>
          </w:p>
        </w:tc>
        <w:tc>
          <w:tcPr>
            <w:tcW w:w="5386" w:type="dxa"/>
            <w:shd w:val="clear" w:color="auto" w:fill="auto"/>
          </w:tcPr>
          <w:p w:rsidRPr="009761DD" w:rsidR="00EC4200" w:rsidP="00EC4200" w:rsidRDefault="00EC4200">
            <w:pPr>
              <w:rPr>
                <w:rFonts w:asciiTheme="minorHAnsi" w:hAnsiTheme="minorHAnsi"/>
                <w:color w:val="000000"/>
                <w:sz w:val="22"/>
                <w:szCs w:val="22"/>
              </w:rPr>
            </w:pPr>
            <w:r w:rsidRPr="009761DD">
              <w:rPr>
                <w:rFonts w:asciiTheme="minorHAnsi" w:hAnsiTheme="minorHAnsi"/>
                <w:color w:val="000000"/>
                <w:sz w:val="22"/>
                <w:szCs w:val="22"/>
                <w:u w:val="single"/>
              </w:rPr>
              <w:t>Behandelvoorstel</w:t>
            </w:r>
            <w:r w:rsidRPr="009761DD">
              <w:rPr>
                <w:rFonts w:asciiTheme="minorHAnsi" w:hAnsiTheme="minorHAnsi"/>
                <w:color w:val="000000"/>
                <w:sz w:val="22"/>
                <w:szCs w:val="22"/>
              </w:rPr>
              <w:t>: voor kennisgeving aannemen</w:t>
            </w:r>
          </w:p>
          <w:p w:rsidRPr="009761DD" w:rsidR="00EC4200" w:rsidP="00EC4200" w:rsidRDefault="00EC4200">
            <w:pPr>
              <w:rPr>
                <w:rFonts w:asciiTheme="minorHAnsi" w:hAnsiTheme="minorHAnsi"/>
                <w:color w:val="000000"/>
                <w:sz w:val="22"/>
                <w:szCs w:val="22"/>
              </w:rPr>
            </w:pPr>
          </w:p>
          <w:p w:rsidRPr="009761DD" w:rsidR="00EC4200" w:rsidP="00EC4200" w:rsidRDefault="00EC4200">
            <w:pPr>
              <w:rPr>
                <w:rFonts w:asciiTheme="minorHAnsi" w:hAnsiTheme="minorHAnsi"/>
                <w:sz w:val="22"/>
                <w:szCs w:val="22"/>
              </w:rPr>
            </w:pPr>
            <w:r w:rsidRPr="009761DD">
              <w:rPr>
                <w:rFonts w:asciiTheme="minorHAnsi" w:hAnsiTheme="minorHAnsi"/>
                <w:i/>
                <w:iCs/>
                <w:color w:val="000000"/>
                <w:sz w:val="22"/>
                <w:szCs w:val="22"/>
              </w:rPr>
              <w:t xml:space="preserve">Noot: </w:t>
            </w:r>
            <w:r w:rsidRPr="009761DD">
              <w:rPr>
                <w:rFonts w:asciiTheme="minorHAnsi" w:hAnsiTheme="minorHAnsi"/>
                <w:i/>
                <w:iCs/>
                <w:sz w:val="22"/>
                <w:szCs w:val="22"/>
              </w:rPr>
              <w:t>Het betreft een besluit betreffende het (conform het toepasselijke EU-rechtskader) door de Europese Commissie namens de EU in te nemen standpunt in onderhandelingen met Japan over het gebruik van PNR-gegevens.</w:t>
            </w:r>
          </w:p>
          <w:p w:rsidRPr="009761DD" w:rsidR="00F56E0C" w:rsidP="001C3742" w:rsidRDefault="00F56E0C">
            <w:pPr>
              <w:rPr>
                <w:rFonts w:asciiTheme="minorHAnsi" w:hAnsiTheme="minorHAnsi" w:cstheme="minorHAnsi"/>
                <w:sz w:val="22"/>
                <w:szCs w:val="22"/>
                <w:u w:val="single"/>
              </w:rPr>
            </w:pPr>
          </w:p>
        </w:tc>
      </w:tr>
      <w:tr w:rsidRPr="001B0359" w:rsidR="00EC4200" w:rsidTr="00B81109">
        <w:trPr>
          <w:trHeight w:val="699"/>
        </w:trPr>
        <w:tc>
          <w:tcPr>
            <w:tcW w:w="435" w:type="dxa"/>
          </w:tcPr>
          <w:p w:rsidRPr="009761DD" w:rsidR="00EC4200" w:rsidP="00026673" w:rsidRDefault="00EC4200">
            <w:pPr>
              <w:jc w:val="center"/>
              <w:rPr>
                <w:rFonts w:asciiTheme="minorHAnsi" w:hAnsiTheme="minorHAnsi" w:cstheme="minorHAnsi"/>
                <w:sz w:val="22"/>
                <w:szCs w:val="22"/>
              </w:rPr>
            </w:pPr>
            <w:r w:rsidRPr="009761DD">
              <w:rPr>
                <w:rFonts w:asciiTheme="minorHAnsi" w:hAnsiTheme="minorHAnsi" w:cstheme="minorHAnsi"/>
                <w:sz w:val="22"/>
                <w:szCs w:val="22"/>
              </w:rPr>
              <w:t>3.</w:t>
            </w:r>
          </w:p>
        </w:tc>
        <w:tc>
          <w:tcPr>
            <w:tcW w:w="1279" w:type="dxa"/>
            <w:shd w:val="clear" w:color="auto" w:fill="auto"/>
            <w:noWrap/>
          </w:tcPr>
          <w:p w:rsidRPr="009761DD" w:rsidR="00EC4200" w:rsidP="00F72549" w:rsidRDefault="00F72549">
            <w:pPr>
              <w:rPr>
                <w:rFonts w:asciiTheme="minorHAnsi" w:hAnsiTheme="minorHAnsi" w:cstheme="minorHAnsi"/>
                <w:sz w:val="22"/>
                <w:szCs w:val="22"/>
              </w:rPr>
            </w:pPr>
            <w:r w:rsidRPr="009761DD">
              <w:rPr>
                <w:rFonts w:asciiTheme="minorHAnsi" w:hAnsiTheme="minorHAnsi" w:cstheme="minorHAnsi"/>
                <w:sz w:val="22"/>
                <w:szCs w:val="22"/>
              </w:rPr>
              <w:t>25 september 2019</w:t>
            </w:r>
          </w:p>
        </w:tc>
        <w:tc>
          <w:tcPr>
            <w:tcW w:w="1468" w:type="dxa"/>
            <w:shd w:val="clear" w:color="auto" w:fill="auto"/>
            <w:noWrap/>
          </w:tcPr>
          <w:p w:rsidRPr="009761DD" w:rsidR="00EC4200" w:rsidP="00026673" w:rsidRDefault="00F72549">
            <w:pPr>
              <w:spacing w:line="276" w:lineRule="auto"/>
              <w:rPr>
                <w:rFonts w:asciiTheme="minorHAnsi" w:hAnsiTheme="minorHAnsi" w:eastAsiaTheme="minorHAnsi" w:cstheme="minorHAnsi"/>
                <w:sz w:val="22"/>
                <w:szCs w:val="22"/>
                <w:lang w:eastAsia="en-US"/>
              </w:rPr>
            </w:pPr>
            <w:r w:rsidRPr="009761DD">
              <w:rPr>
                <w:rFonts w:asciiTheme="minorHAnsi" w:hAnsiTheme="minorHAnsi" w:eastAsiaTheme="minorHAnsi" w:cstheme="minorHAnsi"/>
                <w:sz w:val="22"/>
                <w:szCs w:val="22"/>
                <w:lang w:eastAsia="en-US"/>
              </w:rPr>
              <w:t>Verslag</w:t>
            </w:r>
          </w:p>
        </w:tc>
        <w:tc>
          <w:tcPr>
            <w:tcW w:w="3685" w:type="dxa"/>
            <w:shd w:val="clear" w:color="auto" w:fill="auto"/>
          </w:tcPr>
          <w:p w:rsidRPr="009761DD" w:rsidR="00EC4200" w:rsidP="00026673" w:rsidRDefault="00F72549">
            <w:pPr>
              <w:rPr>
                <w:rFonts w:asciiTheme="minorHAnsi" w:hAnsiTheme="minorHAnsi"/>
                <w:color w:val="000000"/>
                <w:sz w:val="22"/>
                <w:szCs w:val="22"/>
              </w:rPr>
            </w:pPr>
            <w:r w:rsidRPr="009761DD">
              <w:rPr>
                <w:rFonts w:asciiTheme="minorHAnsi" w:hAnsiTheme="minorHAnsi"/>
                <w:color w:val="000000"/>
                <w:sz w:val="22"/>
                <w:szCs w:val="22"/>
              </w:rPr>
              <w:t>VERSLAG VAN DE COMMISSIE AAN HET EUROPEES PARLEMENT, DE RAAD EN HET EUROPEES ECONOMISCH EN SOCIAAL COMITÉ over de toepassing van Richtlijn 2013/11/EU van het Europees Parlement en de Raad betreffende alternatieve beslechting van consumentengeschillen en Verordening (EU) nr. 524/2013 van het Europees Parlement en de Raad betreffende onlinebeslechting van consumentengeschillen</w:t>
            </w:r>
          </w:p>
        </w:tc>
        <w:tc>
          <w:tcPr>
            <w:tcW w:w="1654" w:type="dxa"/>
            <w:shd w:val="clear" w:color="auto" w:fill="auto"/>
            <w:noWrap/>
          </w:tcPr>
          <w:p w:rsidRPr="009761DD" w:rsidR="00EC4200" w:rsidP="00F56E0C" w:rsidRDefault="00895FE4">
            <w:pPr>
              <w:jc w:val="center"/>
              <w:rPr>
                <w:rFonts w:asciiTheme="minorHAnsi" w:hAnsiTheme="minorHAnsi"/>
                <w:color w:val="0000FF"/>
                <w:sz w:val="22"/>
                <w:szCs w:val="22"/>
                <w:u w:val="single"/>
              </w:rPr>
            </w:pPr>
            <w:hyperlink w:history="1" r:id="rId13">
              <w:r w:rsidRPr="009761DD" w:rsidR="00F72549">
                <w:rPr>
                  <w:rStyle w:val="Hyperlink"/>
                  <w:rFonts w:asciiTheme="minorHAnsi" w:hAnsiTheme="minorHAnsi"/>
                  <w:sz w:val="22"/>
                  <w:szCs w:val="22"/>
                </w:rPr>
                <w:t>COM (2019) 425</w:t>
              </w:r>
            </w:hyperlink>
          </w:p>
        </w:tc>
        <w:tc>
          <w:tcPr>
            <w:tcW w:w="850" w:type="dxa"/>
            <w:shd w:val="clear" w:color="auto" w:fill="auto"/>
          </w:tcPr>
          <w:p w:rsidRPr="009761DD" w:rsidR="00EC4200" w:rsidP="00026673" w:rsidRDefault="00F72549">
            <w:pPr>
              <w:rPr>
                <w:rFonts w:asciiTheme="minorHAnsi" w:hAnsiTheme="minorHAnsi" w:cstheme="minorHAnsi"/>
                <w:sz w:val="22"/>
                <w:szCs w:val="22"/>
                <w:lang w:val="en-GB"/>
              </w:rPr>
            </w:pPr>
            <w:r w:rsidRPr="009761DD">
              <w:rPr>
                <w:rFonts w:asciiTheme="minorHAnsi" w:hAnsiTheme="minorHAnsi" w:cstheme="minorHAnsi"/>
                <w:sz w:val="22"/>
                <w:szCs w:val="22"/>
                <w:lang w:val="en-GB"/>
              </w:rPr>
              <w:t>n.v.t</w:t>
            </w:r>
          </w:p>
        </w:tc>
        <w:tc>
          <w:tcPr>
            <w:tcW w:w="5386" w:type="dxa"/>
            <w:shd w:val="clear" w:color="auto" w:fill="auto"/>
          </w:tcPr>
          <w:p w:rsidRPr="009761DD" w:rsidR="00EC4200" w:rsidP="00EC4200" w:rsidRDefault="00F72549">
            <w:pPr>
              <w:rPr>
                <w:rFonts w:asciiTheme="minorHAnsi" w:hAnsiTheme="minorHAnsi"/>
                <w:color w:val="000000"/>
                <w:sz w:val="22"/>
                <w:szCs w:val="22"/>
              </w:rPr>
            </w:pPr>
            <w:r w:rsidRPr="009761DD">
              <w:rPr>
                <w:rFonts w:asciiTheme="minorHAnsi" w:hAnsiTheme="minorHAnsi"/>
                <w:color w:val="000000"/>
                <w:sz w:val="22"/>
                <w:szCs w:val="22"/>
                <w:u w:val="single"/>
              </w:rPr>
              <w:t>Behandelvoorstel</w:t>
            </w:r>
            <w:r w:rsidRPr="009761DD">
              <w:rPr>
                <w:rFonts w:asciiTheme="minorHAnsi" w:hAnsiTheme="minorHAnsi"/>
                <w:color w:val="000000"/>
                <w:sz w:val="22"/>
                <w:szCs w:val="22"/>
              </w:rPr>
              <w:t>: voor kennisgeving aannemen</w:t>
            </w:r>
          </w:p>
          <w:p w:rsidRPr="009761DD" w:rsidR="00F72549" w:rsidP="00EC4200" w:rsidRDefault="00F72549">
            <w:pPr>
              <w:rPr>
                <w:rFonts w:asciiTheme="minorHAnsi" w:hAnsiTheme="minorHAnsi"/>
                <w:color w:val="000000"/>
                <w:sz w:val="22"/>
                <w:szCs w:val="22"/>
              </w:rPr>
            </w:pPr>
          </w:p>
          <w:p w:rsidRPr="009761DD" w:rsidR="0013507D" w:rsidP="0013507D" w:rsidRDefault="00F72549">
            <w:pPr>
              <w:rPr>
                <w:rFonts w:asciiTheme="minorHAnsi" w:hAnsiTheme="minorHAnsi"/>
                <w:i/>
                <w:color w:val="000000"/>
                <w:sz w:val="22"/>
                <w:szCs w:val="22"/>
                <w:u w:val="single"/>
              </w:rPr>
            </w:pPr>
            <w:r w:rsidRPr="009761DD">
              <w:rPr>
                <w:rFonts w:asciiTheme="minorHAnsi" w:hAnsiTheme="minorHAnsi"/>
                <w:i/>
                <w:color w:val="000000"/>
                <w:sz w:val="22"/>
                <w:szCs w:val="22"/>
              </w:rPr>
              <w:t>Noot:</w:t>
            </w:r>
            <w:r w:rsidRPr="009761DD" w:rsidR="00AC6E3A">
              <w:rPr>
                <w:rFonts w:asciiTheme="minorHAnsi" w:hAnsiTheme="minorHAnsi"/>
                <w:i/>
                <w:color w:val="000000"/>
                <w:sz w:val="22"/>
                <w:szCs w:val="22"/>
              </w:rPr>
              <w:t xml:space="preserve"> Het betreft </w:t>
            </w:r>
            <w:r w:rsidRPr="009761DD" w:rsidR="0013507D">
              <w:rPr>
                <w:rFonts w:asciiTheme="minorHAnsi" w:hAnsiTheme="minorHAnsi"/>
                <w:i/>
                <w:color w:val="000000"/>
                <w:sz w:val="22"/>
                <w:szCs w:val="22"/>
              </w:rPr>
              <w:t>een regulier verslag betreffende genoemde richtlijn die ziet op de online beslechting van consumentengeschillen. V</w:t>
            </w:r>
            <w:r w:rsidRPr="009761DD" w:rsidR="0013507D">
              <w:rPr>
                <w:rFonts w:asciiTheme="minorHAnsi" w:hAnsiTheme="minorHAnsi"/>
                <w:i/>
                <w:sz w:val="22"/>
                <w:szCs w:val="22"/>
              </w:rPr>
              <w:t>oor consumenten is alternatieve geschilbeslechting en online geschilbeslechting een vast onderdeel geworden van de EU-toolbox voor publieke en private handhaving van het consumentenrecht.</w:t>
            </w:r>
            <w:r w:rsidR="009761DD">
              <w:rPr>
                <w:rFonts w:asciiTheme="minorHAnsi" w:hAnsiTheme="minorHAnsi"/>
                <w:i/>
                <w:color w:val="000000"/>
                <w:sz w:val="22"/>
                <w:szCs w:val="22"/>
              </w:rPr>
              <w:t xml:space="preserve"> De Commissie </w:t>
            </w:r>
            <w:r w:rsidRPr="009761DD" w:rsidR="009761DD">
              <w:rPr>
                <w:rFonts w:asciiTheme="minorHAnsi" w:hAnsiTheme="minorHAnsi"/>
                <w:i/>
                <w:color w:val="000000"/>
                <w:sz w:val="22"/>
                <w:szCs w:val="22"/>
              </w:rPr>
              <w:t>geeft aan verder te zullen inzetten op online en alternatieve geschilbeslechting.</w:t>
            </w:r>
          </w:p>
        </w:tc>
      </w:tr>
      <w:tr w:rsidRPr="001B0359" w:rsidR="00F72549" w:rsidTr="00B81109">
        <w:trPr>
          <w:trHeight w:val="699"/>
        </w:trPr>
        <w:tc>
          <w:tcPr>
            <w:tcW w:w="435" w:type="dxa"/>
          </w:tcPr>
          <w:p w:rsidRPr="009761DD" w:rsidR="00F72549" w:rsidP="00026673" w:rsidRDefault="00F72549">
            <w:pPr>
              <w:jc w:val="center"/>
              <w:rPr>
                <w:rFonts w:asciiTheme="minorHAnsi" w:hAnsiTheme="minorHAnsi" w:cstheme="minorHAnsi"/>
                <w:sz w:val="22"/>
                <w:szCs w:val="22"/>
              </w:rPr>
            </w:pPr>
            <w:r w:rsidRPr="009761DD">
              <w:rPr>
                <w:rFonts w:asciiTheme="minorHAnsi" w:hAnsiTheme="minorHAnsi" w:cstheme="minorHAnsi"/>
                <w:sz w:val="22"/>
                <w:szCs w:val="22"/>
              </w:rPr>
              <w:t>4.</w:t>
            </w:r>
          </w:p>
        </w:tc>
        <w:tc>
          <w:tcPr>
            <w:tcW w:w="1279" w:type="dxa"/>
            <w:shd w:val="clear" w:color="auto" w:fill="auto"/>
            <w:noWrap/>
          </w:tcPr>
          <w:p w:rsidRPr="009761DD" w:rsidR="00F72549" w:rsidP="00F72549" w:rsidRDefault="00F72549">
            <w:pPr>
              <w:rPr>
                <w:rFonts w:asciiTheme="minorHAnsi" w:hAnsiTheme="minorHAnsi" w:cstheme="minorHAnsi"/>
                <w:sz w:val="22"/>
                <w:szCs w:val="22"/>
              </w:rPr>
            </w:pPr>
            <w:r w:rsidRPr="009761DD">
              <w:rPr>
                <w:rFonts w:asciiTheme="minorHAnsi" w:hAnsiTheme="minorHAnsi" w:cstheme="minorHAnsi"/>
                <w:sz w:val="22"/>
                <w:szCs w:val="22"/>
              </w:rPr>
              <w:t>27 september 2019</w:t>
            </w:r>
          </w:p>
        </w:tc>
        <w:tc>
          <w:tcPr>
            <w:tcW w:w="1468" w:type="dxa"/>
            <w:shd w:val="clear" w:color="auto" w:fill="auto"/>
            <w:noWrap/>
          </w:tcPr>
          <w:p w:rsidRPr="009761DD" w:rsidR="00F72549" w:rsidP="00026673" w:rsidRDefault="00F72549">
            <w:pPr>
              <w:spacing w:line="276" w:lineRule="auto"/>
              <w:rPr>
                <w:rFonts w:asciiTheme="minorHAnsi" w:hAnsiTheme="minorHAnsi" w:eastAsiaTheme="minorHAnsi" w:cstheme="minorHAnsi"/>
                <w:sz w:val="22"/>
                <w:szCs w:val="22"/>
                <w:lang w:eastAsia="en-US"/>
              </w:rPr>
            </w:pPr>
            <w:r w:rsidRPr="009761DD">
              <w:rPr>
                <w:rFonts w:asciiTheme="minorHAnsi" w:hAnsiTheme="minorHAnsi" w:eastAsiaTheme="minorHAnsi" w:cstheme="minorHAnsi"/>
                <w:sz w:val="22"/>
                <w:szCs w:val="22"/>
                <w:lang w:eastAsia="en-US"/>
              </w:rPr>
              <w:t>Verslag</w:t>
            </w:r>
          </w:p>
        </w:tc>
        <w:tc>
          <w:tcPr>
            <w:tcW w:w="3685" w:type="dxa"/>
            <w:shd w:val="clear" w:color="auto" w:fill="auto"/>
          </w:tcPr>
          <w:p w:rsidRPr="009761DD" w:rsidR="00F72549" w:rsidP="00026673" w:rsidRDefault="00F72549">
            <w:pPr>
              <w:rPr>
                <w:rFonts w:asciiTheme="minorHAnsi" w:hAnsiTheme="minorHAnsi"/>
                <w:color w:val="000000"/>
                <w:sz w:val="22"/>
                <w:szCs w:val="22"/>
              </w:rPr>
            </w:pPr>
            <w:r w:rsidRPr="009761DD">
              <w:rPr>
                <w:rFonts w:asciiTheme="minorHAnsi" w:hAnsiTheme="minorHAnsi"/>
                <w:color w:val="000000"/>
                <w:sz w:val="22"/>
                <w:szCs w:val="22"/>
              </w:rPr>
              <w:t>VERSLAG VAN DE COMMISSIE AAN HET EUROPEES PARLEMENT EN DE RAAD over de uitvoering van Richtlijn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w:t>
            </w:r>
          </w:p>
        </w:tc>
        <w:tc>
          <w:tcPr>
            <w:tcW w:w="1654" w:type="dxa"/>
            <w:shd w:val="clear" w:color="auto" w:fill="auto"/>
            <w:noWrap/>
          </w:tcPr>
          <w:p w:rsidRPr="009761DD" w:rsidR="00F72549" w:rsidP="00F56E0C" w:rsidRDefault="00895FE4">
            <w:pPr>
              <w:jc w:val="center"/>
              <w:rPr>
                <w:rFonts w:asciiTheme="minorHAnsi" w:hAnsiTheme="minorHAnsi"/>
                <w:color w:val="0000FF"/>
                <w:sz w:val="22"/>
                <w:szCs w:val="22"/>
                <w:u w:val="single"/>
              </w:rPr>
            </w:pPr>
            <w:hyperlink w:history="1" r:id="rId14">
              <w:r w:rsidRPr="009761DD" w:rsidR="00F72549">
                <w:rPr>
                  <w:rStyle w:val="Hyperlink"/>
                  <w:rFonts w:asciiTheme="minorHAnsi" w:hAnsiTheme="minorHAnsi"/>
                  <w:sz w:val="22"/>
                  <w:szCs w:val="22"/>
                </w:rPr>
                <w:t>COM (2019) 560</w:t>
              </w:r>
            </w:hyperlink>
          </w:p>
        </w:tc>
        <w:tc>
          <w:tcPr>
            <w:tcW w:w="850" w:type="dxa"/>
            <w:shd w:val="clear" w:color="auto" w:fill="auto"/>
          </w:tcPr>
          <w:p w:rsidRPr="009761DD" w:rsidR="00F72549" w:rsidP="00026673" w:rsidRDefault="00F72549">
            <w:pPr>
              <w:rPr>
                <w:rFonts w:asciiTheme="minorHAnsi" w:hAnsiTheme="minorHAnsi" w:cstheme="minorHAnsi"/>
                <w:sz w:val="22"/>
                <w:szCs w:val="22"/>
                <w:lang w:val="en-GB"/>
              </w:rPr>
            </w:pPr>
            <w:r w:rsidRPr="009761DD">
              <w:rPr>
                <w:rFonts w:asciiTheme="minorHAnsi" w:hAnsiTheme="minorHAnsi" w:cstheme="minorHAnsi"/>
                <w:sz w:val="22"/>
                <w:szCs w:val="22"/>
                <w:lang w:val="en-GB"/>
              </w:rPr>
              <w:t>n.v.t</w:t>
            </w:r>
          </w:p>
        </w:tc>
        <w:tc>
          <w:tcPr>
            <w:tcW w:w="5386" w:type="dxa"/>
            <w:shd w:val="clear" w:color="auto" w:fill="auto"/>
          </w:tcPr>
          <w:p w:rsidRPr="009761DD" w:rsidR="00F72549" w:rsidP="00F72549" w:rsidRDefault="00F72549">
            <w:pPr>
              <w:rPr>
                <w:rFonts w:asciiTheme="minorHAnsi" w:hAnsiTheme="minorHAnsi"/>
                <w:color w:val="FF0000"/>
                <w:sz w:val="22"/>
                <w:szCs w:val="22"/>
              </w:rPr>
            </w:pPr>
            <w:r w:rsidRPr="009761DD">
              <w:rPr>
                <w:rFonts w:asciiTheme="minorHAnsi" w:hAnsiTheme="minorHAnsi"/>
                <w:sz w:val="22"/>
                <w:szCs w:val="22"/>
                <w:u w:val="single"/>
              </w:rPr>
              <w:t>Behandelvoorstel</w:t>
            </w:r>
            <w:r w:rsidRPr="009761DD">
              <w:rPr>
                <w:rFonts w:asciiTheme="minorHAnsi" w:hAnsiTheme="minorHAnsi"/>
                <w:sz w:val="22"/>
                <w:szCs w:val="22"/>
              </w:rPr>
              <w:t xml:space="preserve">: desgewenst betrekken bij het algemeen overleg over de formele JBZ-Raad 2 en 3 december op 28 november 2019. </w:t>
            </w:r>
          </w:p>
          <w:p w:rsidRPr="009761DD" w:rsidR="00F72549" w:rsidP="00F72549" w:rsidRDefault="00F72549">
            <w:pPr>
              <w:rPr>
                <w:rFonts w:asciiTheme="minorHAnsi" w:hAnsiTheme="minorHAnsi"/>
                <w:sz w:val="22"/>
                <w:szCs w:val="22"/>
              </w:rPr>
            </w:pPr>
          </w:p>
          <w:p w:rsidRPr="009761DD" w:rsidR="00F72549" w:rsidP="00F72549" w:rsidRDefault="00F72549">
            <w:pPr>
              <w:rPr>
                <w:rFonts w:asciiTheme="minorHAnsi" w:hAnsiTheme="minorHAnsi"/>
                <w:i/>
                <w:iCs/>
                <w:sz w:val="22"/>
                <w:szCs w:val="22"/>
              </w:rPr>
            </w:pPr>
            <w:r w:rsidRPr="009761DD">
              <w:rPr>
                <w:rFonts w:asciiTheme="minorHAnsi" w:hAnsiTheme="minorHAnsi"/>
                <w:i/>
                <w:iCs/>
                <w:sz w:val="22"/>
                <w:szCs w:val="22"/>
              </w:rPr>
              <w:t>Noot:  Het betref een regulier verslag betreffende genoemde richtlijn die ziet op toegang tot een advocaat en op de mogelijkheid tot communicatie vanaf aanhouding zowel tijdens de strafprocedure als in procedures ter uitvoering van een Europees aanhoudingsbevel. De Commissie concludeert dat op de omzettingsdatum van 27 november 2016 nog niet door alle lidstaten compleet is geïmplementeerd. Tegen een negental lidstaten lopen inbreukprocedures (dit betreft niet Nederland). De Commissie concludeert verder dat het op dit moment niet nodig is de richtlijn te herzien.</w:t>
            </w:r>
          </w:p>
          <w:p w:rsidRPr="009761DD" w:rsidR="00F72549" w:rsidP="00F72549" w:rsidRDefault="00F72549">
            <w:pPr>
              <w:rPr>
                <w:rFonts w:asciiTheme="minorHAnsi" w:hAnsiTheme="minorHAnsi"/>
                <w:color w:val="000000"/>
                <w:sz w:val="22"/>
                <w:szCs w:val="22"/>
                <w:u w:val="single"/>
              </w:rPr>
            </w:pPr>
          </w:p>
        </w:tc>
      </w:tr>
      <w:tr w:rsidRPr="001B0359" w:rsidR="00F72549" w:rsidTr="00B81109">
        <w:trPr>
          <w:trHeight w:val="699"/>
        </w:trPr>
        <w:tc>
          <w:tcPr>
            <w:tcW w:w="435" w:type="dxa"/>
          </w:tcPr>
          <w:p w:rsidRPr="009761DD" w:rsidR="00F72549" w:rsidP="00026673" w:rsidRDefault="00F72549">
            <w:pPr>
              <w:jc w:val="center"/>
              <w:rPr>
                <w:rFonts w:asciiTheme="minorHAnsi" w:hAnsiTheme="minorHAnsi" w:cstheme="minorHAnsi"/>
                <w:sz w:val="22"/>
                <w:szCs w:val="22"/>
              </w:rPr>
            </w:pPr>
            <w:r w:rsidRPr="009761DD">
              <w:rPr>
                <w:rFonts w:asciiTheme="minorHAnsi" w:hAnsiTheme="minorHAnsi" w:cstheme="minorHAnsi"/>
                <w:sz w:val="22"/>
                <w:szCs w:val="22"/>
              </w:rPr>
              <w:t xml:space="preserve">5. </w:t>
            </w:r>
          </w:p>
        </w:tc>
        <w:tc>
          <w:tcPr>
            <w:tcW w:w="1279" w:type="dxa"/>
            <w:shd w:val="clear" w:color="auto" w:fill="auto"/>
            <w:noWrap/>
          </w:tcPr>
          <w:p w:rsidRPr="009761DD" w:rsidR="00F72549" w:rsidP="00F72549" w:rsidRDefault="00F72549">
            <w:pPr>
              <w:rPr>
                <w:rFonts w:asciiTheme="minorHAnsi" w:hAnsiTheme="minorHAnsi" w:cstheme="minorHAnsi"/>
                <w:sz w:val="22"/>
                <w:szCs w:val="22"/>
              </w:rPr>
            </w:pPr>
            <w:r w:rsidRPr="009761DD">
              <w:rPr>
                <w:rFonts w:asciiTheme="minorHAnsi" w:hAnsiTheme="minorHAnsi" w:cstheme="minorHAnsi"/>
                <w:sz w:val="22"/>
                <w:szCs w:val="22"/>
              </w:rPr>
              <w:t>1 oktober 2019</w:t>
            </w:r>
          </w:p>
        </w:tc>
        <w:tc>
          <w:tcPr>
            <w:tcW w:w="1468" w:type="dxa"/>
            <w:shd w:val="clear" w:color="auto" w:fill="auto"/>
            <w:noWrap/>
          </w:tcPr>
          <w:p w:rsidRPr="009761DD" w:rsidR="00F72549" w:rsidP="00026673" w:rsidRDefault="00F72549">
            <w:pPr>
              <w:spacing w:line="276" w:lineRule="auto"/>
              <w:rPr>
                <w:rFonts w:asciiTheme="minorHAnsi" w:hAnsiTheme="minorHAnsi" w:eastAsiaTheme="minorHAnsi" w:cstheme="minorHAnsi"/>
                <w:sz w:val="22"/>
                <w:szCs w:val="22"/>
                <w:lang w:eastAsia="en-US"/>
              </w:rPr>
            </w:pPr>
            <w:r w:rsidRPr="009761DD">
              <w:rPr>
                <w:rFonts w:asciiTheme="minorHAnsi" w:hAnsiTheme="minorHAnsi" w:eastAsiaTheme="minorHAnsi" w:cstheme="minorHAnsi"/>
                <w:sz w:val="22"/>
                <w:szCs w:val="22"/>
                <w:lang w:eastAsia="en-US"/>
              </w:rPr>
              <w:t>Verslag</w:t>
            </w:r>
          </w:p>
        </w:tc>
        <w:tc>
          <w:tcPr>
            <w:tcW w:w="3685" w:type="dxa"/>
            <w:shd w:val="clear" w:color="auto" w:fill="auto"/>
          </w:tcPr>
          <w:p w:rsidRPr="009761DD" w:rsidR="00F72549" w:rsidP="00026673" w:rsidRDefault="00F72549">
            <w:pPr>
              <w:rPr>
                <w:rFonts w:asciiTheme="minorHAnsi" w:hAnsiTheme="minorHAnsi"/>
                <w:color w:val="000000"/>
                <w:sz w:val="22"/>
                <w:szCs w:val="22"/>
              </w:rPr>
            </w:pPr>
            <w:r w:rsidRPr="009761DD">
              <w:rPr>
                <w:rFonts w:asciiTheme="minorHAnsi" w:hAnsiTheme="minorHAnsi"/>
                <w:color w:val="000000"/>
                <w:sz w:val="22"/>
                <w:szCs w:val="22"/>
              </w:rPr>
              <w:t xml:space="preserve">VERSLAG VAN DE COMMISSIE AAN HET EUROPEES PARLEMENT EN DE RAAD Verslag over de uitvoervergunning in 2017 en 2018 overeenkomstig de </w:t>
            </w:r>
            <w:r w:rsidRPr="009761DD">
              <w:rPr>
                <w:rFonts w:asciiTheme="minorHAnsi" w:hAnsiTheme="minorHAnsi"/>
                <w:color w:val="000000"/>
                <w:sz w:val="22"/>
                <w:szCs w:val="22"/>
              </w:rPr>
              <w:lastRenderedPageBreak/>
              <w:t>Verordening met betrekking tot de handel in bepaalde goederen die gebruikt zouden kunnen worden voor de doodstraf, foltering of andere wrede, onmenselijke of onterende behandeling of bestraffing</w:t>
            </w:r>
          </w:p>
        </w:tc>
        <w:tc>
          <w:tcPr>
            <w:tcW w:w="1654" w:type="dxa"/>
            <w:shd w:val="clear" w:color="auto" w:fill="auto"/>
            <w:noWrap/>
          </w:tcPr>
          <w:p w:rsidRPr="009761DD" w:rsidR="00F72549" w:rsidP="00F56E0C" w:rsidRDefault="00895FE4">
            <w:pPr>
              <w:jc w:val="center"/>
              <w:rPr>
                <w:rFonts w:asciiTheme="minorHAnsi" w:hAnsiTheme="minorHAnsi"/>
                <w:b/>
                <w:color w:val="0000FF"/>
                <w:sz w:val="22"/>
                <w:szCs w:val="22"/>
                <w:u w:val="single"/>
              </w:rPr>
            </w:pPr>
            <w:hyperlink w:history="1" r:id="rId15">
              <w:r w:rsidRPr="009761DD" w:rsidR="00F72549">
                <w:rPr>
                  <w:rStyle w:val="Hyperlink"/>
                  <w:rFonts w:asciiTheme="minorHAnsi" w:hAnsiTheme="minorHAnsi"/>
                  <w:sz w:val="22"/>
                  <w:szCs w:val="22"/>
                </w:rPr>
                <w:t>COM (2019) 445</w:t>
              </w:r>
            </w:hyperlink>
          </w:p>
        </w:tc>
        <w:tc>
          <w:tcPr>
            <w:tcW w:w="850" w:type="dxa"/>
            <w:shd w:val="clear" w:color="auto" w:fill="auto"/>
          </w:tcPr>
          <w:p w:rsidRPr="009761DD" w:rsidR="00F72549" w:rsidP="00026673" w:rsidRDefault="00F72549">
            <w:pPr>
              <w:rPr>
                <w:rFonts w:asciiTheme="minorHAnsi" w:hAnsiTheme="minorHAnsi" w:cstheme="minorHAnsi"/>
                <w:sz w:val="22"/>
                <w:szCs w:val="22"/>
                <w:lang w:val="en-GB"/>
              </w:rPr>
            </w:pPr>
            <w:r w:rsidRPr="009761DD">
              <w:rPr>
                <w:rFonts w:asciiTheme="minorHAnsi" w:hAnsiTheme="minorHAnsi" w:cstheme="minorHAnsi"/>
                <w:sz w:val="22"/>
                <w:szCs w:val="22"/>
                <w:lang w:val="en-GB"/>
              </w:rPr>
              <w:t>n.v.t.</w:t>
            </w:r>
          </w:p>
        </w:tc>
        <w:tc>
          <w:tcPr>
            <w:tcW w:w="5386" w:type="dxa"/>
            <w:shd w:val="clear" w:color="auto" w:fill="auto"/>
          </w:tcPr>
          <w:p w:rsidRPr="009761DD" w:rsidR="00F72549" w:rsidP="00F72549" w:rsidRDefault="00F72549">
            <w:pPr>
              <w:rPr>
                <w:rFonts w:asciiTheme="minorHAnsi" w:hAnsiTheme="minorHAnsi"/>
                <w:color w:val="000000"/>
                <w:sz w:val="22"/>
                <w:szCs w:val="22"/>
              </w:rPr>
            </w:pPr>
            <w:r w:rsidRPr="009761DD">
              <w:rPr>
                <w:rFonts w:asciiTheme="minorHAnsi" w:hAnsiTheme="minorHAnsi"/>
                <w:color w:val="000000"/>
                <w:sz w:val="22"/>
                <w:szCs w:val="22"/>
                <w:u w:val="single"/>
              </w:rPr>
              <w:t>Behandelvoorstel</w:t>
            </w:r>
            <w:r w:rsidRPr="009761DD">
              <w:rPr>
                <w:rFonts w:asciiTheme="minorHAnsi" w:hAnsiTheme="minorHAnsi"/>
                <w:color w:val="000000"/>
                <w:sz w:val="22"/>
                <w:szCs w:val="22"/>
              </w:rPr>
              <w:t>: voor kennisgeving aannemen</w:t>
            </w:r>
          </w:p>
          <w:p w:rsidRPr="009761DD" w:rsidR="00F72549" w:rsidP="00F72549" w:rsidRDefault="00F72549">
            <w:pPr>
              <w:rPr>
                <w:rFonts w:asciiTheme="minorHAnsi" w:hAnsiTheme="minorHAnsi"/>
                <w:color w:val="000000"/>
                <w:sz w:val="22"/>
                <w:szCs w:val="22"/>
              </w:rPr>
            </w:pPr>
          </w:p>
          <w:p w:rsidRPr="009761DD" w:rsidR="00F72549" w:rsidP="00F72549" w:rsidRDefault="00F72549">
            <w:pPr>
              <w:rPr>
                <w:rFonts w:asciiTheme="minorHAnsi" w:hAnsiTheme="minorHAnsi"/>
                <w:i/>
                <w:iCs/>
                <w:color w:val="000000"/>
                <w:sz w:val="22"/>
                <w:szCs w:val="22"/>
              </w:rPr>
            </w:pPr>
            <w:r w:rsidRPr="009761DD">
              <w:rPr>
                <w:rFonts w:asciiTheme="minorHAnsi" w:hAnsiTheme="minorHAnsi"/>
                <w:i/>
                <w:iCs/>
                <w:color w:val="000000"/>
                <w:sz w:val="22"/>
                <w:szCs w:val="22"/>
              </w:rPr>
              <w:t xml:space="preserve">Noot: het betref een regulier verslag dat informatie over de vergunningsactiviteiten bevat van de lidstaten in 2017 </w:t>
            </w:r>
            <w:r w:rsidRPr="009761DD">
              <w:rPr>
                <w:rFonts w:asciiTheme="minorHAnsi" w:hAnsiTheme="minorHAnsi"/>
                <w:i/>
                <w:iCs/>
                <w:color w:val="000000"/>
                <w:sz w:val="22"/>
                <w:szCs w:val="22"/>
              </w:rPr>
              <w:lastRenderedPageBreak/>
              <w:t xml:space="preserve">en 2018 met betrekking tot de uitvoer van goederen die gebruikt zouden kunnen worden voor foltering of voor de doodstraf en onder genoemde verordening uitvoervergunningsplichtig zijn. </w:t>
            </w:r>
          </w:p>
          <w:p w:rsidRPr="009761DD" w:rsidR="00F72549" w:rsidP="00F72549" w:rsidRDefault="00F72549">
            <w:pPr>
              <w:rPr>
                <w:rFonts w:asciiTheme="minorHAnsi" w:hAnsiTheme="minorHAnsi"/>
                <w:sz w:val="22"/>
                <w:szCs w:val="22"/>
                <w:u w:val="single"/>
              </w:rPr>
            </w:pPr>
          </w:p>
        </w:tc>
      </w:tr>
    </w:tbl>
    <w:p w:rsidRPr="001B0359" w:rsidR="008256C6" w:rsidP="00352B37" w:rsidRDefault="00352B37">
      <w:pPr>
        <w:tabs>
          <w:tab w:val="left" w:pos="12150"/>
        </w:tabs>
        <w:rPr>
          <w:rFonts w:asciiTheme="minorHAnsi" w:hAnsiTheme="minorHAnsi" w:cstheme="minorHAnsi"/>
          <w:b/>
        </w:rPr>
      </w:pPr>
      <w:r w:rsidRPr="001B0359">
        <w:rPr>
          <w:rFonts w:asciiTheme="minorHAnsi" w:hAnsiTheme="minorHAnsi" w:cstheme="minorHAnsi"/>
          <w:b/>
        </w:rPr>
        <w:lastRenderedPageBreak/>
        <w:tab/>
      </w:r>
    </w:p>
    <w:p w:rsidR="00517A3B" w:rsidRDefault="00517A3B">
      <w:pPr>
        <w:rPr>
          <w:rFonts w:asciiTheme="minorHAnsi" w:hAnsiTheme="minorHAnsi" w:cstheme="minorHAnsi"/>
          <w:b/>
          <w:color w:val="FF0000"/>
        </w:rPr>
      </w:pPr>
    </w:p>
    <w:p w:rsidRPr="001B0359" w:rsidR="008775C9" w:rsidP="005420AB" w:rsidRDefault="008775C9">
      <w:pPr>
        <w:rPr>
          <w:rFonts w:asciiTheme="minorHAnsi" w:hAnsiTheme="minorHAnsi" w:cstheme="minorHAnsi"/>
          <w:b/>
        </w:rPr>
      </w:pPr>
      <w:r w:rsidRPr="001B0359">
        <w:rPr>
          <w:rFonts w:asciiTheme="minorHAnsi" w:hAnsiTheme="minorHAnsi" w:cstheme="minorHAnsi"/>
          <w:b/>
        </w:rPr>
        <w:t>Bijlage: behandelmogelijkheden EU-voorstellen</w:t>
      </w:r>
    </w:p>
    <w:p w:rsidRPr="001B0359" w:rsidR="008775C9" w:rsidP="008775C9" w:rsidRDefault="008775C9">
      <w:pPr>
        <w:pStyle w:val="Voetnoottekst"/>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007A2A57">
        <w:tc>
          <w:tcPr>
            <w:tcW w:w="209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Soort Instrument</w:t>
            </w:r>
          </w:p>
        </w:tc>
        <w:tc>
          <w:tcPr>
            <w:tcW w:w="6946"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Toelichting</w:t>
            </w:r>
          </w:p>
        </w:tc>
        <w:tc>
          <w:tcPr>
            <w:tcW w:w="510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 xml:space="preserve">Mogelijke beïnvloedingsmomenten </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p>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Wetgevende, bindende rechtshandelingen</w:t>
            </w:r>
            <w:r w:rsidRPr="001B0359">
              <w:rPr>
                <w:rStyle w:val="Voetnootmarkering"/>
                <w:rFonts w:asciiTheme="minorHAnsi" w:hAnsiTheme="minorHAnsi" w:cstheme="minorHAnsi"/>
                <w:i/>
                <w:sz w:val="18"/>
                <w:szCs w:val="18"/>
              </w:rPr>
              <w:footnoteReference w:id="1"/>
            </w:r>
            <w:r w:rsidRPr="001B0359">
              <w:rPr>
                <w:rFonts w:asciiTheme="minorHAnsi" w:hAnsiTheme="minorHAnsi" w:cstheme="minorHAnsi"/>
                <w:i/>
                <w:sz w:val="18"/>
                <w:szCs w:val="18"/>
              </w:rPr>
              <w:t xml:space="preserve">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Verordening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subsidiariteitstoets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behandelvoorbehoud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ad-hoc rapporteur(s) binnen de commissie(s) benoemen.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tijdens overleg met kabinet NL onderhandelingsinzet aan de orde stellen, evt. aan de hand van het “BNC-fiche”.</w:t>
            </w:r>
            <w:r w:rsidRPr="001B0359">
              <w:rPr>
                <w:rStyle w:val="Voetnootmarkering"/>
                <w:rFonts w:asciiTheme="minorHAnsi" w:hAnsiTheme="minorHAnsi" w:cstheme="minorHAnsi"/>
                <w:sz w:val="18"/>
                <w:szCs w:val="18"/>
              </w:rPr>
              <w:footnoteReference w:id="2"/>
            </w:r>
            <w:r w:rsidRPr="001B0359">
              <w:rPr>
                <w:rFonts w:asciiTheme="minorHAnsi" w:hAnsiTheme="minorHAnsi" w:cstheme="minorHAnsi"/>
                <w:sz w:val="18"/>
                <w:szCs w:val="18"/>
              </w:rPr>
              <w:t xml:space="preserve"> </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EP-rapporteur uitnodigen, evt. via videoconferentie.</w:t>
            </w:r>
            <w:r w:rsidRPr="001B0359">
              <w:rPr>
                <w:rFonts w:asciiTheme="minorHAnsi" w:hAnsiTheme="minorHAnsi" w:cstheme="minorHAnsi"/>
                <w:sz w:val="18"/>
                <w:szCs w:val="18"/>
              </w:rPr>
              <w:br/>
            </w:r>
            <w:r w:rsidRPr="001B0359">
              <w:rPr>
                <w:rFonts w:asciiTheme="minorHAnsi" w:hAnsiTheme="minorHAnsi" w:cstheme="minorHAnsi"/>
                <w:sz w:val="18"/>
                <w:szCs w:val="18"/>
              </w:rPr>
              <w:br/>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NB: Pas na afronding van het onderhandelingstraject: nationale wetgevingstraject monitoren (i.h.k.v. omzetting naar nationale wetgeving).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Richtlijn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(Besluit)</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1B0359">
              <w:rPr>
                <w:rFonts w:asciiTheme="minorHAnsi" w:hAnsiTheme="minorHAnsi" w:cstheme="minorHAnsi"/>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Niet-wetgevende bindende rechtshandelingen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Gedelegeerde handeling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7A2A57" w:rsidRDefault="008775C9">
            <w:pPr>
              <w:pStyle w:val="Voetnoottekst"/>
              <w:ind w:left="360"/>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Uitvoerings-handeling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algemeen overleg/debat bevragen over stand van zaken en appreciatie EU onderhandelingen en NL inzet.</w:t>
            </w:r>
          </w:p>
          <w:p w:rsidRPr="001B0359" w:rsidR="008775C9" w:rsidP="007A2A57" w:rsidRDefault="008775C9">
            <w:pPr>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op basis van de </w:t>
            </w:r>
            <w:hyperlink w:history="1" r:id="rId16">
              <w:r w:rsidRPr="001B0359">
                <w:rPr>
                  <w:rFonts w:asciiTheme="minorHAnsi" w:hAnsiTheme="minorHAnsi" w:cstheme="minorHAnsi"/>
                  <w:sz w:val="18"/>
                  <w:szCs w:val="18"/>
                  <w:u w:val="single"/>
                </w:rPr>
                <w:t>(gewijzigde) motie Van Gent</w:t>
              </w:r>
            </w:hyperlink>
            <w:r w:rsidRPr="001B0359">
              <w:rPr>
                <w:rFonts w:asciiTheme="minorHAnsi" w:hAnsiTheme="minorHAnsi" w:cstheme="minorHAnsi"/>
                <w:sz w:val="18"/>
                <w:szCs w:val="18"/>
              </w:rPr>
              <w:t xml:space="preserve"> dient het kabinet de Kamer afschriften te sturen van zijn correspondentie met de Europese Commissie over de uitvoering van Europese regelgeving.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Handelingen vastgesteld </w:t>
            </w:r>
            <w:r w:rsidRPr="001B0359">
              <w:rPr>
                <w:rFonts w:asciiTheme="minorHAnsi" w:hAnsiTheme="minorHAnsi" w:cstheme="minorHAnsi"/>
                <w:sz w:val="18"/>
                <w:szCs w:val="18"/>
              </w:rPr>
              <w:lastRenderedPageBreak/>
              <w:t>volgens de regelgevingsprocedure met toetsing</w:t>
            </w:r>
          </w:p>
        </w:tc>
        <w:tc>
          <w:tcPr>
            <w:tcW w:w="6946" w:type="dxa"/>
          </w:tcPr>
          <w:p w:rsidRPr="001B0359" w:rsidR="008775C9" w:rsidP="007A2A57" w:rsidRDefault="008775C9">
            <w:pPr>
              <w:rPr>
                <w:rFonts w:asciiTheme="minorHAnsi" w:hAnsiTheme="minorHAnsi" w:cstheme="minorHAnsi"/>
                <w:sz w:val="18"/>
                <w:szCs w:val="18"/>
              </w:rPr>
            </w:pPr>
            <w:r w:rsidRPr="001B0359">
              <w:rPr>
                <w:rFonts w:asciiTheme="minorHAnsi" w:hAnsiTheme="minorHAnsi" w:cstheme="minorHAnsi"/>
                <w:sz w:val="18"/>
                <w:szCs w:val="18"/>
              </w:rPr>
              <w:lastRenderedPageBreak/>
              <w:t xml:space="preserve">Deze procedure komt nog voor in Europese wetgeving van voor 2009. Bij deze procedure </w:t>
            </w:r>
            <w:r w:rsidRPr="001B0359">
              <w:rPr>
                <w:rFonts w:asciiTheme="minorHAnsi" w:hAnsiTheme="minorHAnsi" w:cstheme="minorHAnsi"/>
                <w:sz w:val="18"/>
                <w:szCs w:val="18"/>
              </w:rPr>
              <w:lastRenderedPageBreak/>
              <w:t>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 xml:space="preserve">kabinet per brief of tijdens overleg bevragen over stand van </w:t>
            </w:r>
            <w:r w:rsidRPr="001B0359">
              <w:rPr>
                <w:rFonts w:asciiTheme="minorHAnsi" w:hAnsiTheme="minorHAnsi" w:cstheme="minorHAnsi"/>
                <w:sz w:val="18"/>
                <w:szCs w:val="18"/>
              </w:rPr>
              <w:lastRenderedPageBreak/>
              <w:t>zaken en appreciatie EU onderhandelingen en NL inzet, inclusief het voornemen van NL of andere lidstaten om binnen de Raad een bezwaarprocedure te initiëren.</w:t>
            </w:r>
          </w:p>
          <w:p w:rsidRPr="001B0359" w:rsidR="008775C9" w:rsidP="007A2A57" w:rsidRDefault="008775C9">
            <w:pPr>
              <w:pStyle w:val="Voetnoottekst"/>
              <w:numPr>
                <w:ilvl w:val="0"/>
                <w:numId w:val="1"/>
              </w:numPr>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Bijzondere rechtshandelingen</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1B0359" w:rsidR="008775C9" w:rsidP="007A2A57" w:rsidRDefault="008775C9">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vragen, bespreken.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van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indien het Europees Parlement een rapporteur heeft aangesteld kan deze desgewenst worden uitgenodigd voor een gesprek.</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uw commissie kan op dit onderwerp een ad-hoc rapporteur benoemen</w:t>
            </w:r>
          </w:p>
          <w:p w:rsidRPr="001B0359" w:rsidR="008775C9" w:rsidP="007A2A57" w:rsidRDefault="008775C9">
            <w:pPr>
              <w:pStyle w:val="Voetnoottekst"/>
              <w:ind w:left="360"/>
              <w:rPr>
                <w:rFonts w:asciiTheme="minorHAnsi" w:hAnsiTheme="minorHAnsi" w:cstheme="minorHAnsi"/>
                <w:sz w:val="18"/>
                <w:szCs w:val="18"/>
              </w:rPr>
            </w:pPr>
            <w:r w:rsidRPr="001B0359">
              <w:rPr>
                <w:rFonts w:asciiTheme="minorHAnsi" w:hAnsiTheme="minorHAnsi" w:cstheme="minorHAnsi"/>
                <w:sz w:val="18"/>
                <w:szCs w:val="18"/>
              </w:rPr>
              <w:t>nationale wetgevingstraject (i.h.k.v. omzetting van richtlijn naar nationale wetgeving).</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Niet-bindende handelingen (soft-law)</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Advies, aanbeveling, mededeling</w:t>
            </w: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om appreciatie in de vorm van BNC-fiche verzoeken aangezien over deze categorie niet standaard een fiche wordt gemaakt.</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 xml:space="preserve">Overige handelingen en instrumenten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Routekaart, actieplannen, strategie, agenda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Via routekaarten, actieplannen, strategieën en agenda’s informeert de Europese Commissie belanghebbenden en burgers over nieuwe initiatieven, evaluaties en geschiktheidscontroles. In deze documenten </w:t>
            </w:r>
            <w:r w:rsidRPr="001B0359">
              <w:rPr>
                <w:rStyle w:val="Zwaar"/>
                <w:rFonts w:asciiTheme="minorHAnsi" w:hAnsiTheme="minorHAnsi" w:cstheme="minorHAnsi"/>
                <w:sz w:val="18"/>
                <w:szCs w:val="18"/>
              </w:rPr>
              <w:t>voor nieuwe initiatieven</w:t>
            </w:r>
            <w:r w:rsidRPr="001B0359">
              <w:rPr>
                <w:rFonts w:asciiTheme="minorHAnsi" w:hAnsiTheme="minorHAnsi" w:cstheme="minorHAnsi"/>
                <w:sz w:val="18"/>
                <w:szCs w:val="18"/>
              </w:rPr>
              <w:t xml:space="preserve"> wordt uitgelegd wat het probleem is, wat de Commissie wil bereiken, waarom juist de EU maatregelen moet nemen, wat de toegevoegde waarde is en welke alternatieven er zijn. In deze documenten</w:t>
            </w:r>
            <w:r w:rsidRPr="001B0359">
              <w:rPr>
                <w:rStyle w:val="Zwaar"/>
                <w:rFonts w:asciiTheme="minorHAnsi" w:hAnsiTheme="minorHAnsi" w:cstheme="minorHAnsi"/>
                <w:sz w:val="18"/>
                <w:szCs w:val="18"/>
              </w:rPr>
              <w:t xml:space="preserve"> voor evaluaties en geschiktheidscontroles</w:t>
            </w:r>
            <w:r w:rsidRPr="001B0359">
              <w:rPr>
                <w:rFonts w:asciiTheme="minorHAnsi" w:hAnsiTheme="minorHAnsi" w:cstheme="minorHAnsi"/>
                <w:sz w:val="18"/>
                <w:szCs w:val="18"/>
              </w:rPr>
              <w:t xml:space="preserve"> wordt bepaald wat er geëvalueerd moet worden en welke aspecten moeten worden onderzocht.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om appreciatie in de vorm van BNC-fiche verzoeken aangezien over deze categorie niet standaard een fiche wordt gemaakt</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en/of kabinet vragen om NL inzet (per commissiebrief of tijdens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Groen- en witboek</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Groenboek: een discussiestuk, waarmee de Europese Commissie de stand van zaken inventariseert omtrent een onderwerp. Ook doet ze aanbevelingen voor nieuw beleid. </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Witboek: hierin zet de Europese Commissie uiteen hoe zij bepaalde doelen wil bereiken. Vaak worden in een witboek al concrete voorstellen uitgewerkt en toegelicht.</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desgewenst ambtenaren EC of Europees Commissaris uitnodigen voor een toelichting.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in commissieverband (via schriftelijke inbreng in de vorm van een politieke dialoog) of als lid, burger of via fracties een reactie sturen aan de Europese Commissie.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Openbare raadpleging (consultatie)</w:t>
            </w: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7">
              <w:r w:rsidRPr="001B0359">
                <w:rPr>
                  <w:rStyle w:val="Hyperlink"/>
                  <w:rFonts w:asciiTheme="minorHAnsi" w:hAnsiTheme="minorHAnsi" w:cstheme="minorHAnsi"/>
                  <w:color w:val="auto"/>
                  <w:sz w:val="18"/>
                  <w:szCs w:val="18"/>
                </w:rPr>
                <w:t>Bekijk alle openbare raadplegingen op "Uw stem in Europa"</w:t>
              </w:r>
            </w:hyperlink>
            <w:r w:rsidRPr="001B0359">
              <w:rPr>
                <w:rFonts w:asciiTheme="minorHAnsi" w:hAnsiTheme="minorHAnsi" w:cstheme="minorHAnsi"/>
                <w:sz w:val="18"/>
                <w:szCs w:val="18"/>
              </w:rPr>
              <w:t xml:space="preserve"> . </w:t>
            </w:r>
          </w:p>
        </w:tc>
        <w:tc>
          <w:tcPr>
            <w:tcW w:w="5103" w:type="dxa"/>
          </w:tcPr>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als burger, lid, fractie of in commissieverband (via schriftelijke inbreng in de vorm van een politieke dialoog). meedoen aan de openbare raadpleging.</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kabinet verzoeken om de concept-kabinetsreactie naar de Kamer te sturen voordat de definitieve versie naar de Europese Commissie wordt gestuurd, teneinde desgewenst hierover met de bewindspersoon in gesprek te treden.</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de Kamer ontvangt krachtens de standaard-informatieafspraken de definitieve kabinetsreactie op alle consultaties van de Europese Commissie waarop het kabinet reageert.</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Uitgelicht: twee specifieke parlementaire instrumenten bij nieuw gepubliceerde EU-voorstellen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Subsidiariteitstoets </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(richting EU)</w:t>
            </w:r>
          </w:p>
        </w:tc>
        <w:tc>
          <w:tcPr>
            <w:tcW w:w="6946" w:type="dxa"/>
          </w:tcPr>
          <w:p w:rsidRPr="001B0359" w:rsidR="008775C9" w:rsidP="007A2A57" w:rsidRDefault="008775C9">
            <w:pPr>
              <w:pStyle w:val="Lijstalinea"/>
              <w:ind w:left="0"/>
              <w:rPr>
                <w:rFonts w:asciiTheme="minorHAnsi" w:hAnsiTheme="minorHAnsi" w:cstheme="minorHAnsi"/>
                <w:sz w:val="18"/>
                <w:szCs w:val="18"/>
              </w:rPr>
            </w:pPr>
            <w:r w:rsidRPr="001B0359">
              <w:rPr>
                <w:rFonts w:asciiTheme="minorHAnsi" w:hAnsiTheme="minorHAnsi" w:cstheme="minorHAnsi"/>
                <w:sz w:val="18"/>
                <w:szCs w:val="18"/>
              </w:rPr>
              <w:t>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bicameraal stelsel, zoals in Nederland, krijgt elke kamer 1 stem. Om een gele kaart te trekken moeten er 19 stemmen worden gehaald.</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bij wetgevende EU-voorstellen kan een Kamercommissie besluiten tot het uitvoeren van een subsidiariteitstoets. Let op: dit moet binnen acht weken na het uitkomen van alle taalversies van het voorstel.</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komt voor aangekondigde subsidiariteitstoetsen binnen drie weken t.b.v. een snelle behandeling.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met andere parlementen in overleg treden t.b.v. behalen meerderheid voor ’gele kaart’ (1/3 stemmen) via parlementaire vertegenwoordiging en/of fractielijnen. </w:t>
            </w:r>
          </w:p>
        </w:tc>
      </w:tr>
      <w:tr w:rsidRPr="001B0359" w:rsidR="008775C9"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Behandel-voorbehoud (richting regering)</w:t>
            </w:r>
          </w:p>
        </w:tc>
        <w:tc>
          <w:tcPr>
            <w:tcW w:w="6946" w:type="dxa"/>
          </w:tcPr>
          <w:p w:rsidRPr="001B0359" w:rsidR="008775C9" w:rsidP="007A2A57" w:rsidRDefault="008775C9">
            <w:pPr>
              <w:pStyle w:val="Lijstalinea"/>
              <w:ind w:left="34"/>
              <w:rPr>
                <w:rFonts w:asciiTheme="minorHAnsi" w:hAnsiTheme="minorHAnsi" w:cstheme="minorHAnsi"/>
                <w:sz w:val="18"/>
                <w:szCs w:val="18"/>
              </w:rPr>
            </w:pPr>
            <w:r w:rsidRPr="001B0359">
              <w:rPr>
                <w:rFonts w:asciiTheme="minorHAnsi" w:hAnsiTheme="minorHAnsi" w:cstheme="minorHAnsi"/>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bij wetgevende EU-voorstellen kan een commissie besluiten tot het uitvoeren van een zgn. ‘behandelvoorbehoud’. Over deze brief moet plenair gestemd worden (let op de termijnen).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tijdens een speciaal overleg kan de commissie afspraken maken over informatieverstrekking (bv. in kwartaalrapportages) zolang het desbetreffende dossier in onderhandeling is.</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komt voor aangekondigde behandelvoorbehouden binnen drie weken t.b.v. een snelle behandeling.</w:t>
            </w:r>
          </w:p>
          <w:p w:rsidRPr="001B0359" w:rsidR="008775C9" w:rsidP="007A2A57" w:rsidRDefault="008775C9">
            <w:pPr>
              <w:pStyle w:val="Voetnoottekst"/>
              <w:rPr>
                <w:rFonts w:asciiTheme="minorHAnsi" w:hAnsiTheme="minorHAnsi" w:cstheme="minorHAnsi"/>
                <w:sz w:val="18"/>
                <w:szCs w:val="18"/>
              </w:rPr>
            </w:pPr>
          </w:p>
        </w:tc>
      </w:tr>
    </w:tbl>
    <w:p w:rsidRPr="001B0359" w:rsidR="008775C9" w:rsidP="008775C9" w:rsidRDefault="008775C9">
      <w:pPr>
        <w:rPr>
          <w:rFonts w:asciiTheme="minorHAnsi" w:hAnsiTheme="minorHAnsi" w:cstheme="minorHAnsi"/>
          <w:sz w:val="18"/>
          <w:szCs w:val="18"/>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pStyle w:val="Voetnoottekst"/>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46131B" w:rsidRDefault="0046131B">
      <w:pPr>
        <w:rPr>
          <w:rFonts w:asciiTheme="minorHAnsi" w:hAnsiTheme="minorHAnsi" w:cstheme="minorHAnsi"/>
        </w:rPr>
      </w:pPr>
    </w:p>
    <w:sectPr w:rsidRPr="001B0359" w:rsidR="0046131B" w:rsidSect="006A47E8">
      <w:footerReference w:type="default" r:id="rId18"/>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0D" w:rsidRDefault="0091640D" w:rsidP="008775C9">
      <w:r>
        <w:separator/>
      </w:r>
    </w:p>
  </w:endnote>
  <w:endnote w:type="continuationSeparator" w:id="0">
    <w:p w:rsidR="0091640D" w:rsidRDefault="0091640D"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895FE4">
          <w:rPr>
            <w:rFonts w:asciiTheme="minorHAnsi" w:hAnsiTheme="minorHAnsi"/>
            <w:noProof/>
            <w:sz w:val="22"/>
            <w:szCs w:val="22"/>
          </w:rPr>
          <w:t>2</w:t>
        </w:r>
        <w:r w:rsidRPr="00BF35EE">
          <w:rPr>
            <w:rFonts w:asciiTheme="minorHAnsi" w:hAnsiTheme="minorHAnsi"/>
            <w:sz w:val="22"/>
            <w:szCs w:val="22"/>
          </w:rPr>
          <w:fldChar w:fldCharType="end"/>
        </w:r>
      </w:p>
    </w:sdtContent>
  </w:sdt>
  <w:p w:rsidR="005846F9" w:rsidRDefault="00895F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0D" w:rsidRDefault="0091640D" w:rsidP="008775C9">
      <w:r>
        <w:separator/>
      </w:r>
    </w:p>
  </w:footnote>
  <w:footnote w:type="continuationSeparator" w:id="0">
    <w:p w:rsidR="0091640D" w:rsidRDefault="0091640D"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52BA"/>
    <w:rsid w:val="00026673"/>
    <w:rsid w:val="00032E74"/>
    <w:rsid w:val="000553EC"/>
    <w:rsid w:val="000703BE"/>
    <w:rsid w:val="00077A11"/>
    <w:rsid w:val="00080700"/>
    <w:rsid w:val="000817A6"/>
    <w:rsid w:val="0009230A"/>
    <w:rsid w:val="00095203"/>
    <w:rsid w:val="00095742"/>
    <w:rsid w:val="001054B6"/>
    <w:rsid w:val="0013507D"/>
    <w:rsid w:val="001635FC"/>
    <w:rsid w:val="00164AFF"/>
    <w:rsid w:val="0017040E"/>
    <w:rsid w:val="00175D08"/>
    <w:rsid w:val="00183FB5"/>
    <w:rsid w:val="00185618"/>
    <w:rsid w:val="00185A66"/>
    <w:rsid w:val="00196177"/>
    <w:rsid w:val="001B0359"/>
    <w:rsid w:val="001C3742"/>
    <w:rsid w:val="001D7F4B"/>
    <w:rsid w:val="001E62F6"/>
    <w:rsid w:val="001F199D"/>
    <w:rsid w:val="002246A5"/>
    <w:rsid w:val="00224D31"/>
    <w:rsid w:val="00227567"/>
    <w:rsid w:val="00232BD7"/>
    <w:rsid w:val="002567C8"/>
    <w:rsid w:val="0026057B"/>
    <w:rsid w:val="0027137C"/>
    <w:rsid w:val="00273A0F"/>
    <w:rsid w:val="002967AC"/>
    <w:rsid w:val="002F12DB"/>
    <w:rsid w:val="002F6178"/>
    <w:rsid w:val="0031695B"/>
    <w:rsid w:val="00336B7C"/>
    <w:rsid w:val="00352B37"/>
    <w:rsid w:val="003674E1"/>
    <w:rsid w:val="00371621"/>
    <w:rsid w:val="00393694"/>
    <w:rsid w:val="003A7D53"/>
    <w:rsid w:val="003C3B43"/>
    <w:rsid w:val="00406893"/>
    <w:rsid w:val="0041175C"/>
    <w:rsid w:val="00433D6E"/>
    <w:rsid w:val="00440016"/>
    <w:rsid w:val="0046131B"/>
    <w:rsid w:val="00484A47"/>
    <w:rsid w:val="0048527A"/>
    <w:rsid w:val="004A0445"/>
    <w:rsid w:val="004B6B9F"/>
    <w:rsid w:val="004C2E69"/>
    <w:rsid w:val="004D1972"/>
    <w:rsid w:val="004D35D6"/>
    <w:rsid w:val="00501483"/>
    <w:rsid w:val="005044BE"/>
    <w:rsid w:val="00506E46"/>
    <w:rsid w:val="0051504E"/>
    <w:rsid w:val="00515901"/>
    <w:rsid w:val="00517A3B"/>
    <w:rsid w:val="00523331"/>
    <w:rsid w:val="00536C52"/>
    <w:rsid w:val="005420AB"/>
    <w:rsid w:val="00551CCE"/>
    <w:rsid w:val="005946A6"/>
    <w:rsid w:val="00596B6D"/>
    <w:rsid w:val="005A2877"/>
    <w:rsid w:val="005C2E82"/>
    <w:rsid w:val="006063AD"/>
    <w:rsid w:val="006B6A65"/>
    <w:rsid w:val="006C63FB"/>
    <w:rsid w:val="006C705A"/>
    <w:rsid w:val="00743DDD"/>
    <w:rsid w:val="00744D60"/>
    <w:rsid w:val="00746F71"/>
    <w:rsid w:val="00761446"/>
    <w:rsid w:val="00764F41"/>
    <w:rsid w:val="00781D6B"/>
    <w:rsid w:val="007904B9"/>
    <w:rsid w:val="007E7E44"/>
    <w:rsid w:val="00803506"/>
    <w:rsid w:val="00805A06"/>
    <w:rsid w:val="008256C6"/>
    <w:rsid w:val="008422B3"/>
    <w:rsid w:val="008526E2"/>
    <w:rsid w:val="008775C9"/>
    <w:rsid w:val="00882D47"/>
    <w:rsid w:val="0089164C"/>
    <w:rsid w:val="00895FE4"/>
    <w:rsid w:val="008C6DDB"/>
    <w:rsid w:val="00902CE1"/>
    <w:rsid w:val="00905708"/>
    <w:rsid w:val="00915BA8"/>
    <w:rsid w:val="0091640D"/>
    <w:rsid w:val="00937F8B"/>
    <w:rsid w:val="0094663D"/>
    <w:rsid w:val="00946E5B"/>
    <w:rsid w:val="00956B10"/>
    <w:rsid w:val="0096397C"/>
    <w:rsid w:val="009761DD"/>
    <w:rsid w:val="009B3E04"/>
    <w:rsid w:val="009D163E"/>
    <w:rsid w:val="009E6A25"/>
    <w:rsid w:val="009F77F1"/>
    <w:rsid w:val="00A2373B"/>
    <w:rsid w:val="00A24C1E"/>
    <w:rsid w:val="00A355CF"/>
    <w:rsid w:val="00A3565B"/>
    <w:rsid w:val="00A520DA"/>
    <w:rsid w:val="00A741CA"/>
    <w:rsid w:val="00AB2618"/>
    <w:rsid w:val="00AC6E3A"/>
    <w:rsid w:val="00AC7F2B"/>
    <w:rsid w:val="00B028CC"/>
    <w:rsid w:val="00B22DD3"/>
    <w:rsid w:val="00B30B36"/>
    <w:rsid w:val="00B37074"/>
    <w:rsid w:val="00B803EF"/>
    <w:rsid w:val="00B81109"/>
    <w:rsid w:val="00BA2FB8"/>
    <w:rsid w:val="00BB20D2"/>
    <w:rsid w:val="00BC4469"/>
    <w:rsid w:val="00BC752C"/>
    <w:rsid w:val="00BE4600"/>
    <w:rsid w:val="00C123A1"/>
    <w:rsid w:val="00C15B68"/>
    <w:rsid w:val="00C3546B"/>
    <w:rsid w:val="00C45BE6"/>
    <w:rsid w:val="00C527BD"/>
    <w:rsid w:val="00C82B9A"/>
    <w:rsid w:val="00C9165B"/>
    <w:rsid w:val="00CB0113"/>
    <w:rsid w:val="00CC479E"/>
    <w:rsid w:val="00CF6ECA"/>
    <w:rsid w:val="00D05B54"/>
    <w:rsid w:val="00D25AAF"/>
    <w:rsid w:val="00D33F03"/>
    <w:rsid w:val="00D60B33"/>
    <w:rsid w:val="00D651A8"/>
    <w:rsid w:val="00D827D7"/>
    <w:rsid w:val="00D84194"/>
    <w:rsid w:val="00D92B5B"/>
    <w:rsid w:val="00DA2D2F"/>
    <w:rsid w:val="00DA4FC6"/>
    <w:rsid w:val="00DB138D"/>
    <w:rsid w:val="00E149AE"/>
    <w:rsid w:val="00E33CA1"/>
    <w:rsid w:val="00E3560E"/>
    <w:rsid w:val="00E42EA8"/>
    <w:rsid w:val="00EA1E08"/>
    <w:rsid w:val="00EC4200"/>
    <w:rsid w:val="00EF5A5D"/>
    <w:rsid w:val="00F26C28"/>
    <w:rsid w:val="00F40BFC"/>
    <w:rsid w:val="00F54E40"/>
    <w:rsid w:val="00F56E0C"/>
    <w:rsid w:val="00F61A7B"/>
    <w:rsid w:val="00F72549"/>
    <w:rsid w:val="00F74F09"/>
    <w:rsid w:val="00FA790A"/>
    <w:rsid w:val="00FB5545"/>
    <w:rsid w:val="00FE0E94"/>
    <w:rsid w:val="00FF1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44CC34-02D6-4921-9023-51250CEF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27731095">
      <w:bodyDiv w:val="1"/>
      <w:marLeft w:val="0"/>
      <w:marRight w:val="0"/>
      <w:marTop w:val="0"/>
      <w:marBottom w:val="0"/>
      <w:divBdr>
        <w:top w:val="none" w:sz="0" w:space="0" w:color="auto"/>
        <w:left w:val="none" w:sz="0" w:space="0" w:color="auto"/>
        <w:bottom w:val="none" w:sz="0" w:space="0" w:color="auto"/>
        <w:right w:val="none" w:sz="0" w:space="0" w:color="auto"/>
      </w:divBdr>
    </w:div>
    <w:div w:id="29771447">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78840492">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37861060">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48399121">
      <w:bodyDiv w:val="1"/>
      <w:marLeft w:val="0"/>
      <w:marRight w:val="0"/>
      <w:marTop w:val="0"/>
      <w:marBottom w:val="0"/>
      <w:divBdr>
        <w:top w:val="none" w:sz="0" w:space="0" w:color="auto"/>
        <w:left w:val="none" w:sz="0" w:space="0" w:color="auto"/>
        <w:bottom w:val="none" w:sz="0" w:space="0" w:color="auto"/>
        <w:right w:val="none" w:sz="0" w:space="0" w:color="auto"/>
      </w:divBdr>
    </w:div>
    <w:div w:id="456920580">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69566581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48114349">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79896981">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488403772">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3993725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3410878">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77585972">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ecure.ipex.eu/IPEXL-WEB/dossier/document/COM20190425.do" TargetMode="External" Id="rId13" /><Relationship Type="http://schemas.openxmlformats.org/officeDocument/2006/relationships/footer" Target="footer1.xml" Id="rId18" /><Relationship Type="http://schemas.openxmlformats.org/officeDocument/2006/relationships/webSettings" Target="webSettings.xml" Id="rId7" /><Relationship Type="http://schemas.openxmlformats.org/officeDocument/2006/relationships/hyperlink" Target="https://secure.ipex.eu/IPEXL-WEB/dossier/document/COM20190420.do" TargetMode="External" Id="rId12" /><Relationship Type="http://schemas.openxmlformats.org/officeDocument/2006/relationships/hyperlink" Target="http://ec.europa.eu/yourvoice/consultations/index_nl.htm" TargetMode="External" Id="rId1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ec.europa.eu/info/law/better-regulation/initiatives/ares-2018-5803367_en" TargetMode="External" Id="rId11" /><Relationship Type="http://schemas.openxmlformats.org/officeDocument/2006/relationships/styles" Target="styles.xml" Id="rId5" /><Relationship Type="http://schemas.openxmlformats.org/officeDocument/2006/relationships/hyperlink" Target="https://secure.ipex.eu/IPEXL-WEB/dossier/document/COM20190445.do" TargetMode="External" Id="rId15" /><Relationship Type="http://schemas.openxmlformats.org/officeDocument/2006/relationships/hyperlink" Target="http://secure.ipex.eu/IPEXL-WEB/dossier/document/COM20190417.do"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ecure.ipex.eu/IPEXL-WEB/dossier/document/COM20190560.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3160</ap:Words>
  <ap:Characters>17381</ap:Characters>
  <ap:DocSecurity>4</ap:DocSecurity>
  <ap:Lines>144</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2018-04-19T13:34:00.0000000Z</lastPrinted>
  <dcterms:created xsi:type="dcterms:W3CDTF">2019-10-03T14:02:00.0000000Z</dcterms:created>
  <dcterms:modified xsi:type="dcterms:W3CDTF">2019-10-03T14:02:00.0000000Z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0x010100BE862E89BEB7C6408671E0CC95AB79CC</vt:lpwstr>
  </property>
</Properties>
</file>