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21383" w:rsidR="00771CAB" w:rsidP="00771CAB" w:rsidRDefault="00771CAB">
      <w:pPr>
        <w:rPr>
          <w:rFonts w:asciiTheme="minorHAnsi" w:hAnsiTheme="minorHAnsi"/>
          <w:b/>
          <w:sz w:val="20"/>
          <w:szCs w:val="20"/>
        </w:rPr>
      </w:pPr>
      <w:bookmarkStart w:name="_GoBack" w:id="0"/>
      <w:bookmarkEnd w:id="0"/>
      <w:r w:rsidRPr="00221383">
        <w:rPr>
          <w:rFonts w:asciiTheme="minorHAnsi" w:hAnsiTheme="minorHAnsi"/>
          <w:b/>
          <w:sz w:val="20"/>
          <w:szCs w:val="20"/>
        </w:rPr>
        <w:t xml:space="preserve">Overzicht nieuw gepubliceerde EU-voorstellen </w:t>
      </w:r>
    </w:p>
    <w:p w:rsidRPr="00221383" w:rsidR="00771CAB" w:rsidP="00771CAB" w:rsidRDefault="00771CAB">
      <w:pPr>
        <w:rPr>
          <w:rFonts w:asciiTheme="minorHAnsi" w:hAnsiTheme="minorHAnsi"/>
          <w:sz w:val="20"/>
          <w:szCs w:val="20"/>
        </w:rPr>
      </w:pPr>
    </w:p>
    <w:p w:rsidRPr="00C00215" w:rsidR="00771CAB" w:rsidP="00771CAB" w:rsidRDefault="00771CAB">
      <w:pPr>
        <w:rPr>
          <w:rFonts w:asciiTheme="minorHAnsi" w:hAnsiTheme="minorHAnsi"/>
          <w:color w:val="FF0000"/>
          <w:sz w:val="20"/>
          <w:szCs w:val="20"/>
          <w:u w:val="single"/>
        </w:rPr>
      </w:pPr>
      <w:r w:rsidRPr="0055500A">
        <w:rPr>
          <w:rFonts w:asciiTheme="minorHAnsi" w:hAnsiTheme="minorHAnsi"/>
          <w:sz w:val="20"/>
          <w:szCs w:val="20"/>
          <w:u w:val="single"/>
        </w:rPr>
        <w:t xml:space="preserve">Integraal overzicht met nieuw gepubliceerde EU-voorstellen van </w:t>
      </w:r>
      <w:r>
        <w:rPr>
          <w:rFonts w:asciiTheme="minorHAnsi" w:hAnsiTheme="minorHAnsi"/>
          <w:sz w:val="20"/>
          <w:szCs w:val="20"/>
          <w:u w:val="single"/>
        </w:rPr>
        <w:t>4 september 2019 tot en met 25 september 2019</w:t>
      </w:r>
      <w:r w:rsidRPr="0055500A">
        <w:rPr>
          <w:rFonts w:asciiTheme="minorHAnsi" w:hAnsiTheme="minorHAnsi"/>
          <w:sz w:val="20"/>
          <w:szCs w:val="20"/>
          <w:u w:val="single"/>
        </w:rPr>
        <w:t xml:space="preserve"> </w:t>
      </w:r>
    </w:p>
    <w:p w:rsidRPr="00221383" w:rsidR="00771CAB" w:rsidP="00771CAB" w:rsidRDefault="00771CAB">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4536"/>
        <w:gridCol w:w="1276"/>
        <w:gridCol w:w="708"/>
        <w:gridCol w:w="4820"/>
      </w:tblGrid>
      <w:tr w:rsidRPr="00221383" w:rsidR="00771CAB" w:rsidTr="00B3079F">
        <w:trPr>
          <w:trHeight w:val="1550"/>
        </w:trPr>
        <w:tc>
          <w:tcPr>
            <w:tcW w:w="1149"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Publicatie-</w:t>
            </w:r>
          </w:p>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datum</w:t>
            </w:r>
          </w:p>
        </w:tc>
        <w:tc>
          <w:tcPr>
            <w:tcW w:w="567"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Voortouw</w:t>
            </w:r>
          </w:p>
        </w:tc>
        <w:tc>
          <w:tcPr>
            <w:tcW w:w="1418"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Soort</w:t>
            </w:r>
          </w:p>
        </w:tc>
        <w:tc>
          <w:tcPr>
            <w:tcW w:w="4536"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Titel</w:t>
            </w:r>
          </w:p>
        </w:tc>
        <w:tc>
          <w:tcPr>
            <w:tcW w:w="1276"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COM-nummer</w:t>
            </w:r>
          </w:p>
        </w:tc>
        <w:tc>
          <w:tcPr>
            <w:tcW w:w="708" w:type="dxa"/>
            <w:textDirection w:val="btLr"/>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Deadline</w:t>
            </w:r>
          </w:p>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Sub.toets</w:t>
            </w:r>
          </w:p>
        </w:tc>
        <w:tc>
          <w:tcPr>
            <w:tcW w:w="4820" w:type="dxa"/>
            <w:shd w:val="clear" w:color="auto" w:fill="auto"/>
            <w:textDirection w:val="btLr"/>
            <w:vAlign w:val="bottom"/>
            <w:hideMark/>
          </w:tcPr>
          <w:p w:rsidRPr="008505DB" w:rsidR="00771CAB" w:rsidP="00B3079F" w:rsidRDefault="00771CAB">
            <w:pPr>
              <w:rPr>
                <w:rFonts w:asciiTheme="minorHAnsi" w:hAnsiTheme="minorHAnsi"/>
                <w:b/>
                <w:bCs/>
                <w:color w:val="000000"/>
                <w:sz w:val="20"/>
                <w:szCs w:val="20"/>
              </w:rPr>
            </w:pPr>
            <w:r w:rsidRPr="008505DB">
              <w:rPr>
                <w:rFonts w:asciiTheme="minorHAnsi" w:hAnsiTheme="minorHAnsi"/>
                <w:b/>
                <w:bCs/>
                <w:color w:val="000000"/>
                <w:sz w:val="20"/>
                <w:szCs w:val="20"/>
              </w:rPr>
              <w:t>Opmerking</w:t>
            </w:r>
          </w:p>
        </w:tc>
      </w:tr>
      <w:tr w:rsidRPr="00221383" w:rsidR="00771CAB" w:rsidTr="00B3079F">
        <w:trPr>
          <w:trHeight w:val="300"/>
        </w:trPr>
        <w:tc>
          <w:tcPr>
            <w:tcW w:w="1149"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4536"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276"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708" w:type="dxa"/>
            <w:tcBorders>
              <w:bottom w:val="single" w:color="auto" w:sz="4" w:space="0"/>
            </w:tcBorders>
            <w:shd w:val="clear" w:color="000000" w:fill="538DD5"/>
          </w:tcPr>
          <w:p w:rsidRPr="00221383" w:rsidR="00771CAB" w:rsidP="00B3079F" w:rsidRDefault="00771CAB">
            <w:pPr>
              <w:rPr>
                <w:rFonts w:asciiTheme="minorHAnsi" w:hAnsiTheme="minorHAnsi"/>
                <w:b/>
                <w:bCs/>
                <w:color w:val="000000"/>
                <w:sz w:val="20"/>
                <w:szCs w:val="20"/>
              </w:rPr>
            </w:pPr>
          </w:p>
        </w:tc>
        <w:tc>
          <w:tcPr>
            <w:tcW w:w="4820" w:type="dxa"/>
            <w:tcBorders>
              <w:bottom w:val="single" w:color="auto" w:sz="4" w:space="0"/>
            </w:tcBorders>
            <w:shd w:val="clear" w:color="000000" w:fill="538DD5"/>
            <w:hideMark/>
          </w:tcPr>
          <w:p w:rsidRPr="008505DB" w:rsidR="00771CAB" w:rsidP="00B3079F" w:rsidRDefault="00771CAB">
            <w:pPr>
              <w:rPr>
                <w:rFonts w:asciiTheme="minorHAnsi" w:hAnsiTheme="minorHAnsi"/>
                <w:b/>
                <w:bCs/>
                <w:color w:val="000000"/>
                <w:sz w:val="20"/>
                <w:szCs w:val="20"/>
              </w:rPr>
            </w:pPr>
            <w:r w:rsidRPr="008505DB">
              <w:rPr>
                <w:rFonts w:asciiTheme="minorHAnsi" w:hAnsiTheme="minorHAnsi"/>
                <w:b/>
                <w:bCs/>
                <w:color w:val="000000"/>
                <w:sz w:val="20"/>
                <w:szCs w:val="20"/>
              </w:rPr>
              <w:t> </w:t>
            </w:r>
          </w:p>
        </w:tc>
      </w:tr>
      <w:tr w:rsidRPr="00221383" w:rsidR="00771CAB" w:rsidTr="00B3079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771CAB" w:rsidP="00771CAB" w:rsidRDefault="00771CAB">
            <w:pPr>
              <w:rPr>
                <w:rFonts w:ascii="Calibri" w:hAnsi="Calibri" w:cs="Calibri"/>
                <w:color w:val="000000"/>
                <w:sz w:val="22"/>
                <w:szCs w:val="22"/>
              </w:rPr>
            </w:pPr>
            <w:r>
              <w:rPr>
                <w:rFonts w:ascii="Calibri" w:hAnsi="Calibri" w:cs="Calibri"/>
                <w:color w:val="000000"/>
                <w:sz w:val="22"/>
                <w:szCs w:val="22"/>
              </w:rPr>
              <w:t>16-sep-19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771CAB" w:rsidP="00771CAB" w:rsidRDefault="00771CAB">
            <w:pPr>
              <w:rPr>
                <w:rFonts w:ascii="Calibri" w:hAnsi="Calibri"/>
                <w:color w:val="000000"/>
                <w:sz w:val="22"/>
                <w:szCs w:val="22"/>
              </w:rPr>
            </w:pPr>
            <w:r>
              <w:rPr>
                <w:rFonts w:ascii="Calibri" w:hAnsi="Calibri"/>
                <w:color w:val="000000"/>
                <w:sz w:val="22"/>
                <w:szCs w:val="22"/>
              </w:rPr>
              <w:t>VWS</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771CAB" w:rsidP="00771CAB" w:rsidRDefault="00771CAB">
            <w:pPr>
              <w:rPr>
                <w:rFonts w:ascii="Calibri" w:hAnsi="Calibri"/>
                <w:color w:val="000000"/>
                <w:sz w:val="22"/>
                <w:szCs w:val="22"/>
              </w:rPr>
            </w:pPr>
            <w:r>
              <w:rPr>
                <w:rFonts w:ascii="Calibri" w:hAnsi="Calibri" w:cs="Calibri"/>
                <w:color w:val="000000"/>
                <w:sz w:val="22"/>
                <w:szCs w:val="22"/>
              </w:rPr>
              <w:t>Besluit</w:t>
            </w:r>
          </w:p>
        </w:tc>
        <w:tc>
          <w:tcPr>
            <w:tcW w:w="4536" w:type="dxa"/>
            <w:tcBorders>
              <w:top w:val="single" w:color="auto" w:sz="4" w:space="0"/>
              <w:left w:val="nil"/>
              <w:bottom w:val="single" w:color="auto" w:sz="4" w:space="0"/>
              <w:right w:val="nil"/>
            </w:tcBorders>
            <w:shd w:val="clear" w:color="auto" w:fill="FFFFFF" w:themeFill="background1"/>
            <w:noWrap/>
          </w:tcPr>
          <w:p w:rsidR="00771CAB" w:rsidP="00771CAB" w:rsidRDefault="00771CAB">
            <w:pPr>
              <w:spacing w:before="100" w:beforeAutospacing="1" w:after="100" w:afterAutospacing="1"/>
            </w:pPr>
            <w:r>
              <w:rPr>
                <w:rFonts w:ascii="Verdana" w:hAnsi="Verdana"/>
                <w:color w:val="000000"/>
                <w:sz w:val="18"/>
                <w:szCs w:val="18"/>
              </w:rPr>
              <w:t xml:space="preserve">Voorstel voor een BESLUIT VAN DE RAAD betreffende het namens de Europese Unie in te nemen standpunt op de derde vergadering van de Conferentie van de partijen bij het Verdrag van Minamata inzake kwik, in verband met de vaststelling van een besluit inzake de geleidelijke afschaffing van tandheelkundig amalgaam en tot wijziging van bijlage A bij dat verdrag           </w:t>
            </w:r>
          </w:p>
          <w:p w:rsidR="00771CAB" w:rsidP="00B3079F" w:rsidRDefault="00771CAB">
            <w:pPr>
              <w:rPr>
                <w:rFonts w:ascii="Calibri" w:hAnsi="Calibri" w:cs="Calibri"/>
                <w:color w:val="000000"/>
                <w:sz w:val="22"/>
                <w:szCs w:val="22"/>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771CAB" w:rsidP="00771CAB" w:rsidRDefault="000833AC">
            <w:pPr>
              <w:rPr>
                <w:rFonts w:ascii="Calibri" w:hAnsi="Calibri" w:cs="Calibri"/>
                <w:color w:val="0000FF"/>
                <w:sz w:val="22"/>
                <w:szCs w:val="22"/>
                <w:u w:val="single"/>
              </w:rPr>
            </w:pPr>
            <w:hyperlink w:history="1" r:id="rId7">
              <w:r w:rsidRPr="00771CAB" w:rsidR="00771CAB">
                <w:rPr>
                  <w:rStyle w:val="Hyperlink"/>
                  <w:rFonts w:ascii="Calibri" w:hAnsi="Calibri" w:cs="Calibri"/>
                  <w:sz w:val="22"/>
                  <w:szCs w:val="22"/>
                </w:rPr>
                <w:t>COM(2019)414</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212212" w:rsidR="00771CAB" w:rsidP="00B3079F" w:rsidRDefault="00771CAB">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3C261A" w:rsidR="00771CAB" w:rsidP="003C261A" w:rsidRDefault="00771CAB">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 xml:space="preserve">Vastelling van het namens de EU in te nemen standpunt op de derde vergadering van de Conferentie van de partijen bij het Verdrag van Minamata inzake kwik, in verband met de beoogde vaststelling van een besluit inzake de geleidelijke afschaffing van tandheelkundig amalgaam. </w:t>
            </w:r>
            <w:r w:rsidRPr="003C261A">
              <w:rPr>
                <w:rFonts w:eastAsia="Arial Unicode MS" w:asciiTheme="minorHAnsi" w:hAnsiTheme="minorHAnsi"/>
                <w:noProof/>
                <w:sz w:val="20"/>
                <w:szCs w:val="20"/>
              </w:rPr>
              <w:t xml:space="preserve">Een verbod vanaf 2022 op de productie, import en export van tandheelkundig amalgaam voor gebruik bij de behandeling van melktanden en de tanden van kinderen jonger dan 15 jaar en van zwangere vrouwen die borstvoeding geven. Een uitbreiding van dit  verbod vanaf 2025 tot de prodcutie, import en export van tandheelkundig amalgaam voor alle andere vormen van gebruik, met uitzondering van gevallen waarin geen kwikvrije alternatieven beschikbaar zijn. </w:t>
            </w:r>
          </w:p>
          <w:p w:rsidRPr="00272820" w:rsidR="00771CAB" w:rsidP="00B3079F" w:rsidRDefault="00771CAB">
            <w:pPr>
              <w:pBdr>
                <w:top w:val="nil"/>
                <w:left w:val="nil"/>
                <w:bottom w:val="nil"/>
                <w:right w:val="nil"/>
                <w:between w:val="nil"/>
                <w:bar w:val="nil"/>
              </w:pBdr>
              <w:spacing w:after="240"/>
              <w:rPr>
                <w:rFonts w:eastAsia="Arial Unicode MS" w:asciiTheme="minorHAnsi" w:hAnsiTheme="minorHAnsi"/>
                <w:b/>
                <w:noProof/>
                <w:sz w:val="20"/>
                <w:szCs w:val="20"/>
                <w:highlight w:val="yellow"/>
              </w:rPr>
            </w:pPr>
            <w:r w:rsidRPr="00272820">
              <w:rPr>
                <w:rFonts w:eastAsia="Arial Unicode MS" w:asciiTheme="minorHAnsi" w:hAnsiTheme="minorHAnsi"/>
                <w:b/>
                <w:noProof/>
                <w:sz w:val="20"/>
                <w:szCs w:val="20"/>
              </w:rPr>
              <w:t xml:space="preserve">Behandelvoorstel: </w:t>
            </w:r>
            <w:r w:rsidRPr="00272820">
              <w:rPr>
                <w:rFonts w:eastAsia="Arial Unicode MS" w:asciiTheme="minorHAnsi" w:hAnsiTheme="minorHAnsi"/>
                <w:noProof/>
                <w:sz w:val="20"/>
                <w:szCs w:val="20"/>
              </w:rPr>
              <w:t>voor kennisgeving aannemen</w:t>
            </w:r>
          </w:p>
        </w:tc>
      </w:tr>
    </w:tbl>
    <w:p w:rsidR="00771CAB" w:rsidP="00771CAB" w:rsidRDefault="00771CAB">
      <w:pPr>
        <w:spacing w:after="200" w:line="276" w:lineRule="auto"/>
        <w:rPr>
          <w:rFonts w:asciiTheme="minorHAnsi" w:hAnsiTheme="minorHAnsi"/>
          <w:b/>
          <w:sz w:val="22"/>
          <w:szCs w:val="22"/>
        </w:rPr>
      </w:pPr>
    </w:p>
    <w:p w:rsidRPr="00221383" w:rsidR="00771CAB" w:rsidP="00771CAB" w:rsidRDefault="00771CAB">
      <w:pPr>
        <w:spacing w:after="200" w:line="276" w:lineRule="auto"/>
        <w:rPr>
          <w:rFonts w:asciiTheme="minorHAnsi" w:hAnsiTheme="minorHAnsi"/>
          <w:b/>
          <w:sz w:val="22"/>
          <w:szCs w:val="22"/>
        </w:rPr>
      </w:pPr>
      <w:r w:rsidRPr="00221383">
        <w:rPr>
          <w:rFonts w:asciiTheme="minorHAnsi" w:hAnsiTheme="minorHAnsi"/>
          <w:b/>
          <w:sz w:val="22"/>
          <w:szCs w:val="22"/>
        </w:rPr>
        <w:t>Bijlage: behandelmogelijkheden EU-voorstellen</w:t>
      </w:r>
    </w:p>
    <w:p w:rsidRPr="00221383" w:rsidR="00771CAB" w:rsidP="00771CAB" w:rsidRDefault="00771CAB">
      <w:pPr>
        <w:rPr>
          <w:rFonts w:asciiTheme="minorHAnsi" w:hAnsiTheme="minorHAnsi"/>
          <w:sz w:val="20"/>
          <w:szCs w:val="20"/>
        </w:rPr>
      </w:pPr>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221383" w:rsidR="00771CAB" w:rsidP="00771CAB" w:rsidRDefault="00771CAB">
      <w:pPr>
        <w:rPr>
          <w:rFonts w:asciiTheme="minorHAnsi" w:hAnsiTheme="minorHAnsi"/>
          <w:sz w:val="20"/>
          <w:szCs w:val="20"/>
        </w:rPr>
      </w:pPr>
      <w:r w:rsidRPr="00221383">
        <w:rPr>
          <w:rFonts w:asciiTheme="minorHAnsi" w:hAnsiTheme="minorHAnsi"/>
          <w:sz w:val="20"/>
          <w:szCs w:val="20"/>
        </w:rPr>
        <w:lastRenderedPageBreak/>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771CAB" w:rsidP="00771CAB" w:rsidRDefault="00771CAB">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771CAB" w:rsidTr="00B3079F">
        <w:tc>
          <w:tcPr>
            <w:tcW w:w="2093" w:type="dxa"/>
          </w:tcPr>
          <w:p w:rsidRPr="00221383" w:rsidR="00771CAB" w:rsidP="00B3079F" w:rsidRDefault="00771CAB">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771CAB" w:rsidP="00B3079F" w:rsidRDefault="00771CAB">
            <w:pPr>
              <w:pStyle w:val="Voetnoottekst"/>
              <w:rPr>
                <w:rFonts w:asciiTheme="minorHAnsi" w:hAnsiTheme="minorHAnsi"/>
                <w:b/>
              </w:rPr>
            </w:pPr>
            <w:r w:rsidRPr="00221383">
              <w:rPr>
                <w:rFonts w:asciiTheme="minorHAnsi" w:hAnsiTheme="minorHAnsi"/>
                <w:b/>
              </w:rPr>
              <w:t>Toelichting</w:t>
            </w:r>
          </w:p>
        </w:tc>
        <w:tc>
          <w:tcPr>
            <w:tcW w:w="5103" w:type="dxa"/>
          </w:tcPr>
          <w:p w:rsidRPr="00221383" w:rsidR="00771CAB" w:rsidP="00B3079F" w:rsidRDefault="00771CAB">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p>
          <w:p w:rsidRPr="00221383" w:rsidR="00771CAB" w:rsidP="00B3079F" w:rsidRDefault="00771CAB">
            <w:pPr>
              <w:pStyle w:val="Voetnoottekst"/>
              <w:rPr>
                <w:rFonts w:asciiTheme="minorHAnsi" w:hAnsiTheme="minorHAnsi"/>
                <w:i/>
              </w:rPr>
            </w:pPr>
            <w:r w:rsidRPr="00221383">
              <w:rPr>
                <w:rFonts w:asciiTheme="minorHAnsi" w:hAnsiTheme="minorHAnsi"/>
                <w:i/>
              </w:rPr>
              <w:t>Wetgevende, bindende rechtshandelingen</w:t>
            </w:r>
            <w:r w:rsidRPr="00221383">
              <w:rPr>
                <w:rStyle w:val="Voetnootmarkering"/>
                <w:rFonts w:asciiTheme="minorHAnsi" w:hAnsiTheme="minorHAnsi"/>
                <w:i/>
              </w:rPr>
              <w:footnoteReference w:id="1"/>
            </w:r>
            <w:r w:rsidRPr="00221383">
              <w:rPr>
                <w:rFonts w:asciiTheme="minorHAnsi" w:hAnsiTheme="minorHAnsi"/>
                <w:i/>
              </w:rPr>
              <w:t xml:space="preserve"> </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Verordening</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ambtenaren of Commissaris Europese Commissie (de ‘auteurs’) uitnodigen voor briefing/gesprek, evt. via videoconferentie.</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subsidiariteitstoets overwegen: let op termijn (zie hieronder).</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behandelvoorbehoud overwegen: let op termijn (zie hieronder).</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tijdens overleg met kabinet NL onderhandelingsinzet aan de orde stellen, evt. aan de hand van het “BNC-fiche”.</w:t>
            </w:r>
            <w:r w:rsidRPr="00221383">
              <w:rPr>
                <w:rStyle w:val="Voetnootmarkering"/>
                <w:rFonts w:asciiTheme="minorHAnsi" w:hAnsiTheme="minorHAnsi"/>
              </w:rPr>
              <w:footnoteReference w:id="2"/>
            </w:r>
            <w:r w:rsidRPr="00221383">
              <w:rPr>
                <w:rFonts w:asciiTheme="minorHAnsi" w:hAnsiTheme="minorHAnsi"/>
              </w:rPr>
              <w:t xml:space="preserve"> </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EP-rapporteur uitnodigen, evt. via videoconferentie.</w:t>
            </w:r>
            <w:r w:rsidRPr="00221383">
              <w:rPr>
                <w:rFonts w:asciiTheme="minorHAnsi" w:hAnsiTheme="minorHAnsi"/>
              </w:rPr>
              <w:br/>
            </w:r>
            <w:r w:rsidRPr="00221383">
              <w:rPr>
                <w:rFonts w:asciiTheme="minorHAnsi" w:hAnsiTheme="minorHAnsi"/>
              </w:rPr>
              <w:br/>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NB: Pas na afronding van het onderhandelingstraject: nationale wetgevingstraject monitoren (i.h.k.v. omzetting naar nationale wetgeving).</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Richtlijn </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771CAB" w:rsidP="00B3079F" w:rsidRDefault="00771CAB">
            <w:pPr>
              <w:pStyle w:val="Voetnoottekst"/>
              <w:numPr>
                <w:ilvl w:val="0"/>
                <w:numId w:val="2"/>
              </w:numPr>
              <w:ind w:left="317" w:hanging="283"/>
              <w:rPr>
                <w:rFonts w:asciiTheme="minorHAnsi" w:hAnsiTheme="minorHAnsi"/>
              </w:rPr>
            </w:pP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(Besluit)</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w:t>
            </w:r>
            <w:r w:rsidRPr="00221383">
              <w:rPr>
                <w:rFonts w:asciiTheme="minorHAnsi" w:hAnsiTheme="minorHAnsi"/>
              </w:rPr>
              <w:lastRenderedPageBreak/>
              <w:t xml:space="preserve">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771CAB" w:rsidP="00B3079F" w:rsidRDefault="00771CAB">
            <w:pPr>
              <w:pStyle w:val="Voetnoottekst"/>
              <w:numPr>
                <w:ilvl w:val="0"/>
                <w:numId w:val="2"/>
              </w:numPr>
              <w:ind w:left="317" w:hanging="283"/>
              <w:rPr>
                <w:rFonts w:asciiTheme="minorHAnsi" w:hAnsiTheme="minorHAnsi"/>
              </w:rPr>
            </w:pP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t>Niet-wetgevende bindende rechtshandelingen</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Gedelegeerde handeling</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221383" w:rsidR="00771CAB" w:rsidP="00B3079F" w:rsidRDefault="00771CAB">
            <w:pPr>
              <w:pStyle w:val="Voetnoottekst"/>
              <w:ind w:left="360"/>
              <w:rPr>
                <w:rFonts w:asciiTheme="minorHAnsi" w:hAnsiTheme="minorHAnsi"/>
              </w:rPr>
            </w:pP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Uitvoerings-handeling</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per brief of tijdens algemeen overleg/debat bevragen over stand van zaken en appreciatie EU onderhandelingen en NL inzet.</w:t>
            </w:r>
          </w:p>
          <w:p w:rsidRPr="00221383" w:rsidR="00771CAB" w:rsidP="00B3079F" w:rsidRDefault="00771CAB">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8">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Handelingen vastgesteld volgens de regelgevingsprocedure met toetsing</w:t>
            </w:r>
          </w:p>
        </w:tc>
        <w:tc>
          <w:tcPr>
            <w:tcW w:w="6946" w:type="dxa"/>
          </w:tcPr>
          <w:p w:rsidRPr="00221383" w:rsidR="00771CAB" w:rsidP="00B3079F" w:rsidRDefault="00771CAB">
            <w:pPr>
              <w:rPr>
                <w:rFonts w:asciiTheme="minorHAnsi" w:hAnsiTheme="minorHAnsi"/>
                <w:sz w:val="20"/>
                <w:szCs w:val="20"/>
              </w:rPr>
            </w:pPr>
            <w:r w:rsidRPr="00221383">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221383" w:rsidR="00771CAB" w:rsidP="00B3079F" w:rsidRDefault="00771CAB">
            <w:pPr>
              <w:pStyle w:val="Voetnoottekst"/>
              <w:numPr>
                <w:ilvl w:val="0"/>
                <w:numId w:val="1"/>
              </w:numPr>
              <w:rPr>
                <w:rFonts w:asciiTheme="minorHAnsi" w:hAnsiTheme="minorHAnsi"/>
              </w:rPr>
            </w:pP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lastRenderedPageBreak/>
              <w:t>Bijzondere rechtshandelingen</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221383" w:rsidR="00771CAB" w:rsidP="00B3079F" w:rsidRDefault="00771CAB">
            <w:pPr>
              <w:pStyle w:val="Voetnoottekst"/>
              <w:rPr>
                <w:rFonts w:asciiTheme="minorHAnsi" w:hAnsiTheme="minorHAnsi"/>
              </w:rPr>
            </w:pP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kabinetsappreciatie (‘BNC-fiche’) vragen, bespreken.</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ambtenaren of Commissaris van Europese Commissie (de ‘auteurs’) uitnodigen voor briefing/gesprek, evt. via videoconferentie</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indien het Europees Parlement een rapporteur heeft aangesteld kan deze desgewenst worden uitgenodigd voor een gesprek.</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771CAB" w:rsidP="00B3079F" w:rsidRDefault="00771CAB">
            <w:pPr>
              <w:pStyle w:val="Voetnoottekst"/>
              <w:ind w:left="360"/>
              <w:rPr>
                <w:rFonts w:asciiTheme="minorHAnsi" w:hAnsiTheme="minorHAnsi"/>
              </w:rPr>
            </w:pPr>
            <w:r w:rsidRPr="00221383">
              <w:rPr>
                <w:rFonts w:asciiTheme="minorHAnsi" w:hAnsiTheme="minorHAnsi"/>
              </w:rPr>
              <w:t>nationale wetgevingstraject (i.h.k.v. omzetting van richtlijn naar nationale wetgeving).</w:t>
            </w: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t>Niet-bindende handelingen (soft-law)</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Advies, aanbeveling, mededeling</w:t>
            </w: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tc>
        <w:tc>
          <w:tcPr>
            <w:tcW w:w="6946" w:type="dxa"/>
          </w:tcPr>
          <w:p w:rsidRPr="00221383" w:rsidR="00771CAB" w:rsidP="00B3079F" w:rsidRDefault="00771CAB">
            <w:pPr>
              <w:pStyle w:val="Voetnoottekst"/>
              <w:spacing w:before="100" w:beforeAutospacing="1" w:after="100" w:afterAutospacing="1"/>
              <w:rPr>
                <w:rFonts w:asciiTheme="minorHAnsi" w:hAnsiTheme="minorHAnsi"/>
              </w:rPr>
            </w:pPr>
            <w:r w:rsidRPr="00221383">
              <w:rPr>
                <w:rFonts w:asciiTheme="minorHAnsi" w:hAnsiTheme="minorHAnsi"/>
              </w:rPr>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t xml:space="preserve">Overige handelingen en instrumenten </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Routekaart, actieplannen, strategie, agenda </w:t>
            </w:r>
          </w:p>
        </w:tc>
        <w:tc>
          <w:tcPr>
            <w:tcW w:w="6946" w:type="dxa"/>
          </w:tcPr>
          <w:p w:rsidRPr="00221383" w:rsidR="00771CAB" w:rsidP="00B3079F" w:rsidRDefault="00771CAB">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Groen- en witboek</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Groenboek: een discussiestuk, waarmee de Europese Commissie de stand van zaken inventariseert omtrent een onderwerp. Ook doet ze aanbevelingen voor nieuw beleid. </w:t>
            </w: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r w:rsidRPr="00221383">
              <w:rPr>
                <w:rFonts w:asciiTheme="minorHAnsi" w:hAnsiTheme="minorHAnsi"/>
              </w:rPr>
              <w:lastRenderedPageBreak/>
              <w:t>Witboek: hierin zet de Europese Commissie uiteen hoe zij bepaalde doelen wil bereiken. Vaak worden in een witboek al concrete voorstellen uitgewerkt en toegelicht.</w:t>
            </w:r>
          </w:p>
          <w:p w:rsidRPr="00221383" w:rsidR="00771CAB" w:rsidP="00B3079F" w:rsidRDefault="00771CAB">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lastRenderedPageBreak/>
              <w:t>desgewenst ambtenaren EC of Europees Commissaris uitnodigen voor een toelichting.</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lastRenderedPageBreak/>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lastRenderedPageBreak/>
              <w:t>Openbare raadpleging (consultatie)</w:t>
            </w:r>
          </w:p>
        </w:tc>
        <w:tc>
          <w:tcPr>
            <w:tcW w:w="6946" w:type="dxa"/>
          </w:tcPr>
          <w:p w:rsidRPr="00221383" w:rsidR="00771CAB" w:rsidP="00B3079F" w:rsidRDefault="00771CAB">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9">
              <w:r w:rsidRPr="00221383">
                <w:rPr>
                  <w:rStyle w:val="Hyperlink"/>
                  <w:rFonts w:asciiTheme="minorHAnsi" w:hAnsiTheme="minorHAnsi"/>
                </w:rPr>
                <w:t>Bekijk alle openbare raadplegingen op "Uw stem in Europa"</w:t>
              </w:r>
            </w:hyperlink>
            <w:r w:rsidRPr="00221383">
              <w:rPr>
                <w:rFonts w:asciiTheme="minorHAnsi" w:hAnsiTheme="minorHAnsi"/>
              </w:rPr>
              <w:t xml:space="preserve"> . </w:t>
            </w:r>
          </w:p>
        </w:tc>
        <w:tc>
          <w:tcPr>
            <w:tcW w:w="5103" w:type="dxa"/>
          </w:tcPr>
          <w:p w:rsidRPr="00221383" w:rsidR="00771CAB" w:rsidP="00B3079F" w:rsidRDefault="00771CAB">
            <w:pPr>
              <w:pStyle w:val="Voetnoottekst"/>
              <w:numPr>
                <w:ilvl w:val="0"/>
                <w:numId w:val="1"/>
              </w:numPr>
              <w:autoSpaceDE w:val="0"/>
              <w:autoSpaceDN w:val="0"/>
              <w:rPr>
                <w:rFonts w:asciiTheme="minorHAnsi" w:hAnsiTheme="minorHAnsi"/>
              </w:rPr>
            </w:pPr>
            <w:r w:rsidRPr="00221383">
              <w:rPr>
                <w:rFonts w:asciiTheme="minorHAnsi" w:hAnsiTheme="minorHAnsi"/>
              </w:rPr>
              <w:t>als burger, lid, fractie of in commissieverband (via schriftelijke inbreng in de vorm van een politieke dialoog). meedoen aan de openbare raadpleging.</w:t>
            </w:r>
          </w:p>
          <w:p w:rsidRPr="00221383" w:rsidR="00771CAB" w:rsidP="00B3079F" w:rsidRDefault="00771CAB">
            <w:pPr>
              <w:pStyle w:val="Voetnoottekst"/>
              <w:numPr>
                <w:ilvl w:val="0"/>
                <w:numId w:val="1"/>
              </w:numPr>
              <w:autoSpaceDE w:val="0"/>
              <w:autoSpaceDN w:val="0"/>
              <w:rPr>
                <w:rFonts w:asciiTheme="minorHAnsi" w:hAnsiTheme="minorHAnsi"/>
              </w:rPr>
            </w:pPr>
            <w:r w:rsidRPr="00221383">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221383" w:rsidR="00771CAB" w:rsidP="00B3079F" w:rsidRDefault="00771CAB">
            <w:pPr>
              <w:pStyle w:val="Voetnoottekst"/>
              <w:numPr>
                <w:ilvl w:val="0"/>
                <w:numId w:val="1"/>
              </w:numPr>
              <w:autoSpaceDE w:val="0"/>
              <w:autoSpaceDN w:val="0"/>
              <w:rPr>
                <w:rFonts w:asciiTheme="minorHAnsi" w:hAnsiTheme="minorHAnsi"/>
              </w:rPr>
            </w:pPr>
            <w:r w:rsidRPr="00221383">
              <w:rPr>
                <w:rFonts w:asciiTheme="minorHAnsi" w:hAnsiTheme="minorHAnsi"/>
              </w:rPr>
              <w:t>de Kamer ontvangt krachtens de standaard-informatieafspraken de definitieve kabinetsreactie op alle consultaties van de Europese Commissie waarop het kabinet reageert.</w:t>
            </w: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t>Uitgelicht: twee specifieke parlementaire instrumenten bij nieuw gepubliceerde EU-voorstellen</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Subsidiariteitstoets </w:t>
            </w:r>
          </w:p>
          <w:p w:rsidRPr="00221383" w:rsidR="00771CAB" w:rsidP="00B3079F" w:rsidRDefault="00771CAB">
            <w:pPr>
              <w:pStyle w:val="Voetnoottekst"/>
              <w:rPr>
                <w:rFonts w:asciiTheme="minorHAnsi" w:hAnsiTheme="minorHAnsi"/>
              </w:rPr>
            </w:pPr>
            <w:r w:rsidRPr="00221383">
              <w:rPr>
                <w:rFonts w:asciiTheme="minorHAnsi" w:hAnsiTheme="minorHAnsi"/>
              </w:rPr>
              <w:t>(richting EU)</w:t>
            </w:r>
          </w:p>
        </w:tc>
        <w:tc>
          <w:tcPr>
            <w:tcW w:w="6946" w:type="dxa"/>
          </w:tcPr>
          <w:p w:rsidRPr="00221383" w:rsidR="00771CAB" w:rsidP="00B3079F" w:rsidRDefault="00771CAB">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221383">
              <w:rPr>
                <w:rFonts w:asciiTheme="minorHAnsi" w:hAnsiTheme="minorHAnsi" w:cstheme="minorHAnsi"/>
                <w:color w:val="000000" w:themeColor="text1"/>
                <w:sz w:val="20"/>
                <w:szCs w:val="20"/>
              </w:rPr>
              <w:t>Elk parlement krijgt 2 stemmen, maar bij een bicameraal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 xml:space="preserve">met andere parlementen in overleg treden t.b.v. behalen meerderheid voor ’gele kaart’ (1/3 stemmen) via parlementaire vertegenwoordiging en/of fractielijnen. </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Behandel-voorbehoud (richting regering)</w:t>
            </w:r>
          </w:p>
        </w:tc>
        <w:tc>
          <w:tcPr>
            <w:tcW w:w="6946" w:type="dxa"/>
          </w:tcPr>
          <w:p w:rsidRPr="00221383" w:rsidR="00771CAB" w:rsidP="00B3079F" w:rsidRDefault="00771CAB">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w:t>
            </w:r>
            <w:r w:rsidRPr="00221383">
              <w:rPr>
                <w:rFonts w:asciiTheme="minorHAnsi" w:hAnsiTheme="minorHAnsi"/>
                <w:sz w:val="20"/>
                <w:szCs w:val="20"/>
              </w:rPr>
              <w:lastRenderedPageBreak/>
              <w:t xml:space="preserve">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lastRenderedPageBreak/>
              <w:t>bij wetgevende EU-voorstellen kan een commissie besluiten tot het uitvoeren van een zgn. ‘behandelvoorbehoud’. Over deze brief moet plenair gestemd worden (let op de termijnen).</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lastRenderedPageBreak/>
              <w:t>tijdens een speciaal overleg kan de commissie afspraken maken over informatieverstrekking (bv. in kwartaalrapportages) zolang het desbetreffende dossier in onderhandeling is.</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kabinetsappreciatie (‘BNC-fiche’) komt voor aangekondigde behandelvoorbehouden binnen drie weken t.b.v. een snelle behandeling.</w:t>
            </w:r>
          </w:p>
          <w:p w:rsidRPr="00221383" w:rsidR="00771CAB" w:rsidP="00B3079F" w:rsidRDefault="00771CAB">
            <w:pPr>
              <w:pStyle w:val="Voetnoottekst"/>
              <w:rPr>
                <w:rFonts w:asciiTheme="minorHAnsi" w:hAnsiTheme="minorHAnsi"/>
              </w:rPr>
            </w:pPr>
          </w:p>
        </w:tc>
      </w:tr>
    </w:tbl>
    <w:p w:rsidRPr="00221383" w:rsidR="00771CAB" w:rsidP="00771CAB" w:rsidRDefault="00771CAB">
      <w:pPr>
        <w:rPr>
          <w:rFonts w:asciiTheme="minorHAnsi" w:hAnsiTheme="minorHAnsi"/>
          <w:sz w:val="20"/>
          <w:szCs w:val="20"/>
        </w:rPr>
      </w:pPr>
    </w:p>
    <w:p w:rsidRPr="00221383" w:rsidR="00771CAB" w:rsidP="00771CAB" w:rsidRDefault="00771CAB">
      <w:pPr>
        <w:rPr>
          <w:rFonts w:asciiTheme="minorHAnsi" w:hAnsiTheme="minorHAnsi"/>
        </w:rPr>
      </w:pPr>
    </w:p>
    <w:p w:rsidR="00771CAB" w:rsidP="00771CAB" w:rsidRDefault="00771CAB"/>
    <w:p w:rsidR="00451F3B" w:rsidRDefault="000833AC"/>
    <w:sectPr w:rsidR="00451F3B"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CAB" w:rsidRDefault="00771CAB" w:rsidP="00771CAB">
      <w:r>
        <w:separator/>
      </w:r>
    </w:p>
  </w:endnote>
  <w:endnote w:type="continuationSeparator" w:id="0">
    <w:p w:rsidR="00771CAB" w:rsidRDefault="00771CAB" w:rsidP="0077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CAB" w:rsidRDefault="00771CAB" w:rsidP="00771CAB">
      <w:r>
        <w:separator/>
      </w:r>
    </w:p>
  </w:footnote>
  <w:footnote w:type="continuationSeparator" w:id="0">
    <w:p w:rsidR="00771CAB" w:rsidRDefault="00771CAB" w:rsidP="00771CAB">
      <w:r>
        <w:continuationSeparator/>
      </w:r>
    </w:p>
  </w:footnote>
  <w:footnote w:id="1">
    <w:p w:rsidR="00771CAB" w:rsidRDefault="00771CAB" w:rsidP="00771CAB">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771CAB" w:rsidRPr="00B45904" w:rsidRDefault="00771CAB" w:rsidP="00771CAB">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73124299"/>
    <w:multiLevelType w:val="hybridMultilevel"/>
    <w:tmpl w:val="AEBAB20E"/>
    <w:lvl w:ilvl="0" w:tplc="EB501A5C">
      <w:start w:val="16"/>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AB"/>
    <w:rsid w:val="0003444D"/>
    <w:rsid w:val="000833AC"/>
    <w:rsid w:val="00165F4D"/>
    <w:rsid w:val="003C261A"/>
    <w:rsid w:val="003F7103"/>
    <w:rsid w:val="00771CAB"/>
    <w:rsid w:val="00DA6C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0468F-374B-421D-9A1F-9A586691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1CA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71CAB"/>
    <w:rPr>
      <w:color w:val="0000FF"/>
      <w:u w:val="single"/>
    </w:rPr>
  </w:style>
  <w:style w:type="character" w:styleId="Zwaar">
    <w:name w:val="Strong"/>
    <w:basedOn w:val="Standaardalinea-lettertype"/>
    <w:uiPriority w:val="22"/>
    <w:qFormat/>
    <w:rsid w:val="00771CAB"/>
    <w:rPr>
      <w:b/>
      <w:bCs/>
    </w:rPr>
  </w:style>
  <w:style w:type="paragraph" w:styleId="Voetnoottekst">
    <w:name w:val="footnote text"/>
    <w:basedOn w:val="Standaard"/>
    <w:link w:val="VoetnoottekstChar"/>
    <w:rsid w:val="00771CAB"/>
    <w:rPr>
      <w:sz w:val="20"/>
      <w:szCs w:val="20"/>
    </w:rPr>
  </w:style>
  <w:style w:type="character" w:customStyle="1" w:styleId="VoetnoottekstChar">
    <w:name w:val="Voetnoottekst Char"/>
    <w:basedOn w:val="Standaardalinea-lettertype"/>
    <w:link w:val="Voetnoottekst"/>
    <w:rsid w:val="00771CAB"/>
    <w:rPr>
      <w:rFonts w:ascii="Times New Roman" w:eastAsia="Times New Roman" w:hAnsi="Times New Roman" w:cs="Times New Roman"/>
      <w:sz w:val="20"/>
      <w:szCs w:val="20"/>
      <w:lang w:eastAsia="nl-NL"/>
    </w:rPr>
  </w:style>
  <w:style w:type="table" w:styleId="Tabelraster">
    <w:name w:val="Table Grid"/>
    <w:basedOn w:val="Standaardtabel"/>
    <w:rsid w:val="00771CA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71CAB"/>
    <w:pPr>
      <w:ind w:left="720"/>
    </w:pPr>
    <w:rPr>
      <w:rFonts w:eastAsiaTheme="minorHAnsi"/>
    </w:rPr>
  </w:style>
  <w:style w:type="character" w:styleId="Voetnootmarkering">
    <w:name w:val="footnote reference"/>
    <w:basedOn w:val="Standaardalinea-lettertype"/>
    <w:uiPriority w:val="99"/>
    <w:rsid w:val="00771CAB"/>
    <w:rPr>
      <w:vertAlign w:val="superscript"/>
    </w:rPr>
  </w:style>
  <w:style w:type="character" w:styleId="GevolgdeHyperlink">
    <w:name w:val="FollowedHyperlink"/>
    <w:basedOn w:val="Standaardalinea-lettertype"/>
    <w:uiPriority w:val="99"/>
    <w:semiHidden/>
    <w:unhideWhenUsed/>
    <w:rsid w:val="00771CAB"/>
    <w:rPr>
      <w:color w:val="954F72" w:themeColor="followedHyperlink"/>
      <w:u w:val="single"/>
    </w:rPr>
  </w:style>
  <w:style w:type="character" w:styleId="Verwijzingopmerking">
    <w:name w:val="annotation reference"/>
    <w:basedOn w:val="Standaardalinea-lettertype"/>
    <w:uiPriority w:val="99"/>
    <w:semiHidden/>
    <w:unhideWhenUsed/>
    <w:rsid w:val="00771CAB"/>
    <w:rPr>
      <w:sz w:val="16"/>
      <w:szCs w:val="16"/>
    </w:rPr>
  </w:style>
  <w:style w:type="paragraph" w:styleId="Tekstopmerking">
    <w:name w:val="annotation text"/>
    <w:basedOn w:val="Standaard"/>
    <w:link w:val="TekstopmerkingChar"/>
    <w:uiPriority w:val="99"/>
    <w:semiHidden/>
    <w:unhideWhenUsed/>
    <w:rsid w:val="00771CAB"/>
    <w:rPr>
      <w:sz w:val="20"/>
      <w:szCs w:val="20"/>
    </w:rPr>
  </w:style>
  <w:style w:type="character" w:customStyle="1" w:styleId="TekstopmerkingChar">
    <w:name w:val="Tekst opmerking Char"/>
    <w:basedOn w:val="Standaardalinea-lettertype"/>
    <w:link w:val="Tekstopmerking"/>
    <w:uiPriority w:val="99"/>
    <w:semiHidden/>
    <w:rsid w:val="00771CAB"/>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71CAB"/>
    <w:rPr>
      <w:b/>
      <w:bCs/>
    </w:rPr>
  </w:style>
  <w:style w:type="character" w:customStyle="1" w:styleId="OnderwerpvanopmerkingChar">
    <w:name w:val="Onderwerp van opmerking Char"/>
    <w:basedOn w:val="TekstopmerkingChar"/>
    <w:link w:val="Onderwerpvanopmerking"/>
    <w:uiPriority w:val="99"/>
    <w:semiHidden/>
    <w:rsid w:val="00771CAB"/>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771CA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1CAB"/>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0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8" /><Relationship Type="http://schemas.openxmlformats.org/officeDocument/2006/relationships/settings" Target="settings.xml" Id="rId3" /><Relationship Type="http://schemas.openxmlformats.org/officeDocument/2006/relationships/hyperlink" Target="https://ec.europa.eu/transparency/regdoc/rep/1/2019/NL/COM-2019-414-F1-NL-MAIN-PART-1.PDF"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ec.europa.eu/yourvoice/consultations/index_nl.htm" TargetMode="External" Id="rId9"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2495</ap:Words>
  <ap:Characters>13724</ap:Characters>
  <ap:DocSecurity>4</ap:DocSecurity>
  <ap:Lines>114</ap:Lines>
  <ap:Paragraphs>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16187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2019-09-20T08:50:00.0000000Z</dcterms:created>
  <dcterms:modified xsi:type="dcterms:W3CDTF">2019-09-20T08:50:00.0000000Z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0x01010009D17FDE6F6D6C4DB7F9CEA429D42F44</vt:lpwstr>
  </property>
</Properties>
</file>