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W07.19.0011/II/K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12 maart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1D3309" w:rsidRDefault="00BC6C8E">
              <w:r>
                <w:t>Bij Kabinetsmissive van 21 januari 2019, no.2019000075, heeft Uwe Majesteit, op voordracht van de Minister van Buitenlandse Zaken, mede namens de Minister van Defensie, bij de Afdeling advisering van de Raad van State van het Koninkrijk ter overweging aanhangig gemaakt het voorstel van rijkswet houdende goedkeuring van het op 2 juli 2018 te Washington tot stand gekomen Verdrag tussen de Regering van het Koninkrijk der Nederlanden en de Regering van de Verenigde Staten van Amerika inzake de totstandkoming van een raamwerk voor samenwerking op het gebied van defensieaangelegenheden (Trb. 2018, 125), met memorie van toelichting.</w:t>
              </w:r>
            </w:p>
          </w:sdtContent>
        </w:sdt>
        <w:p w:rsidR="0071031E" w:rsidRDefault="0071031E"/>
        <w:sdt>
          <w:sdtPr>
            <w:alias w:val="VrijeTekst1"/>
            <w:tag w:val="VrijeTekst1"/>
            <w:id w:val="-437221631"/>
            <w:lock w:val="sdtLocked"/>
          </w:sdtPr>
          <w:sdtEndPr/>
          <w:sdtContent>
            <w:p w:rsidR="00B759FE" w:rsidP="00FF035E" w:rsidRDefault="00BC6C8E">
              <w:r>
                <w:t xml:space="preserve">Het voorstel van rijkswet ziet op de goedkeuring van het </w:t>
              </w:r>
              <w:r w:rsidRPr="00B759FE">
                <w:t>op 2 juli 2018 te Washington tot stand gekomen Verdrag tussen de Regering van het Koninkrijk der Nederlanden en de Regering van de Verenigde Staten van Amerika inzake de totstandkoming van een raamwerk voor samenwerking op het gebied van defensieaangelegenheden (Trb. 2018, 125</w:t>
              </w:r>
              <w:r>
                <w:t xml:space="preserve">) (hierna: het Raamverdrag). </w:t>
              </w:r>
            </w:p>
            <w:p w:rsidR="00DA7E6A" w:rsidP="00FF035E" w:rsidRDefault="00EE0B4D"/>
            <w:p w:rsidR="00775659" w:rsidP="00775659" w:rsidRDefault="00BC6C8E">
              <w:r>
                <w:t xml:space="preserve">De Afdeling advisering van de Raad van State van het Koninkrijk heeft vragen over de schriftelijk afspraken die op grond van het Raamverdrag tot stand zullen worden gebracht. Zij acht het in dat verband wenselijk dat de toelichting wordt aangepast. </w:t>
              </w:r>
            </w:p>
            <w:p w:rsidR="00775659" w:rsidP="00775659" w:rsidRDefault="00EE0B4D"/>
            <w:p w:rsidR="00EA4E04" w:rsidP="00EA4E04" w:rsidRDefault="00BC6C8E">
              <w:r>
                <w:t>Het Raamverdrag stelt een aantal algemene regels vast die van toepassing zullen zijn op schriftelijke samenwerkingsafspraken op defensiegebied tussen de Verenigde Staten (VS) en Nederland.</w:t>
              </w:r>
              <w:r>
                <w:rPr>
                  <w:rStyle w:val="Voetnootmarkering"/>
                </w:rPr>
                <w:footnoteReference w:id="1"/>
              </w:r>
              <w:r>
                <w:t xml:space="preserve"> Het verdrag noemt dergelijke afspraken “</w:t>
              </w:r>
              <w:r w:rsidRPr="00801460">
                <w:t>Memoranda of Understanding or other written arrangements for defense cooperation activities</w:t>
              </w:r>
              <w:r>
                <w:t>” (hierna: MoUs).</w:t>
              </w:r>
              <w:r>
                <w:rPr>
                  <w:rStyle w:val="Voetnootmarkering"/>
                </w:rPr>
                <w:footnoteReference w:id="2"/>
              </w:r>
              <w:r>
                <w:t xml:space="preserve"> </w:t>
              </w:r>
            </w:p>
            <w:p w:rsidR="00EA4E04" w:rsidP="00EA4E04" w:rsidRDefault="00EE0B4D"/>
            <w:p w:rsidR="00EA4E04" w:rsidP="00EA4E04" w:rsidRDefault="00BC6C8E">
              <w:r>
                <w:t>De toelichting vermeldt dat het tot op heden de praktijk is om dit soort defensiesamenwerkingsafspraken met de VS te regelen in juridisch niet-bindende Memoranda of Understanding.</w:t>
              </w:r>
              <w:r>
                <w:rPr>
                  <w:rStyle w:val="Voetnootmarkering"/>
                </w:rPr>
                <w:footnoteReference w:id="3"/>
              </w:r>
              <w:r>
                <w:t xml:space="preserve"> De toelichting geeft voorts aan dat </w:t>
              </w:r>
              <w:r w:rsidRPr="00BB4237">
                <w:t xml:space="preserve">het </w:t>
              </w:r>
              <w:r>
                <w:t xml:space="preserve">bij de MoUs die onder het  Raamverdrag zullen vallen, ook </w:t>
              </w:r>
              <w:r w:rsidRPr="00BB4237">
                <w:t xml:space="preserve">in alle gevallen </w:t>
              </w:r>
              <w:r>
                <w:t xml:space="preserve">om </w:t>
              </w:r>
              <w:r w:rsidRPr="00BB4237">
                <w:t>niet-juridisch verbindende beleidsafspraken</w:t>
              </w:r>
              <w:r>
                <w:t xml:space="preserve"> zou gaan</w:t>
              </w:r>
              <w:r w:rsidRPr="00BB4237">
                <w:t>.</w:t>
              </w:r>
              <w:r>
                <w:rPr>
                  <w:rStyle w:val="Voetnootmarkering"/>
                </w:rPr>
                <w:footnoteReference w:id="4"/>
              </w:r>
            </w:p>
            <w:p w:rsidR="00EA4E04" w:rsidP="00EA4E04" w:rsidRDefault="00EE0B4D"/>
            <w:p w:rsidR="00071E5F" w:rsidP="00EA4E04" w:rsidRDefault="00BC6C8E">
              <w:r>
                <w:t xml:space="preserve">De Afdeling merkt in dat verband op dat </w:t>
              </w:r>
              <w:r w:rsidRPr="00071E5F">
                <w:t xml:space="preserve">het Raamverdrag </w:t>
              </w:r>
              <w:r>
                <w:t>voorschrijft</w:t>
              </w:r>
              <w:r w:rsidRPr="00071E5F">
                <w:t xml:space="preserve"> dat sommige afspraken die in MoUs zullen worden vastgelegd, </w:t>
              </w:r>
              <w:r>
                <w:t xml:space="preserve">juridisch bindend zijn voor </w:t>
              </w:r>
              <w:r w:rsidRPr="00071E5F">
                <w:t xml:space="preserve">de verdragspartijen </w:t>
              </w:r>
              <w:r>
                <w:t>(Nederland en VS)</w:t>
              </w:r>
              <w:r w:rsidRPr="00071E5F">
                <w:t xml:space="preserve">. </w:t>
              </w:r>
              <w:r>
                <w:t xml:space="preserve">Zo bepaalt het Raamverdrag bijvoorbeeld </w:t>
              </w:r>
              <w:r w:rsidRPr="00071E5F">
                <w:t>dat de verdragspartijen de financiële verplichtingen moeten naleven zoals die zijn gespecificeerd in MoUs.</w:t>
              </w:r>
              <w:r w:rsidRPr="00071E5F">
                <w:rPr>
                  <w:vertAlign w:val="superscript"/>
                </w:rPr>
                <w:footnoteReference w:id="5"/>
              </w:r>
              <w:r w:rsidRPr="00071E5F">
                <w:t xml:space="preserve"> </w:t>
              </w:r>
              <w:r>
                <w:t>Andere voorbeelden zijn bepalingen die verplichtingen regelen over aansprakelijkheid,</w:t>
              </w:r>
              <w:r>
                <w:rPr>
                  <w:rStyle w:val="Voetnootmarkering"/>
                </w:rPr>
                <w:footnoteReference w:id="6"/>
              </w:r>
              <w:r>
                <w:t xml:space="preserve"> of eigendomsrechten op militair materieel of informatie </w:t>
              </w:r>
              <w:r>
                <w:lastRenderedPageBreak/>
                <w:t>die onder de MoUs worden verschaft of ontwikkeld.</w:t>
              </w:r>
              <w:r>
                <w:rPr>
                  <w:rStyle w:val="Voetnootmarkering"/>
                </w:rPr>
                <w:footnoteReference w:id="7"/>
              </w:r>
              <w:r>
                <w:t xml:space="preserve"> </w:t>
              </w:r>
              <w:r w:rsidRPr="00071E5F">
                <w:t xml:space="preserve">De vraag rijst of </w:t>
              </w:r>
              <w:r>
                <w:t xml:space="preserve">die nalevingsplicht </w:t>
              </w:r>
              <w:r w:rsidRPr="00071E5F">
                <w:t>in dat geval voortvloeit uit het Raamverdr</w:t>
              </w:r>
              <w:r>
                <w:t xml:space="preserve">ag, </w:t>
              </w:r>
              <w:r w:rsidRPr="00071E5F">
                <w:t xml:space="preserve">uit de MoU, of </w:t>
              </w:r>
              <w:r>
                <w:t xml:space="preserve">dat die volgt </w:t>
              </w:r>
              <w:r w:rsidRPr="00071E5F">
                <w:t xml:space="preserve">uit de onderlinge samenhang. </w:t>
              </w:r>
              <w:r>
                <w:t>Het antwoord op die vraag bepaalt of de MoU een juridisch bindende afspraak bevat. De toelichting laat dat nu in het midden.</w:t>
              </w:r>
            </w:p>
            <w:p w:rsidR="00071E5F" w:rsidP="00071E5F" w:rsidRDefault="00EE0B4D"/>
            <w:p w:rsidR="009017C2" w:rsidP="009017C2" w:rsidRDefault="00BC6C8E">
              <w:r>
                <w:t xml:space="preserve">Beantwoording van deze vraag is van belang, omdat schriftelijke afspraken tussen staten die naar internationaal recht juridisch bindend zijn, verdragen zijn. Voor verdragen geldt in Nederland de Rijkswet goedkeuring en bekendmaking verdragen (Rgbv); voor juridisch niet-bindende internationale afspraken geldt de Rgbv niet. </w:t>
              </w:r>
            </w:p>
            <w:p w:rsidR="009017C2" w:rsidP="009017C2" w:rsidRDefault="00EE0B4D"/>
            <w:p w:rsidR="00E40AEA" w:rsidP="009017C2" w:rsidRDefault="00BC6C8E">
              <w:r>
                <w:t>Daarbij is van belang dat het Weens verdragenverdrag een ‘verdrag’ omschrijft als “</w:t>
              </w:r>
              <w:r w:rsidRPr="00E40AEA">
                <w:t>een internationale overeenkomst in geschrifte tussen Staten gesloten en beheerst door het volkenrecht, hetzij nedergelegd in een enkele akte, hetzij in twee of meer samenhangende akten, en ongeacht haar bijzondere benaming</w:t>
              </w:r>
              <w:r>
                <w:t>”.</w:t>
              </w:r>
              <w:r>
                <w:rPr>
                  <w:rStyle w:val="Voetnootmarkering"/>
                </w:rPr>
                <w:footnoteReference w:id="8"/>
              </w:r>
            </w:p>
            <w:p w:rsidR="00E40AEA" w:rsidP="009017C2" w:rsidRDefault="00EE0B4D"/>
            <w:p w:rsidR="00E40AEA" w:rsidP="009017C2" w:rsidRDefault="00BC6C8E">
              <w:r>
                <w:t>Bij het bepalen van wat wel en niet een juridisch bindend document is, gaat het derhalve niet om de vorm of benaming van het document, maar om de bewoordingen, de omstandigheden waaronder het is gesloten en om de vraag of de staten een wilsovereenstemming hebben geuit om aan de overeenkomst gebonden te zijn.</w:t>
              </w:r>
              <w:r>
                <w:rPr>
                  <w:rStyle w:val="Voetnootmarkering"/>
                </w:rPr>
                <w:footnoteReference w:id="9"/>
              </w:r>
            </w:p>
            <w:p w:rsidR="00E40AEA" w:rsidP="009017C2" w:rsidRDefault="00EE0B4D"/>
            <w:p w:rsidR="00934B37" w:rsidP="009017C2" w:rsidRDefault="00BC6C8E">
              <w:r>
                <w:t>De Afdeling is van oordeel dat, als een MoU juridisch bindt en dus een verdrag is, het om een uitvoeringsverdrag van het Raamverdrag gaat. De Rgbv bepaalt dat de regering het voornemen tot het sluiten van uitvoeringsverdragen vooraf aan de Staten-Generaal bekend maakt,</w:t>
              </w:r>
              <w:r>
                <w:rPr>
                  <w:rStyle w:val="Voetnootmarkering"/>
                </w:rPr>
                <w:footnoteReference w:id="10"/>
              </w:r>
              <w:r>
                <w:t xml:space="preserve"> en dat deze verdragen worden bekendgemaakt in het Tractatenblad.</w:t>
              </w:r>
              <w:r>
                <w:rPr>
                  <w:rStyle w:val="Voetnootmarkering"/>
                </w:rPr>
                <w:footnoteReference w:id="11"/>
              </w:r>
              <w:r>
                <w:t xml:space="preserve"> Deze verplichtingen gelden niet voor juridische niet-bindende MoUs. </w:t>
              </w:r>
            </w:p>
            <w:p w:rsidR="00484A0B" w:rsidP="00934B37" w:rsidRDefault="00EE0B4D"/>
            <w:p w:rsidR="0031089B" w:rsidP="00FF035E" w:rsidRDefault="00BC6C8E">
              <w:r>
                <w:t>Gelet op het voorgaande adviseert de Afdeling om in de toelichting aan te geven of MoUs op grond van het Raamverdrag juridisch bindend kunnen zijn.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1D3309" w:rsidRDefault="00BC6C8E">
              <w:r>
                <w:t xml:space="preserve">De Afdeling advisering van de Raad van State van het Koninkrijk heeft een aantal opmerkingen bij het voorstel van rijkswet en adviseert daarmee rekening te houden voordat  het voorstel van rijkswet bij de Tweede Kamer der Staten-Generaal, de Staten van Aruba, die van Curaçao en aan van Sint Maarten wordt ingediend. </w:t>
              </w:r>
              <w:r>
                <w:br/>
              </w:r>
              <w:r>
                <w:br/>
              </w:r>
              <w:r>
                <w:br/>
                <w:t>De vice-president  van de Raad van State van het Koninkrijk,</w:t>
              </w:r>
            </w:p>
          </w:sdtContent>
        </w:sdt>
      </w:sdtContent>
    </w:sdt>
    <w:sectPr w:rsidR="001D3309"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59" w:rsidRDefault="00BC6C8E" w:rsidP="005B3E03">
      <w:r>
        <w:separator/>
      </w:r>
    </w:p>
    <w:p w:rsidR="004A3759" w:rsidRDefault="00EE0B4D"/>
  </w:endnote>
  <w:endnote w:type="continuationSeparator" w:id="0">
    <w:p w:rsidR="004A3759" w:rsidRDefault="00BC6C8E" w:rsidP="005B3E03">
      <w:r>
        <w:continuationSeparator/>
      </w:r>
    </w:p>
    <w:p w:rsidR="004A3759" w:rsidRDefault="00EE0B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59" w:rsidRDefault="00BC6C8E" w:rsidP="005B3E03">
      <w:r>
        <w:separator/>
      </w:r>
    </w:p>
    <w:p w:rsidR="004A3759" w:rsidRDefault="00EE0B4D"/>
  </w:footnote>
  <w:footnote w:type="continuationSeparator" w:id="0">
    <w:p w:rsidR="004A3759" w:rsidRDefault="00BC6C8E" w:rsidP="005B3E03">
      <w:r>
        <w:continuationSeparator/>
      </w:r>
    </w:p>
    <w:p w:rsidR="004A3759" w:rsidRDefault="00EE0B4D"/>
  </w:footnote>
  <w:footnote w:id="1">
    <w:p w:rsidR="007240ED" w:rsidRDefault="00BC6C8E" w:rsidP="007240ED">
      <w:pPr>
        <w:pStyle w:val="Voetnoottekst"/>
      </w:pPr>
      <w:r>
        <w:rPr>
          <w:rStyle w:val="Voetnootmarkering"/>
        </w:rPr>
        <w:footnoteRef/>
      </w:r>
      <w:r>
        <w:t xml:space="preserve"> </w:t>
      </w:r>
      <w:r>
        <w:tab/>
        <w:t xml:space="preserve">Het gaat om bijvoorbeeld samenwerking bij </w:t>
      </w:r>
      <w:r w:rsidRPr="00B759FE">
        <w:t>operaties, de aanschaf en het onderhoud van materieel, onderzoek en ontwikkeling, opleidingen, en trainingen en oefeningen</w:t>
      </w:r>
      <w:r>
        <w:t>.</w:t>
      </w:r>
    </w:p>
  </w:footnote>
  <w:footnote w:id="2">
    <w:p w:rsidR="007240ED" w:rsidRDefault="00BC6C8E" w:rsidP="007240ED">
      <w:pPr>
        <w:pStyle w:val="Voetnoottekst"/>
      </w:pPr>
      <w:r>
        <w:rPr>
          <w:rStyle w:val="Voetnootmarkering"/>
        </w:rPr>
        <w:footnoteRef/>
      </w:r>
      <w:r>
        <w:t xml:space="preserve"> </w:t>
      </w:r>
      <w:r>
        <w:tab/>
        <w:t>Het Raamverdrag is ten tijde van deze advisering nog niet in het Nederlands in het Tractatenblad gepubliceerd.</w:t>
      </w:r>
    </w:p>
  </w:footnote>
  <w:footnote w:id="3">
    <w:p w:rsidR="00E40AEA" w:rsidRPr="00E40AEA" w:rsidRDefault="00BC6C8E">
      <w:pPr>
        <w:pStyle w:val="Voetnoottekst"/>
      </w:pPr>
      <w:r>
        <w:rPr>
          <w:rStyle w:val="Voetnootmarkering"/>
        </w:rPr>
        <w:footnoteRef/>
      </w:r>
      <w:r w:rsidRPr="00E40AEA">
        <w:t xml:space="preserve"> </w:t>
      </w:r>
      <w:r w:rsidRPr="00E40AEA">
        <w:tab/>
      </w:r>
      <w:r>
        <w:t>Memorie van toelichting, Paragraaf 2 “Het Raamverdrag”, onderdeel d.</w:t>
      </w:r>
    </w:p>
  </w:footnote>
  <w:footnote w:id="4">
    <w:p w:rsidR="00BB4237" w:rsidRPr="00BB4237" w:rsidRDefault="00BC6C8E">
      <w:pPr>
        <w:pStyle w:val="Voetnoottekst"/>
      </w:pPr>
      <w:r>
        <w:rPr>
          <w:rStyle w:val="Voetnootmarkering"/>
        </w:rPr>
        <w:footnoteRef/>
      </w:r>
      <w:r w:rsidRPr="00BB4237">
        <w:t xml:space="preserve"> </w:t>
      </w:r>
      <w:r w:rsidRPr="00BB4237">
        <w:tab/>
        <w:t>A</w:t>
      </w:r>
      <w:r>
        <w:t>r</w:t>
      </w:r>
      <w:r w:rsidRPr="00BB4237">
        <w:t>tikelsgewijze toelichting op artikel II van het Raamverdrag.</w:t>
      </w:r>
    </w:p>
  </w:footnote>
  <w:footnote w:id="5">
    <w:p w:rsidR="00071E5F" w:rsidRPr="003D5324" w:rsidRDefault="00BC6C8E" w:rsidP="00071E5F">
      <w:pPr>
        <w:pStyle w:val="Voetnoottekst"/>
        <w:rPr>
          <w:lang w:val="en-GB"/>
        </w:rPr>
      </w:pPr>
      <w:r>
        <w:rPr>
          <w:rStyle w:val="Voetnootmarkering"/>
        </w:rPr>
        <w:footnoteRef/>
      </w:r>
      <w:r w:rsidRPr="00A561C3">
        <w:rPr>
          <w:lang w:val="en-GB"/>
        </w:rPr>
        <w:t xml:space="preserve"> </w:t>
      </w:r>
      <w:r w:rsidRPr="00A561C3">
        <w:rPr>
          <w:lang w:val="en-GB"/>
        </w:rPr>
        <w:tab/>
      </w:r>
      <w:r w:rsidRPr="003D5324">
        <w:rPr>
          <w:lang w:val="en-GB"/>
        </w:rPr>
        <w:t>Artikel IX van het Raamverdrag, waarvan de eerste zin in het Engels luidt: “The Parties shall meet all financial obligations as specified in the MoUs or other written arrangements subject to this Agreement.”</w:t>
      </w:r>
    </w:p>
  </w:footnote>
  <w:footnote w:id="6">
    <w:p w:rsidR="009E468F" w:rsidRDefault="00BC6C8E" w:rsidP="009E468F">
      <w:pPr>
        <w:pStyle w:val="Voetnoottekst"/>
      </w:pPr>
      <w:r>
        <w:rPr>
          <w:rStyle w:val="Voetnootmarkering"/>
        </w:rPr>
        <w:footnoteRef/>
      </w:r>
      <w:r>
        <w:t xml:space="preserve"> </w:t>
      </w:r>
      <w:r>
        <w:tab/>
        <w:t>Artikel III van het Raamverdrag.</w:t>
      </w:r>
    </w:p>
  </w:footnote>
  <w:footnote w:id="7">
    <w:p w:rsidR="009E468F" w:rsidRDefault="00BC6C8E" w:rsidP="009E468F">
      <w:pPr>
        <w:pStyle w:val="Voetnoottekst"/>
      </w:pPr>
      <w:r>
        <w:rPr>
          <w:rStyle w:val="Voetnootmarkering"/>
        </w:rPr>
        <w:footnoteRef/>
      </w:r>
      <w:r>
        <w:t xml:space="preserve"> </w:t>
      </w:r>
      <w:r>
        <w:tab/>
        <w:t>Artikelen IV en V van het Raamverdrag.</w:t>
      </w:r>
    </w:p>
  </w:footnote>
  <w:footnote w:id="8">
    <w:p w:rsidR="00E40AEA" w:rsidRPr="00C2489D" w:rsidRDefault="00BC6C8E" w:rsidP="00E40AEA">
      <w:pPr>
        <w:pStyle w:val="Voetnoottekst"/>
      </w:pPr>
      <w:r>
        <w:rPr>
          <w:rStyle w:val="Voetnootmarkering"/>
        </w:rPr>
        <w:footnoteRef/>
      </w:r>
      <w:r w:rsidRPr="000E4FBB">
        <w:t xml:space="preserve"> </w:t>
      </w:r>
      <w:r w:rsidRPr="000E4FBB">
        <w:tab/>
      </w:r>
      <w:r>
        <w:t>Naar internationaal gewoonterecht, zoals ook neergelegd in artikel 2, eerste lid, onderdeel a, van het Weens verdragenverdrag</w:t>
      </w:r>
      <w:r w:rsidRPr="00B37B63">
        <w:t>.</w:t>
      </w:r>
    </w:p>
  </w:footnote>
  <w:footnote w:id="9">
    <w:p w:rsidR="00E40AEA" w:rsidRPr="00BB4237" w:rsidRDefault="00BC6C8E" w:rsidP="00E40AEA">
      <w:pPr>
        <w:pStyle w:val="Voetnoottekst"/>
      </w:pPr>
      <w:r>
        <w:rPr>
          <w:rStyle w:val="Voetnootmarkering"/>
        </w:rPr>
        <w:footnoteRef/>
      </w:r>
      <w:r w:rsidRPr="00BB4237">
        <w:t xml:space="preserve"> </w:t>
      </w:r>
      <w:r w:rsidRPr="00BB4237">
        <w:tab/>
        <w:t>V</w:t>
      </w:r>
      <w:r>
        <w:t>er</w:t>
      </w:r>
      <w:r w:rsidRPr="00BB4237">
        <w:t>g</w:t>
      </w:r>
      <w:r>
        <w:t>e</w:t>
      </w:r>
      <w:r w:rsidRPr="00BB4237">
        <w:t>l</w:t>
      </w:r>
      <w:r>
        <w:t>ijk</w:t>
      </w:r>
      <w:r w:rsidRPr="00BB4237">
        <w:t xml:space="preserve"> artikel 31 van het Weens verdragenverdrag; zie daarover ook het Internationaal Gerechtshof in </w:t>
      </w:r>
      <w:r>
        <w:t>de ‘</w:t>
      </w:r>
      <w:r w:rsidRPr="00BB4237">
        <w:t>Case concerning maritime delimitation and territorial questions between Qatar and Bahrain (Quatar v. Bahrain)</w:t>
      </w:r>
      <w:r>
        <w:t>,’</w:t>
      </w:r>
      <w:r w:rsidRPr="00BB4237">
        <w:t xml:space="preserve"> Jurisdiction and admissibility judgment </w:t>
      </w:r>
      <w:r>
        <w:t xml:space="preserve">van </w:t>
      </w:r>
      <w:r w:rsidRPr="00BB4237">
        <w:t>1 July 1994</w:t>
      </w:r>
      <w:r>
        <w:t xml:space="preserve">, </w:t>
      </w:r>
      <w:r w:rsidRPr="00BB4237">
        <w:t>https://www.icj-cij.org/files/case-related/87/087-19940701-JUD-01-00-EN.pdf.</w:t>
      </w:r>
    </w:p>
  </w:footnote>
  <w:footnote w:id="10">
    <w:p w:rsidR="009017C2" w:rsidRDefault="00BC6C8E" w:rsidP="009017C2">
      <w:pPr>
        <w:pStyle w:val="Voetnoottekst"/>
      </w:pPr>
      <w:r>
        <w:rPr>
          <w:rStyle w:val="Voetnootmarkering"/>
        </w:rPr>
        <w:footnoteRef/>
      </w:r>
      <w:r>
        <w:t xml:space="preserve"> </w:t>
      </w:r>
      <w:r>
        <w:tab/>
        <w:t>Artikel 8, eerste lid, van de Rgbv. De Staten-Generaal (dan wel de Gevolmachtigde Minister van één van de Caribische landen) kan wel binnen dertig dagen na deze mededeling alsnog de wens te kennen geven dat het verdrag aan goedkeuring zal worden onderworpen.</w:t>
      </w:r>
    </w:p>
  </w:footnote>
  <w:footnote w:id="11">
    <w:p w:rsidR="009017C2" w:rsidRDefault="00BC6C8E">
      <w:pPr>
        <w:pStyle w:val="Voetnoottekst"/>
      </w:pPr>
      <w:r>
        <w:rPr>
          <w:rStyle w:val="Voetnootmarkering"/>
        </w:rPr>
        <w:footnoteRef/>
      </w:r>
      <w:r>
        <w:t xml:space="preserve"> </w:t>
      </w:r>
      <w:r>
        <w:tab/>
        <w:t>Artikel 16, eerste lid, van de Rgbv.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EE0B4D">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2"/>
    <w:multiLevelType w:val="hybridMultilevel"/>
    <w:tmpl w:val="41FE4255"/>
    <w:lvl w:ilvl="0" w:tplc="5D46D2F0">
      <w:start w:val="1"/>
      <w:numFmt w:val="lowerLetter"/>
      <w:lvlText w:val="%1."/>
      <w:lvlJc w:val="left"/>
      <w:pPr>
        <w:ind w:left="720" w:hanging="360"/>
      </w:pPr>
    </w:lvl>
    <w:lvl w:ilvl="1" w:tplc="DCA64B3E">
      <w:start w:val="1"/>
      <w:numFmt w:val="lowerLetter"/>
      <w:lvlText w:val="%2."/>
      <w:lvlJc w:val="left"/>
      <w:pPr>
        <w:ind w:left="1440" w:hanging="360"/>
      </w:pPr>
    </w:lvl>
    <w:lvl w:ilvl="2" w:tplc="18B2E9C2">
      <w:start w:val="1"/>
      <w:numFmt w:val="lowerRoman"/>
      <w:lvlText w:val="%3."/>
      <w:lvlJc w:val="right"/>
      <w:pPr>
        <w:ind w:left="2160" w:hanging="180"/>
      </w:pPr>
    </w:lvl>
    <w:lvl w:ilvl="3" w:tplc="74D8EAEA">
      <w:start w:val="1"/>
      <w:numFmt w:val="decimal"/>
      <w:lvlText w:val="%4."/>
      <w:lvlJc w:val="left"/>
      <w:pPr>
        <w:ind w:left="2880" w:hanging="360"/>
      </w:pPr>
    </w:lvl>
    <w:lvl w:ilvl="4" w:tplc="B07E65B8">
      <w:start w:val="1"/>
      <w:numFmt w:val="lowerLetter"/>
      <w:lvlText w:val="%5."/>
      <w:lvlJc w:val="left"/>
      <w:pPr>
        <w:ind w:left="3600" w:hanging="360"/>
      </w:pPr>
    </w:lvl>
    <w:lvl w:ilvl="5" w:tplc="DC30D98E">
      <w:start w:val="1"/>
      <w:numFmt w:val="lowerRoman"/>
      <w:lvlText w:val="%6."/>
      <w:lvlJc w:val="right"/>
      <w:pPr>
        <w:ind w:left="4320" w:hanging="180"/>
      </w:pPr>
    </w:lvl>
    <w:lvl w:ilvl="6" w:tplc="DF380ED8">
      <w:start w:val="1"/>
      <w:numFmt w:val="decimal"/>
      <w:lvlText w:val="%7."/>
      <w:lvlJc w:val="left"/>
      <w:pPr>
        <w:ind w:left="5040" w:hanging="360"/>
      </w:pPr>
    </w:lvl>
    <w:lvl w:ilvl="7" w:tplc="B2E22614">
      <w:start w:val="1"/>
      <w:numFmt w:val="lowerLetter"/>
      <w:lvlText w:val="%8."/>
      <w:lvlJc w:val="left"/>
      <w:pPr>
        <w:ind w:left="5760" w:hanging="360"/>
      </w:pPr>
    </w:lvl>
    <w:lvl w:ilvl="8" w:tplc="553A0684">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D3309"/>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BC6C8E"/>
    <w:rsid w:val="00C02F92"/>
    <w:rsid w:val="00C5066A"/>
    <w:rsid w:val="00C50D4F"/>
    <w:rsid w:val="00C94D31"/>
    <w:rsid w:val="00D32A9E"/>
    <w:rsid w:val="00D76613"/>
    <w:rsid w:val="00DE075A"/>
    <w:rsid w:val="00DE1A79"/>
    <w:rsid w:val="00DF6602"/>
    <w:rsid w:val="00E722B1"/>
    <w:rsid w:val="00E905C7"/>
    <w:rsid w:val="00EE0B4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B759FE"/>
    <w:rPr>
      <w:rFonts w:ascii="Consolas" w:hAnsi="Consolas" w:cs="Consolas"/>
      <w:sz w:val="21"/>
      <w:szCs w:val="21"/>
    </w:rPr>
  </w:style>
  <w:style w:type="character" w:customStyle="1" w:styleId="TekstzonderopmaakChar">
    <w:name w:val="Tekst zonder opmaak Char"/>
    <w:basedOn w:val="Standaardalinea-lettertype"/>
    <w:link w:val="Tekstzonderopmaak"/>
    <w:rsid w:val="00B759FE"/>
    <w:rPr>
      <w:rFonts w:ascii="Consolas" w:hAnsi="Consolas" w:cs="Consolas"/>
      <w:sz w:val="21"/>
      <w:szCs w:val="21"/>
    </w:rPr>
  </w:style>
  <w:style w:type="character" w:styleId="Voetnootmarkering">
    <w:name w:val="footnote reference"/>
    <w:basedOn w:val="Standaardalinea-lettertype"/>
    <w:rsid w:val="009C6A0F"/>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rsid w:val="00B759FE"/>
    <w:rPr>
      <w:rFonts w:ascii="Consolas" w:hAnsi="Consolas" w:cs="Consolas"/>
      <w:sz w:val="21"/>
      <w:szCs w:val="21"/>
    </w:rPr>
  </w:style>
  <w:style w:type="character" w:customStyle="1" w:styleId="TekstzonderopmaakChar">
    <w:name w:val="Tekst zonder opmaak Char"/>
    <w:basedOn w:val="Standaardalinea-lettertype"/>
    <w:link w:val="Tekstzonderopmaak"/>
    <w:rsid w:val="00B759FE"/>
    <w:rPr>
      <w:rFonts w:ascii="Consolas" w:hAnsi="Consolas" w:cs="Consolas"/>
      <w:sz w:val="21"/>
      <w:szCs w:val="21"/>
    </w:rPr>
  </w:style>
  <w:style w:type="character" w:styleId="Voetnootmarkering">
    <w:name w:val="footnote reference"/>
    <w:basedOn w:val="Standaardalinea-lettertype"/>
    <w:rsid w:val="009C6A0F"/>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723</ap:Words>
  <ap:Characters>3981</ap:Characters>
  <ap:DocSecurity>4</ap:DocSecurity>
  <ap:Lines>33</ap:Lines>
  <ap:Paragraphs>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2019-03-25T07:24:00.0000000Z</lastPrinted>
  <dcterms:created xsi:type="dcterms:W3CDTF">2019-07-19T12:59:00.0000000Z</dcterms:created>
  <dcterms:modified xsi:type="dcterms:W3CDTF">2019-07-19T12:59:00.0000000Z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0x0101003E2ED635D710BD46898F6529F3C9B1E4</vt:lpwstr>
  </property>
</Properties>
</file>