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1E30" w:rsidR="00DD0C6B" w:rsidP="00DD0C6B" w:rsidRDefault="00DD0C6B">
            <w:pPr>
              <w:tabs>
                <w:tab w:val="left" w:pos="-1440"/>
                <w:tab w:val="left" w:pos="-720"/>
              </w:tabs>
              <w:suppressAutoHyphens/>
              <w:rPr>
                <w:rFonts w:ascii="Times New Roman" w:hAnsi="Times New Roman"/>
              </w:rPr>
            </w:pPr>
            <w:r w:rsidRPr="00C11E30">
              <w:rPr>
                <w:rFonts w:ascii="Times New Roman" w:hAnsi="Times New Roman"/>
              </w:rPr>
              <w:t>De Tweede Kamer der Staten-</w:t>
            </w:r>
            <w:r w:rsidRPr="00C11E30">
              <w:rPr>
                <w:rFonts w:ascii="Times New Roman" w:hAnsi="Times New Roman"/>
              </w:rPr>
              <w:fldChar w:fldCharType="begin"/>
            </w:r>
            <w:r w:rsidRPr="00C11E30">
              <w:rPr>
                <w:rFonts w:ascii="Times New Roman" w:hAnsi="Times New Roman"/>
              </w:rPr>
              <w:instrText xml:space="preserve">PRIVATE </w:instrText>
            </w:r>
            <w:r w:rsidRPr="00C11E30">
              <w:rPr>
                <w:rFonts w:ascii="Times New Roman" w:hAnsi="Times New Roman"/>
              </w:rPr>
              <w:fldChar w:fldCharType="end"/>
            </w:r>
          </w:p>
          <w:p w:rsidRPr="00C11E30" w:rsidR="00DD0C6B" w:rsidP="00DD0C6B" w:rsidRDefault="00DD0C6B">
            <w:pPr>
              <w:tabs>
                <w:tab w:val="left" w:pos="-1440"/>
                <w:tab w:val="left" w:pos="-720"/>
              </w:tabs>
              <w:suppressAutoHyphens/>
              <w:rPr>
                <w:rFonts w:ascii="Times New Roman" w:hAnsi="Times New Roman"/>
              </w:rPr>
            </w:pPr>
            <w:r w:rsidRPr="00C11E30">
              <w:rPr>
                <w:rFonts w:ascii="Times New Roman" w:hAnsi="Times New Roman"/>
              </w:rPr>
              <w:t>Generaal zendt bijgaand door</w:t>
            </w:r>
          </w:p>
          <w:p w:rsidRPr="00C11E30" w:rsidR="00DD0C6B" w:rsidP="00DD0C6B" w:rsidRDefault="00DD0C6B">
            <w:pPr>
              <w:tabs>
                <w:tab w:val="left" w:pos="-1440"/>
                <w:tab w:val="left" w:pos="-720"/>
              </w:tabs>
              <w:suppressAutoHyphens/>
              <w:rPr>
                <w:rFonts w:ascii="Times New Roman" w:hAnsi="Times New Roman"/>
              </w:rPr>
            </w:pPr>
            <w:r w:rsidRPr="00C11E30">
              <w:rPr>
                <w:rFonts w:ascii="Times New Roman" w:hAnsi="Times New Roman"/>
              </w:rPr>
              <w:t>haar aangenomen wetsvoorstel</w:t>
            </w:r>
          </w:p>
          <w:p w:rsidRPr="00C11E30" w:rsidR="00DD0C6B" w:rsidP="00DD0C6B" w:rsidRDefault="00DD0C6B">
            <w:pPr>
              <w:tabs>
                <w:tab w:val="left" w:pos="-1440"/>
                <w:tab w:val="left" w:pos="-720"/>
              </w:tabs>
              <w:suppressAutoHyphens/>
              <w:rPr>
                <w:rFonts w:ascii="Times New Roman" w:hAnsi="Times New Roman"/>
              </w:rPr>
            </w:pPr>
            <w:r w:rsidRPr="00C11E30">
              <w:rPr>
                <w:rFonts w:ascii="Times New Roman" w:hAnsi="Times New Roman"/>
              </w:rPr>
              <w:t>aan de Eerste Kamer.</w:t>
            </w: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tabs>
                <w:tab w:val="left" w:pos="-1440"/>
                <w:tab w:val="left" w:pos="-720"/>
              </w:tabs>
              <w:suppressAutoHyphens/>
              <w:rPr>
                <w:rFonts w:ascii="Times New Roman" w:hAnsi="Times New Roman"/>
              </w:rPr>
            </w:pPr>
            <w:r w:rsidRPr="00C11E30">
              <w:rPr>
                <w:rFonts w:ascii="Times New Roman" w:hAnsi="Times New Roman"/>
              </w:rPr>
              <w:t>De Voorzitter,</w:t>
            </w: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tabs>
                <w:tab w:val="left" w:pos="-1440"/>
                <w:tab w:val="left" w:pos="-720"/>
              </w:tabs>
              <w:suppressAutoHyphens/>
              <w:rPr>
                <w:rFonts w:ascii="Times New Roman" w:hAnsi="Times New Roman"/>
              </w:rPr>
            </w:pPr>
          </w:p>
          <w:p w:rsidRPr="00C11E30" w:rsidR="00DD0C6B" w:rsidP="00DD0C6B" w:rsidRDefault="00DD0C6B">
            <w:pPr>
              <w:rPr>
                <w:rFonts w:ascii="Times New Roman" w:hAnsi="Times New Roman"/>
              </w:rPr>
            </w:pPr>
          </w:p>
          <w:p w:rsidRPr="002168F4" w:rsidR="00CB3578" w:rsidP="00DD0C6B" w:rsidRDefault="00DD0C6B">
            <w:pPr>
              <w:pStyle w:val="Amendement"/>
              <w:rPr>
                <w:rFonts w:ascii="Times New Roman" w:hAnsi="Times New Roman" w:cs="Times New Roman"/>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D0C6B" w:rsidTr="00FB3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F6F35" w:rsidR="00DD0C6B" w:rsidP="001E4C33" w:rsidRDefault="00DD0C6B">
            <w:pPr>
              <w:rPr>
                <w:rFonts w:ascii="Times New Roman" w:hAnsi="Times New Roman"/>
                <w:b/>
                <w:sz w:val="24"/>
              </w:rPr>
            </w:pPr>
            <w:r w:rsidRPr="009F6F35">
              <w:rPr>
                <w:rFonts w:ascii="Times New Roman" w:hAnsi="Times New Roman"/>
                <w:b/>
                <w:sz w:val="24"/>
              </w:rPr>
              <w:t>Jaarverslag en slotwet Ministerie van Binnenlandse Zaken en Koninkrijksrelaties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D0C6B" w:rsidTr="00875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D0C6B" w:rsidRDefault="00DD0C6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F110F"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9F6F35"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Wij Willem-Alexander, bij de gratie Gods, Koning der Nederlanden, Prins van Oranje-Nassau, enz. enz. enz.</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iCs/>
          <w:sz w:val="24"/>
          <w:lang w:val="nl"/>
        </w:rPr>
      </w:pPr>
    </w:p>
    <w:p w:rsidRPr="009F6F35"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Allen, die deze zullen zien of horen lezen, saluut! doen te weten:</w:t>
      </w:r>
    </w:p>
    <w:p w:rsidRPr="009F6F35" w:rsidR="009F6F35" w:rsidP="008D731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Alzo Wij in overweging genomen hebben, dat de noodzaak is gebleken van een wijziging van de departementale begrotingsstaat van het Ministerie van Binnen</w:t>
      </w:r>
      <w:r w:rsidR="008D7315">
        <w:rPr>
          <w:rFonts w:ascii="Times New Roman" w:hAnsi="Times New Roman"/>
          <w:iCs/>
          <w:sz w:val="24"/>
          <w:lang w:val="nl"/>
        </w:rPr>
        <w:t>landse Zaken en Koninkrijksrelaties</w:t>
      </w:r>
      <w:r w:rsidR="00494759">
        <w:rPr>
          <w:rFonts w:ascii="Times New Roman" w:hAnsi="Times New Roman"/>
          <w:iCs/>
          <w:sz w:val="24"/>
          <w:lang w:val="nl"/>
        </w:rPr>
        <w:t xml:space="preserve"> </w:t>
      </w:r>
      <w:r w:rsidRPr="009F6F35">
        <w:rPr>
          <w:rFonts w:ascii="Times New Roman" w:hAnsi="Times New Roman"/>
          <w:iCs/>
          <w:sz w:val="24"/>
          <w:lang w:val="nl"/>
        </w:rPr>
        <w:t xml:space="preserve">(VII) en van de begrotingsstaat inzake de agentschappen van dit ministerie, alle voor het jaar 2018; </w:t>
      </w:r>
    </w:p>
    <w:p w:rsidRPr="009F6F35"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Zo is het, dat Wij met gemeen overleg der Staten-Generaal, hebben goedgevonden en verstaan, gelijk Wij goedvinden en verstaan bij deze:</w:t>
      </w:r>
    </w:p>
    <w:p w:rsidR="009F6F35" w:rsidP="009F6F35" w:rsidRDefault="009F6F35">
      <w:pPr>
        <w:overflowPunct w:val="0"/>
        <w:autoSpaceDE w:val="0"/>
        <w:autoSpaceDN w:val="0"/>
        <w:adjustRightInd w:val="0"/>
        <w:spacing w:line="280" w:lineRule="atLeast"/>
        <w:textAlignment w:val="baseline"/>
        <w:rPr>
          <w:rFonts w:ascii="Times New Roman" w:hAnsi="Times New Roman"/>
          <w:iCs/>
          <w:sz w:val="24"/>
          <w:lang w:val="nl"/>
        </w:rPr>
      </w:pPr>
    </w:p>
    <w:p w:rsidRPr="009F6F35" w:rsidR="00A47F80" w:rsidP="009F6F35" w:rsidRDefault="00A47F80">
      <w:pPr>
        <w:overflowPunct w:val="0"/>
        <w:autoSpaceDE w:val="0"/>
        <w:autoSpaceDN w:val="0"/>
        <w:adjustRightInd w:val="0"/>
        <w:spacing w:line="280" w:lineRule="atLeast"/>
        <w:textAlignment w:val="baseline"/>
        <w:rPr>
          <w:rFonts w:ascii="Times New Roman" w:hAnsi="Times New Roman"/>
          <w:iCs/>
          <w:sz w:val="24"/>
          <w:lang w:val="nl"/>
        </w:rPr>
      </w:pPr>
      <w:bookmarkStart w:name="_GoBack" w:id="0"/>
      <w:bookmarkEnd w:id="0"/>
    </w:p>
    <w:p w:rsidR="009F6F35" w:rsidP="009F6F35" w:rsidRDefault="009F6F35">
      <w:pPr>
        <w:overflowPunct w:val="0"/>
        <w:autoSpaceDE w:val="0"/>
        <w:autoSpaceDN w:val="0"/>
        <w:adjustRightInd w:val="0"/>
        <w:spacing w:line="280" w:lineRule="atLeast"/>
        <w:textAlignment w:val="baseline"/>
        <w:rPr>
          <w:rFonts w:ascii="Times New Roman" w:hAnsi="Times New Roman"/>
          <w:b/>
          <w:iCs/>
          <w:sz w:val="24"/>
          <w:lang w:val="nl"/>
        </w:rPr>
      </w:pPr>
      <w:r w:rsidRPr="009F6F35">
        <w:rPr>
          <w:rFonts w:ascii="Times New Roman" w:hAnsi="Times New Roman"/>
          <w:b/>
          <w:iCs/>
          <w:sz w:val="24"/>
          <w:lang w:val="nl"/>
        </w:rPr>
        <w:t>Artikel 1</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b/>
          <w:iCs/>
          <w:sz w:val="24"/>
          <w:lang w:val="nl"/>
        </w:rPr>
      </w:pPr>
    </w:p>
    <w:p w:rsidRPr="009F6F35"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De departementale begrotingsstaat van het Ministerie van Binnenlandse Zaken en Koninkrijksrelaties (VII) voor het jaar 2018 wordt gewijzigd, zoals blijkt uit de desbetreffende bij deze wet behorende staat.</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80" w:lineRule="atLeast"/>
        <w:textAlignment w:val="baseline"/>
        <w:rPr>
          <w:rFonts w:ascii="Times New Roman" w:hAnsi="Times New Roman"/>
          <w:b/>
          <w:iCs/>
          <w:sz w:val="24"/>
          <w:lang w:val="nl"/>
        </w:rPr>
      </w:pPr>
      <w:r w:rsidRPr="009F6F35">
        <w:rPr>
          <w:rFonts w:ascii="Times New Roman" w:hAnsi="Times New Roman"/>
          <w:b/>
          <w:iCs/>
          <w:sz w:val="24"/>
          <w:lang w:val="nl"/>
        </w:rPr>
        <w:t>Artikel 2</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b/>
          <w:iCs/>
          <w:sz w:val="24"/>
          <w:lang w:val="nl"/>
        </w:rPr>
      </w:pPr>
    </w:p>
    <w:p w:rsidRPr="009F6F35"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De begrotingsstaat inzake de agentschappen voor het jaar 2018 wordt gewijzigd, zoals blijkt uit de desbetreffende bij deze wet behorende staat.</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80" w:lineRule="atLeast"/>
        <w:textAlignment w:val="baseline"/>
        <w:rPr>
          <w:rFonts w:ascii="Times New Roman" w:hAnsi="Times New Roman"/>
          <w:b/>
          <w:iCs/>
          <w:sz w:val="24"/>
          <w:lang w:val="nl"/>
        </w:rPr>
      </w:pPr>
      <w:r w:rsidRPr="009F6F35">
        <w:rPr>
          <w:rFonts w:ascii="Times New Roman" w:hAnsi="Times New Roman"/>
          <w:b/>
          <w:iCs/>
          <w:sz w:val="24"/>
          <w:lang w:val="nl"/>
        </w:rPr>
        <w:t>Artikel 3</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b/>
          <w:iCs/>
          <w:sz w:val="24"/>
          <w:lang w:val="nl"/>
        </w:rPr>
      </w:pPr>
    </w:p>
    <w:p w:rsidRPr="009F6F35"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De vaststelling van de begrotingsstaten geschiedt in duizenden euro’s.</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80" w:lineRule="atLeast"/>
        <w:textAlignment w:val="baseline"/>
        <w:rPr>
          <w:rFonts w:ascii="Times New Roman" w:hAnsi="Times New Roman"/>
          <w:b/>
          <w:iCs/>
          <w:sz w:val="24"/>
          <w:lang w:val="nl"/>
        </w:rPr>
      </w:pPr>
      <w:r w:rsidRPr="009F6F35">
        <w:rPr>
          <w:rFonts w:ascii="Times New Roman" w:hAnsi="Times New Roman"/>
          <w:b/>
          <w:iCs/>
          <w:sz w:val="24"/>
          <w:lang w:val="nl"/>
        </w:rPr>
        <w:t>Artikel 4</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b/>
          <w:iCs/>
          <w:sz w:val="24"/>
          <w:lang w:val="nl"/>
        </w:rPr>
      </w:pPr>
    </w:p>
    <w:p w:rsidRPr="009F6F35"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 xml:space="preserve">Deze wet treedt in werking met ingang van de dag na de datum van uitgifte van het Staatsblad waarin zij wordt geplaatst en werkt terug tot en met 31 december van het onderhavige begrotingsjaar. </w:t>
      </w:r>
    </w:p>
    <w:p w:rsidRPr="009F6F35" w:rsidR="009F6F35" w:rsidP="009F6F35" w:rsidRDefault="009F6F35">
      <w:pPr>
        <w:overflowPunct w:val="0"/>
        <w:autoSpaceDE w:val="0"/>
        <w:autoSpaceDN w:val="0"/>
        <w:adjustRightInd w:val="0"/>
        <w:spacing w:line="280" w:lineRule="atLeast"/>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p>
    <w:p w:rsidRPr="009F6F35" w:rsidR="009F6F35" w:rsidP="009F6F35" w:rsidRDefault="009F6F35">
      <w:pPr>
        <w:overflowPunct w:val="0"/>
        <w:autoSpaceDE w:val="0"/>
        <w:autoSpaceDN w:val="0"/>
        <w:adjustRightInd w:val="0"/>
        <w:spacing w:line="280" w:lineRule="atLeast"/>
        <w:ind w:firstLine="284"/>
        <w:textAlignment w:val="baseline"/>
        <w:rPr>
          <w:rFonts w:ascii="Times New Roman" w:hAnsi="Times New Roman"/>
          <w:iCs/>
          <w:sz w:val="24"/>
          <w:lang w:val="nl"/>
        </w:rPr>
      </w:pPr>
      <w:r w:rsidRPr="009F6F35">
        <w:rPr>
          <w:rFonts w:ascii="Times New Roman" w:hAnsi="Times New Roman"/>
          <w:iCs/>
          <w:sz w:val="24"/>
          <w:lang w:val="nl"/>
        </w:rPr>
        <w:t>Lasten en bevelen dat deze in het Staatsblad zal worden geplaatst en dat alle ministeries, autoriteiten, colleges en ambtenaren die zulks aangaat, aan de nauwkeurige uitvoering de hand zullen houden.</w:t>
      </w:r>
    </w:p>
    <w:p w:rsidRPr="009F6F35"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r w:rsidRPr="009F6F35">
        <w:rPr>
          <w:rFonts w:ascii="Times New Roman" w:hAnsi="Times New Roman"/>
          <w:iCs/>
          <w:sz w:val="24"/>
          <w:lang w:val="nl"/>
        </w:rPr>
        <w:t xml:space="preserve">Gegeven </w:t>
      </w: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p>
    <w:p w:rsidR="009F6F35" w:rsidP="009F6F35" w:rsidRDefault="009F6F35">
      <w:pPr>
        <w:overflowPunct w:val="0"/>
        <w:autoSpaceDE w:val="0"/>
        <w:autoSpaceDN w:val="0"/>
        <w:adjustRightInd w:val="0"/>
        <w:spacing w:line="276" w:lineRule="auto"/>
        <w:textAlignment w:val="baseline"/>
        <w:rPr>
          <w:rFonts w:ascii="Times New Roman" w:hAnsi="Times New Roman"/>
          <w:iCs/>
          <w:sz w:val="24"/>
          <w:lang w:val="nl"/>
        </w:rPr>
      </w:pPr>
      <w:r w:rsidRPr="009F6F35">
        <w:rPr>
          <w:rFonts w:ascii="Times New Roman" w:hAnsi="Times New Roman"/>
          <w:iCs/>
          <w:sz w:val="24"/>
          <w:lang w:val="nl"/>
        </w:rPr>
        <w:t>De Minister van Binnenlandse Zaken en Koninkrijksrelaties</w:t>
      </w:r>
      <w:r>
        <w:rPr>
          <w:rFonts w:ascii="Times New Roman" w:hAnsi="Times New Roman"/>
          <w:iCs/>
          <w:sz w:val="24"/>
          <w:lang w:val="nl"/>
        </w:rPr>
        <w:t>,</w:t>
      </w: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p>
    <w:p w:rsidR="00DD0C6B" w:rsidP="00DD0C6B" w:rsidRDefault="00DD0C6B">
      <w:pPr>
        <w:overflowPunct w:val="0"/>
        <w:autoSpaceDE w:val="0"/>
        <w:autoSpaceDN w:val="0"/>
        <w:adjustRightInd w:val="0"/>
        <w:spacing w:line="276" w:lineRule="auto"/>
        <w:textAlignment w:val="baseline"/>
        <w:rPr>
          <w:rFonts w:ascii="Times New Roman" w:hAnsi="Times New Roman"/>
          <w:iCs/>
          <w:sz w:val="24"/>
          <w:lang w:val="nl"/>
        </w:rPr>
      </w:pPr>
      <w:r w:rsidRPr="009F6F35">
        <w:rPr>
          <w:rFonts w:ascii="Times New Roman" w:hAnsi="Times New Roman"/>
          <w:iCs/>
          <w:sz w:val="24"/>
          <w:lang w:val="nl"/>
        </w:rPr>
        <w:t>De Minister van Binnenlandse Zaken en Koninkrijksrelaties</w:t>
      </w:r>
      <w:r>
        <w:rPr>
          <w:rFonts w:ascii="Times New Roman" w:hAnsi="Times New Roman"/>
          <w:iCs/>
          <w:sz w:val="24"/>
          <w:lang w:val="nl"/>
        </w:rPr>
        <w:t>,</w:t>
      </w:r>
    </w:p>
    <w:p w:rsidR="001E4C33" w:rsidP="009F6F35" w:rsidRDefault="001E4C33">
      <w:pPr>
        <w:overflowPunct w:val="0"/>
        <w:autoSpaceDE w:val="0"/>
        <w:autoSpaceDN w:val="0"/>
        <w:adjustRightInd w:val="0"/>
        <w:spacing w:line="276" w:lineRule="auto"/>
        <w:textAlignment w:val="baseline"/>
        <w:rPr>
          <w:rFonts w:ascii="Times New Roman" w:hAnsi="Times New Roman"/>
          <w:iCs/>
          <w:sz w:val="24"/>
          <w:lang w:val="nl"/>
        </w:rPr>
        <w:sectPr w:rsidR="001E4C33" w:rsidSect="001E4C33">
          <w:headerReference w:type="even" r:id="rId7"/>
          <w:headerReference w:type="default" r:id="rId8"/>
          <w:footerReference w:type="even" r:id="rId9"/>
          <w:footerReference w:type="default" r:id="rId10"/>
          <w:headerReference w:type="first" r:id="rId11"/>
          <w:footerReference w:type="first" r:id="rId12"/>
          <w:pgSz w:w="12240" w:h="15840"/>
          <w:pgMar w:top="1418" w:right="1418" w:bottom="1276" w:left="1418" w:header="709" w:footer="709" w:gutter="0"/>
          <w:cols w:space="708"/>
          <w:docGrid w:linePitch="360"/>
        </w:sectPr>
      </w:pPr>
    </w:p>
    <w:p w:rsidRPr="00A47F80" w:rsidR="001E4C33" w:rsidP="001E4C33" w:rsidRDefault="001E4C33">
      <w:pPr>
        <w:pStyle w:val="SlotwetKop1"/>
        <w:rPr>
          <w:rFonts w:ascii="Times New Roman" w:hAnsi="Times New Roman" w:cs="Times New Roman"/>
          <w:sz w:val="20"/>
          <w:szCs w:val="20"/>
          <w:lang w:val="nl-NL"/>
        </w:rPr>
      </w:pPr>
      <w:r w:rsidRPr="00A47F80">
        <w:rPr>
          <w:rFonts w:ascii="Times New Roman" w:hAnsi="Times New Roman" w:cs="Times New Roman"/>
          <w:sz w:val="20"/>
          <w:szCs w:val="20"/>
          <w:lang w:val="nl-NL"/>
        </w:rPr>
        <w:lastRenderedPageBreak/>
        <w:t>Wijziging van de begrotingsstaat van het Ministerie van Binnenlandse Zaken en Koninkrijksrelaties (VII) voor het jaar 2018 (Slotwet) (bedragen x € 1.000)</w:t>
      </w:r>
    </w:p>
    <w:p w:rsidRPr="001E4C33" w:rsidR="001E4C33" w:rsidP="001E4C33" w:rsidRDefault="001E4C33">
      <w:pPr>
        <w:pStyle w:val="Geenafstand"/>
        <w:spacing w:line="276" w:lineRule="auto"/>
        <w:rPr>
          <w:rFonts w:ascii="Times New Roman" w:hAnsi="Times New Roman" w:cs="Times New Roman"/>
          <w:sz w:val="16"/>
          <w:szCs w:val="16"/>
          <w:lang w:val="nl-NL"/>
        </w:rPr>
      </w:pPr>
    </w:p>
    <w:tbl>
      <w:tblPr>
        <w:tblW w:w="14000" w:type="dxa"/>
        <w:tblCellMar>
          <w:left w:w="70" w:type="dxa"/>
          <w:right w:w="70" w:type="dxa"/>
        </w:tblCellMar>
        <w:tblLook w:val="04A0" w:firstRow="1" w:lastRow="0" w:firstColumn="1" w:lastColumn="0" w:noHBand="0" w:noVBand="1"/>
      </w:tblPr>
      <w:tblGrid>
        <w:gridCol w:w="420"/>
        <w:gridCol w:w="3279"/>
        <w:gridCol w:w="1303"/>
        <w:gridCol w:w="847"/>
        <w:gridCol w:w="1150"/>
        <w:gridCol w:w="1453"/>
        <w:gridCol w:w="944"/>
        <w:gridCol w:w="1283"/>
        <w:gridCol w:w="1336"/>
        <w:gridCol w:w="826"/>
        <w:gridCol w:w="1179"/>
      </w:tblGrid>
      <w:tr w:rsidRPr="001E4C33" w:rsidR="001E4C33" w:rsidTr="001E4C33">
        <w:trPr>
          <w:trHeight w:val="240"/>
        </w:trPr>
        <w:tc>
          <w:tcPr>
            <w:tcW w:w="400" w:type="dxa"/>
            <w:tcBorders>
              <w:top w:val="nil"/>
              <w:left w:val="single" w:color="auto" w:sz="4" w:space="0"/>
              <w:bottom w:val="nil"/>
              <w:right w:val="nil"/>
            </w:tcBorders>
            <w:shd w:val="clear" w:color="000000" w:fill="000000"/>
            <w:noWrap/>
            <w:hideMark/>
          </w:tcPr>
          <w:p w:rsidRPr="001E4C33" w:rsidR="001E4C33" w:rsidP="001E4C33" w:rsidRDefault="001E4C33">
            <w:pPr>
              <w:rPr>
                <w:rFonts w:ascii="Times New Roman" w:hAnsi="Times New Roman"/>
                <w:b/>
                <w:bCs/>
                <w:color w:val="FFFFFF"/>
                <w:sz w:val="16"/>
                <w:szCs w:val="16"/>
              </w:rPr>
            </w:pPr>
            <w:bookmarkStart w:name="RANGE!A1:K45" w:id="1"/>
            <w:r w:rsidRPr="001E4C33">
              <w:rPr>
                <w:rFonts w:ascii="Times New Roman" w:hAnsi="Times New Roman"/>
                <w:b/>
                <w:bCs/>
                <w:color w:val="FFFFFF"/>
                <w:sz w:val="16"/>
                <w:szCs w:val="16"/>
              </w:rPr>
              <w:t> </w:t>
            </w:r>
            <w:bookmarkEnd w:id="1"/>
          </w:p>
        </w:tc>
        <w:tc>
          <w:tcPr>
            <w:tcW w:w="3279" w:type="dxa"/>
            <w:tcBorders>
              <w:top w:val="nil"/>
              <w:left w:val="nil"/>
              <w:bottom w:val="nil"/>
              <w:right w:val="nil"/>
            </w:tcBorders>
            <w:shd w:val="clear" w:color="000000" w:fill="000000"/>
            <w:hideMark/>
          </w:tcPr>
          <w:p w:rsidRPr="001E4C33" w:rsidR="001E4C33" w:rsidP="001E4C33" w:rsidRDefault="001E4C33">
            <w:pPr>
              <w:rPr>
                <w:rFonts w:ascii="Times New Roman" w:hAnsi="Times New Roman"/>
                <w:b/>
                <w:bCs/>
                <w:color w:val="FFFFFF"/>
                <w:sz w:val="16"/>
                <w:szCs w:val="16"/>
              </w:rPr>
            </w:pPr>
            <w:r w:rsidRPr="001E4C33">
              <w:rPr>
                <w:rFonts w:ascii="Times New Roman" w:hAnsi="Times New Roman"/>
                <w:b/>
                <w:bCs/>
                <w:color w:val="FFFFFF"/>
                <w:sz w:val="16"/>
                <w:szCs w:val="16"/>
              </w:rPr>
              <w:t> </w:t>
            </w:r>
          </w:p>
        </w:tc>
        <w:tc>
          <w:tcPr>
            <w:tcW w:w="3300" w:type="dxa"/>
            <w:gridSpan w:val="3"/>
            <w:tcBorders>
              <w:top w:val="nil"/>
              <w:left w:val="nil"/>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(1)</w:t>
            </w:r>
          </w:p>
        </w:tc>
        <w:tc>
          <w:tcPr>
            <w:tcW w:w="3680" w:type="dxa"/>
            <w:gridSpan w:val="3"/>
            <w:tcBorders>
              <w:top w:val="nil"/>
              <w:left w:val="nil"/>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(2)</w:t>
            </w:r>
          </w:p>
        </w:tc>
        <w:tc>
          <w:tcPr>
            <w:tcW w:w="3341" w:type="dxa"/>
            <w:gridSpan w:val="3"/>
            <w:tcBorders>
              <w:top w:val="nil"/>
              <w:left w:val="nil"/>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(3)</w:t>
            </w:r>
          </w:p>
        </w:tc>
      </w:tr>
      <w:tr w:rsidRPr="001E4C33" w:rsidR="001E4C33" w:rsidTr="001E4C33">
        <w:trPr>
          <w:trHeight w:val="240"/>
        </w:trPr>
        <w:tc>
          <w:tcPr>
            <w:tcW w:w="400" w:type="dxa"/>
            <w:tcBorders>
              <w:top w:val="nil"/>
              <w:left w:val="single" w:color="auto" w:sz="4" w:space="0"/>
              <w:bottom w:val="nil"/>
              <w:right w:val="nil"/>
            </w:tcBorders>
            <w:shd w:val="clear" w:color="000000" w:fill="000000"/>
            <w:noWrap/>
            <w:hideMark/>
          </w:tcPr>
          <w:p w:rsidRPr="001E4C33" w:rsidR="001E4C33" w:rsidP="001E4C33" w:rsidRDefault="001E4C33">
            <w:pPr>
              <w:rPr>
                <w:rFonts w:ascii="Times New Roman" w:hAnsi="Times New Roman"/>
                <w:b/>
                <w:bCs/>
                <w:color w:val="FFFFFF"/>
                <w:sz w:val="16"/>
                <w:szCs w:val="16"/>
              </w:rPr>
            </w:pPr>
            <w:r w:rsidRPr="001E4C33">
              <w:rPr>
                <w:rFonts w:ascii="Times New Roman" w:hAnsi="Times New Roman"/>
                <w:b/>
                <w:bCs/>
                <w:color w:val="FFFFFF"/>
                <w:sz w:val="16"/>
                <w:szCs w:val="16"/>
              </w:rPr>
              <w:t>Art.</w:t>
            </w:r>
          </w:p>
        </w:tc>
        <w:tc>
          <w:tcPr>
            <w:tcW w:w="3279" w:type="dxa"/>
            <w:tcBorders>
              <w:top w:val="nil"/>
              <w:left w:val="nil"/>
              <w:bottom w:val="nil"/>
              <w:right w:val="nil"/>
            </w:tcBorders>
            <w:shd w:val="clear" w:color="000000" w:fill="000000"/>
            <w:hideMark/>
          </w:tcPr>
          <w:p w:rsidRPr="001E4C33" w:rsidR="001E4C33" w:rsidP="001E4C33" w:rsidRDefault="001E4C33">
            <w:pPr>
              <w:rPr>
                <w:rFonts w:ascii="Times New Roman" w:hAnsi="Times New Roman"/>
                <w:b/>
                <w:bCs/>
                <w:color w:val="FFFFFF"/>
                <w:sz w:val="16"/>
                <w:szCs w:val="16"/>
              </w:rPr>
            </w:pPr>
            <w:r w:rsidRPr="001E4C33">
              <w:rPr>
                <w:rFonts w:ascii="Times New Roman" w:hAnsi="Times New Roman"/>
                <w:b/>
                <w:bCs/>
                <w:color w:val="FFFFFF"/>
                <w:sz w:val="16"/>
                <w:szCs w:val="16"/>
              </w:rPr>
              <w:t>Omschrijving</w:t>
            </w:r>
          </w:p>
        </w:tc>
        <w:tc>
          <w:tcPr>
            <w:tcW w:w="3300" w:type="dxa"/>
            <w:gridSpan w:val="3"/>
            <w:tcBorders>
              <w:top w:val="nil"/>
              <w:left w:val="nil"/>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Vastgestelde begroting</w:t>
            </w:r>
          </w:p>
        </w:tc>
        <w:tc>
          <w:tcPr>
            <w:tcW w:w="3680" w:type="dxa"/>
            <w:gridSpan w:val="3"/>
            <w:tcBorders>
              <w:top w:val="nil"/>
              <w:left w:val="nil"/>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Mutaties 1e suppletoire begroting</w:t>
            </w:r>
          </w:p>
        </w:tc>
        <w:tc>
          <w:tcPr>
            <w:tcW w:w="3341" w:type="dxa"/>
            <w:gridSpan w:val="3"/>
            <w:tcBorders>
              <w:top w:val="nil"/>
              <w:left w:val="nil"/>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Mutaties 2e suppletoire begroting</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Verplichtingen</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Uitgaven</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Ontvangsten</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Verplichtingen</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Uitgaven</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Ontvangsten</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Verplichtingen</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Uitgaven</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Ontvangsten</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b/>
                <w:bCs/>
                <w:color w:val="000000"/>
                <w:sz w:val="16"/>
                <w:szCs w:val="16"/>
              </w:rPr>
            </w:pPr>
            <w:r w:rsidRPr="001E4C33">
              <w:rPr>
                <w:rFonts w:ascii="Times New Roman" w:hAnsi="Times New Roman"/>
                <w:b/>
                <w:bCs/>
                <w:color w:val="000000"/>
                <w:sz w:val="16"/>
                <w:szCs w:val="16"/>
              </w:rPr>
              <w:t>Totaal</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5.244.722</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5.455.381</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668.894</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320.460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319.925</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140.974</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524.422</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359.274</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649.658</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b/>
                <w:bCs/>
                <w:color w:val="000000"/>
                <w:sz w:val="16"/>
                <w:szCs w:val="16"/>
              </w:rPr>
            </w:pPr>
            <w:r w:rsidRPr="001E4C33">
              <w:rPr>
                <w:rFonts w:ascii="Times New Roman" w:hAnsi="Times New Roman"/>
                <w:b/>
                <w:bCs/>
                <w:color w:val="000000"/>
                <w:sz w:val="16"/>
                <w:szCs w:val="16"/>
              </w:rPr>
              <w:t>Beleidsartikelen</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b/>
                <w:bCs/>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Openbaar bestuur en democratie</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28.920</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28.920</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21.965</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22.862</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22.862</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-13.237</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-13.237</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2.758</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Algemene Inlichtingen en Veiligheidsdienst</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249.167</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249.167</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12.714</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3.556</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3.556</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500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12.158</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12.158</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xml:space="preserve"> Woningmarkt</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4.157.089</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4.157.089</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487.000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-35.260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-35.260</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5.100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564.068</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564.035</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577.140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Woonomgeving en bouw</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52.486</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247.486</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91</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109.731</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109.731</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-30.786</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-185.786</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950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Ruimte en omgeving</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91.576</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107.235</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8.824</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29.721</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29.721</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-25.391</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-36.041</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2.000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Dienstverlenende en innovatieve overheid</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148.520</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148.520</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513</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36.401</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35.866</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6.661</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9.841</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10.376</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10.710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7</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Arbeidszaken overheid</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27.317</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27.317</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575</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1.000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1.000</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-682</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-682</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8</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Kwaliteit Rijksdienst</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19.535</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19.535</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48.566</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48.566</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36.500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9.376</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9.376</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Uitvoering Rijksvastgoedbeleid</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111.579</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111.579</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121.932</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5.810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5.810</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52.194</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5.026</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5.026</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50.216</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b/>
                <w:bCs/>
                <w:color w:val="000000"/>
                <w:sz w:val="16"/>
                <w:szCs w:val="16"/>
              </w:rPr>
            </w:pPr>
            <w:r w:rsidRPr="001E4C33">
              <w:rPr>
                <w:rFonts w:ascii="Times New Roman" w:hAnsi="Times New Roman"/>
                <w:b/>
                <w:bCs/>
                <w:color w:val="000000"/>
                <w:sz w:val="16"/>
                <w:szCs w:val="16"/>
              </w:rPr>
              <w:t>Niet beleidsartikelen</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b/>
                <w:bCs/>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Centraal apparaat</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342.156</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342.156</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15.280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78.366</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78.366</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39.129</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17.945</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17.945</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Algemeen</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10.265</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10.265</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2.140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2.140</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890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-217</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-217</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5.884</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13</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Nominaal en onvoorzien</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6.112</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6.112</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17.567</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17.567</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-23.679</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-23.679</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14</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VUT-fonds</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000000" w:fill="000000"/>
            <w:noWrap/>
            <w:hideMark/>
          </w:tcPr>
          <w:p w:rsidRPr="001E4C33" w:rsidR="001E4C33" w:rsidP="001E4C33" w:rsidRDefault="001E4C33">
            <w:pPr>
              <w:rPr>
                <w:rFonts w:ascii="Times New Roman" w:hAnsi="Times New Roman"/>
                <w:b/>
                <w:bCs/>
                <w:color w:val="FFFFFF"/>
                <w:sz w:val="16"/>
                <w:szCs w:val="16"/>
              </w:rPr>
            </w:pPr>
            <w:r w:rsidRPr="001E4C33">
              <w:rPr>
                <w:rFonts w:ascii="Times New Roman" w:hAnsi="Times New Roman"/>
                <w:b/>
                <w:bCs/>
                <w:color w:val="FFFFFF"/>
                <w:sz w:val="16"/>
                <w:szCs w:val="16"/>
              </w:rPr>
              <w:t> </w:t>
            </w:r>
          </w:p>
        </w:tc>
        <w:tc>
          <w:tcPr>
            <w:tcW w:w="3279" w:type="dxa"/>
            <w:tcBorders>
              <w:top w:val="nil"/>
              <w:left w:val="nil"/>
              <w:bottom w:val="nil"/>
              <w:right w:val="nil"/>
            </w:tcBorders>
            <w:shd w:val="clear" w:color="000000" w:fill="000000"/>
            <w:hideMark/>
          </w:tcPr>
          <w:p w:rsidRPr="001E4C33" w:rsidR="001E4C33" w:rsidP="001E4C33" w:rsidRDefault="001E4C33">
            <w:pPr>
              <w:rPr>
                <w:rFonts w:ascii="Times New Roman" w:hAnsi="Times New Roman"/>
                <w:b/>
                <w:bCs/>
                <w:color w:val="FFFFFF"/>
                <w:sz w:val="16"/>
                <w:szCs w:val="16"/>
              </w:rPr>
            </w:pPr>
            <w:r w:rsidRPr="001E4C33">
              <w:rPr>
                <w:rFonts w:ascii="Times New Roman" w:hAnsi="Times New Roman"/>
                <w:b/>
                <w:bCs/>
                <w:color w:val="FFFFFF"/>
                <w:sz w:val="16"/>
                <w:szCs w:val="16"/>
              </w:rPr>
              <w:t> </w:t>
            </w:r>
          </w:p>
        </w:tc>
        <w:tc>
          <w:tcPr>
            <w:tcW w:w="3300" w:type="dxa"/>
            <w:gridSpan w:val="3"/>
            <w:tcBorders>
              <w:top w:val="nil"/>
              <w:left w:val="single" w:color="auto" w:sz="4" w:space="0"/>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Totaal geraamd (4)=(1)+(2)+(3)</w:t>
            </w:r>
          </w:p>
        </w:tc>
        <w:tc>
          <w:tcPr>
            <w:tcW w:w="3680" w:type="dxa"/>
            <w:gridSpan w:val="3"/>
            <w:tcBorders>
              <w:top w:val="nil"/>
              <w:left w:val="nil"/>
              <w:bottom w:val="nil"/>
              <w:right w:val="nil"/>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(5)</w:t>
            </w:r>
          </w:p>
        </w:tc>
        <w:tc>
          <w:tcPr>
            <w:tcW w:w="3341" w:type="dxa"/>
            <w:gridSpan w:val="3"/>
            <w:tcBorders>
              <w:top w:val="nil"/>
              <w:left w:val="nil"/>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Slotverschillen (6)=(5)-(4)</w:t>
            </w:r>
          </w:p>
        </w:tc>
      </w:tr>
      <w:tr w:rsidRPr="001E4C33" w:rsidR="001E4C33" w:rsidTr="001E4C33">
        <w:trPr>
          <w:trHeight w:val="240"/>
        </w:trPr>
        <w:tc>
          <w:tcPr>
            <w:tcW w:w="400" w:type="dxa"/>
            <w:tcBorders>
              <w:top w:val="nil"/>
              <w:left w:val="single" w:color="auto" w:sz="4" w:space="0"/>
              <w:bottom w:val="nil"/>
              <w:right w:val="nil"/>
            </w:tcBorders>
            <w:shd w:val="clear" w:color="000000" w:fill="000000"/>
            <w:noWrap/>
            <w:hideMark/>
          </w:tcPr>
          <w:p w:rsidRPr="001E4C33" w:rsidR="001E4C33" w:rsidP="001E4C33" w:rsidRDefault="001E4C33">
            <w:pPr>
              <w:rPr>
                <w:rFonts w:ascii="Times New Roman" w:hAnsi="Times New Roman"/>
                <w:b/>
                <w:bCs/>
                <w:color w:val="FFFFFF"/>
                <w:sz w:val="16"/>
                <w:szCs w:val="16"/>
              </w:rPr>
            </w:pPr>
            <w:r w:rsidRPr="001E4C33">
              <w:rPr>
                <w:rFonts w:ascii="Times New Roman" w:hAnsi="Times New Roman"/>
                <w:b/>
                <w:bCs/>
                <w:color w:val="FFFFFF"/>
                <w:sz w:val="16"/>
                <w:szCs w:val="16"/>
              </w:rPr>
              <w:t>Art.</w:t>
            </w:r>
          </w:p>
        </w:tc>
        <w:tc>
          <w:tcPr>
            <w:tcW w:w="3279" w:type="dxa"/>
            <w:tcBorders>
              <w:top w:val="nil"/>
              <w:left w:val="nil"/>
              <w:bottom w:val="nil"/>
              <w:right w:val="nil"/>
            </w:tcBorders>
            <w:shd w:val="clear" w:color="000000" w:fill="000000"/>
            <w:hideMark/>
          </w:tcPr>
          <w:p w:rsidRPr="001E4C33" w:rsidR="001E4C33" w:rsidP="001E4C33" w:rsidRDefault="001E4C33">
            <w:pPr>
              <w:rPr>
                <w:rFonts w:ascii="Times New Roman" w:hAnsi="Times New Roman"/>
                <w:b/>
                <w:bCs/>
                <w:color w:val="FFFFFF"/>
                <w:sz w:val="16"/>
                <w:szCs w:val="16"/>
              </w:rPr>
            </w:pPr>
            <w:r w:rsidRPr="001E4C33">
              <w:rPr>
                <w:rFonts w:ascii="Times New Roman" w:hAnsi="Times New Roman"/>
                <w:b/>
                <w:bCs/>
                <w:color w:val="FFFFFF"/>
                <w:sz w:val="16"/>
                <w:szCs w:val="16"/>
              </w:rPr>
              <w:t>Omschrijving</w:t>
            </w:r>
          </w:p>
        </w:tc>
        <w:tc>
          <w:tcPr>
            <w:tcW w:w="3300" w:type="dxa"/>
            <w:gridSpan w:val="3"/>
            <w:tcBorders>
              <w:top w:val="nil"/>
              <w:left w:val="single" w:color="auto" w:sz="4" w:space="0"/>
              <w:bottom w:val="nil"/>
              <w:right w:val="nil"/>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 </w:t>
            </w:r>
          </w:p>
        </w:tc>
        <w:tc>
          <w:tcPr>
            <w:tcW w:w="3680" w:type="dxa"/>
            <w:gridSpan w:val="3"/>
            <w:tcBorders>
              <w:top w:val="nil"/>
              <w:left w:val="nil"/>
              <w:bottom w:val="nil"/>
              <w:right w:val="nil"/>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Realisatie</w:t>
            </w:r>
          </w:p>
        </w:tc>
        <w:tc>
          <w:tcPr>
            <w:tcW w:w="3341" w:type="dxa"/>
            <w:gridSpan w:val="3"/>
            <w:tcBorders>
              <w:top w:val="nil"/>
              <w:left w:val="nil"/>
              <w:bottom w:val="nil"/>
              <w:right w:val="single" w:color="000000" w:sz="4" w:space="0"/>
            </w:tcBorders>
            <w:shd w:val="clear" w:color="000000" w:fill="000000"/>
            <w:noWrap/>
            <w:hideMark/>
          </w:tcPr>
          <w:p w:rsidRPr="001E4C33" w:rsidR="001E4C33" w:rsidP="001E4C33" w:rsidRDefault="001E4C33">
            <w:pPr>
              <w:jc w:val="center"/>
              <w:rPr>
                <w:rFonts w:ascii="Times New Roman" w:hAnsi="Times New Roman"/>
                <w:b/>
                <w:bCs/>
                <w:color w:val="FFFFFF"/>
                <w:sz w:val="16"/>
                <w:szCs w:val="16"/>
              </w:rPr>
            </w:pPr>
            <w:r w:rsidRPr="001E4C33">
              <w:rPr>
                <w:rFonts w:ascii="Times New Roman" w:hAnsi="Times New Roman"/>
                <w:b/>
                <w:bCs/>
                <w:color w:val="FFFFFF"/>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336"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Verplichtingen</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Uitgaven</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Ontvangsten</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Verplichtingen</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Uitgaven</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Ontvangsten</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Verplichtingen</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Uitgaven</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Ontvangsten</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b/>
                <w:bCs/>
                <w:color w:val="000000"/>
                <w:sz w:val="16"/>
                <w:szCs w:val="16"/>
              </w:rPr>
            </w:pPr>
            <w:r w:rsidRPr="001E4C33">
              <w:rPr>
                <w:rFonts w:ascii="Times New Roman" w:hAnsi="Times New Roman"/>
                <w:b/>
                <w:bCs/>
                <w:color w:val="000000"/>
                <w:sz w:val="16"/>
                <w:szCs w:val="16"/>
              </w:rPr>
              <w:t>Totaal</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6.089.604</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6.134.580</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1.459.526</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6.007.089</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5.951.401</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1.343.470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-82.515</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-183.179</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b/>
                <w:bCs/>
                <w:color w:val="000000"/>
                <w:sz w:val="16"/>
                <w:szCs w:val="16"/>
              </w:rPr>
            </w:pPr>
            <w:r w:rsidRPr="001E4C33">
              <w:rPr>
                <w:rFonts w:ascii="Times New Roman" w:hAnsi="Times New Roman"/>
                <w:b/>
                <w:bCs/>
                <w:color w:val="000000"/>
                <w:sz w:val="16"/>
                <w:szCs w:val="16"/>
              </w:rPr>
              <w:t>-116.056</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b/>
                <w:bCs/>
                <w:color w:val="000000"/>
                <w:sz w:val="16"/>
                <w:szCs w:val="16"/>
              </w:rPr>
            </w:pPr>
            <w:r w:rsidRPr="001E4C33">
              <w:rPr>
                <w:rFonts w:ascii="Times New Roman" w:hAnsi="Times New Roman"/>
                <w:b/>
                <w:bCs/>
                <w:color w:val="000000"/>
                <w:sz w:val="16"/>
                <w:szCs w:val="16"/>
              </w:rPr>
              <w:t>Beleidsartikelen</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b/>
                <w:bCs/>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Openbaar bestuur en democratie</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38.545</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38.545</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24.723</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40.314</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37.196</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25.025</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1.769</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-1.349</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302</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Algemene Inlichtingen en Veiligheidsdienst</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264.881</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264.881</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13.214</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260.757</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265.091</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16.233</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-4.124</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210</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3.019</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xml:space="preserve"> Woningmarkt</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4.685.897</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4.685.864</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1.069.240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4.511.926</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4.518.316</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957.719</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-173.971</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-167.548</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-111.521</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Woonomgeving en bouw</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131.431</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171.431</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1.041</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231.354</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176.053</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470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99.923</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4.622</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-571</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Ruimte en omgeving</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95.906</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100.915</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10.824</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113.283</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107.456</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11.065</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17.377</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6.541</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241</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Dienstverlenende en innovatieve overheid</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194.762</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194.762</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17.884</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188.839</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188.841</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18.911</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-5.923</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-5.921</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1.027</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lastRenderedPageBreak/>
              <w:t>7</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Arbeidszaken overheid</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27.635</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27.635</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575</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27.379</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26.403</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1.432</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-256</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-1.232</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857</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8</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Kwaliteit Rijksdienst</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77.477</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77.477</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36.500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78.884</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74.031</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37.074</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1.407</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-3.446</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574</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Uitvoering Rijksvastgoedbeleid</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122.415</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122.415</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224.342</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115.700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117.433</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224.364</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-6.715</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-4.982</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22</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 </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b/>
                <w:bCs/>
                <w:color w:val="000000"/>
                <w:sz w:val="16"/>
                <w:szCs w:val="16"/>
              </w:rPr>
            </w:pPr>
            <w:r w:rsidRPr="001E4C33">
              <w:rPr>
                <w:rFonts w:ascii="Times New Roman" w:hAnsi="Times New Roman"/>
                <w:b/>
                <w:bCs/>
                <w:color w:val="000000"/>
                <w:sz w:val="16"/>
                <w:szCs w:val="16"/>
              </w:rPr>
              <w:t>Niet beleidsartikelen</w:t>
            </w:r>
          </w:p>
        </w:tc>
        <w:tc>
          <w:tcPr>
            <w:tcW w:w="130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b/>
                <w:bCs/>
                <w:color w:val="000000"/>
                <w:sz w:val="16"/>
                <w:szCs w:val="16"/>
              </w:rPr>
            </w:pPr>
          </w:p>
        </w:tc>
        <w:tc>
          <w:tcPr>
            <w:tcW w:w="847"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453"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944"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c>
          <w:tcPr>
            <w:tcW w:w="133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color w:val="000000"/>
                <w:sz w:val="16"/>
                <w:szCs w:val="16"/>
              </w:rPr>
            </w:pPr>
          </w:p>
        </w:tc>
        <w:tc>
          <w:tcPr>
            <w:tcW w:w="826" w:type="dxa"/>
            <w:tcBorders>
              <w:top w:val="nil"/>
              <w:left w:val="nil"/>
              <w:bottom w:val="nil"/>
              <w:right w:val="nil"/>
            </w:tcBorders>
            <w:shd w:val="clear" w:color="auto" w:fill="auto"/>
            <w:noWrap/>
            <w:hideMark/>
          </w:tcPr>
          <w:p w:rsidRPr="001E4C33" w:rsidR="001E4C33" w:rsidP="001E4C33" w:rsidRDefault="001E4C33">
            <w:pPr>
              <w:rPr>
                <w:rFonts w:ascii="Times New Roman" w:hAnsi="Times New Roman"/>
                <w:sz w:val="16"/>
                <w:szCs w:val="16"/>
              </w:rPr>
            </w:pP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 </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11</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Centraal apparaat</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438.467</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438.467</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54.409</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431.675</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433.319</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45.253</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-6.792</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-5.148</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-9.156</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Algemeen</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12.188</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12.188</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6.774</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6.978</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7.262</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5.924</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-5.210</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-4.926</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-850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vAlign w:val="bottom"/>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13</w:t>
            </w:r>
          </w:p>
        </w:tc>
        <w:tc>
          <w:tcPr>
            <w:tcW w:w="3279" w:type="dxa"/>
            <w:tcBorders>
              <w:top w:val="nil"/>
              <w:left w:val="nil"/>
              <w:bottom w:val="nil"/>
              <w:right w:val="single" w:color="auto" w:sz="4" w:space="0"/>
            </w:tcBorders>
            <w:shd w:val="clear" w:color="auto" w:fill="auto"/>
            <w:vAlign w:val="bottom"/>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Nominaal en onvoorzien</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r>
      <w:tr w:rsidRPr="001E4C33" w:rsidR="001E4C33" w:rsidTr="001E4C33">
        <w:trPr>
          <w:trHeight w:val="240"/>
        </w:trPr>
        <w:tc>
          <w:tcPr>
            <w:tcW w:w="400" w:type="dxa"/>
            <w:tcBorders>
              <w:top w:val="nil"/>
              <w:left w:val="single" w:color="auto" w:sz="4" w:space="0"/>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14</w:t>
            </w:r>
          </w:p>
        </w:tc>
        <w:tc>
          <w:tcPr>
            <w:tcW w:w="3279" w:type="dxa"/>
            <w:tcBorders>
              <w:top w:val="nil"/>
              <w:left w:val="nil"/>
              <w:bottom w:val="nil"/>
              <w:right w:val="single" w:color="auto" w:sz="4" w:space="0"/>
            </w:tcBorders>
            <w:shd w:val="clear" w:color="auto" w:fill="auto"/>
            <w:hideMark/>
          </w:tcPr>
          <w:p w:rsidRPr="001E4C33" w:rsidR="001E4C33" w:rsidP="001E4C33" w:rsidRDefault="001E4C33">
            <w:pPr>
              <w:rPr>
                <w:rFonts w:ascii="Times New Roman" w:hAnsi="Times New Roman"/>
                <w:color w:val="000000"/>
                <w:sz w:val="16"/>
                <w:szCs w:val="16"/>
              </w:rPr>
            </w:pPr>
            <w:r w:rsidRPr="001E4C33">
              <w:rPr>
                <w:rFonts w:ascii="Times New Roman" w:hAnsi="Times New Roman"/>
                <w:color w:val="000000"/>
                <w:sz w:val="16"/>
                <w:szCs w:val="16"/>
              </w:rPr>
              <w:t>VUT-fonds</w:t>
            </w:r>
          </w:p>
        </w:tc>
        <w:tc>
          <w:tcPr>
            <w:tcW w:w="130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847"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150"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453"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944"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283"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33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826" w:type="dxa"/>
            <w:tcBorders>
              <w:top w:val="nil"/>
              <w:left w:val="nil"/>
              <w:bottom w:val="nil"/>
              <w:right w:val="nil"/>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c>
          <w:tcPr>
            <w:tcW w:w="1179" w:type="dxa"/>
            <w:tcBorders>
              <w:top w:val="nil"/>
              <w:left w:val="nil"/>
              <w:bottom w:val="nil"/>
              <w:right w:val="single" w:color="auto" w:sz="4" w:space="0"/>
            </w:tcBorders>
            <w:shd w:val="clear" w:color="auto" w:fill="auto"/>
            <w:noWrap/>
            <w:hideMark/>
          </w:tcPr>
          <w:p w:rsidRPr="001E4C33" w:rsidR="001E4C33" w:rsidP="001E4C33" w:rsidRDefault="001E4C33">
            <w:pPr>
              <w:jc w:val="right"/>
              <w:rPr>
                <w:rFonts w:ascii="Times New Roman" w:hAnsi="Times New Roman"/>
                <w:color w:val="000000"/>
                <w:sz w:val="16"/>
                <w:szCs w:val="16"/>
              </w:rPr>
            </w:pPr>
            <w:r w:rsidRPr="001E4C33">
              <w:rPr>
                <w:rFonts w:ascii="Times New Roman" w:hAnsi="Times New Roman"/>
                <w:color w:val="000000"/>
                <w:sz w:val="16"/>
                <w:szCs w:val="16"/>
              </w:rPr>
              <w:t>0</w:t>
            </w:r>
          </w:p>
        </w:tc>
      </w:tr>
    </w:tbl>
    <w:p w:rsidR="001E4C33" w:rsidP="001E4C33" w:rsidRDefault="001E4C33">
      <w:pPr>
        <w:spacing w:line="276" w:lineRule="auto"/>
        <w:rPr>
          <w:rFonts w:ascii="Times New Roman" w:hAnsi="Times New Roman"/>
          <w:sz w:val="16"/>
          <w:szCs w:val="16"/>
        </w:rPr>
      </w:pPr>
    </w:p>
    <w:p w:rsidR="007054D0" w:rsidP="001E4C33" w:rsidRDefault="007054D0">
      <w:pPr>
        <w:spacing w:line="276" w:lineRule="auto"/>
        <w:rPr>
          <w:rFonts w:ascii="Times New Roman" w:hAnsi="Times New Roman"/>
          <w:sz w:val="16"/>
          <w:szCs w:val="16"/>
        </w:rPr>
      </w:pPr>
    </w:p>
    <w:p w:rsidRPr="00A47F80" w:rsidR="007054D0" w:rsidP="007054D0" w:rsidRDefault="007054D0">
      <w:pPr>
        <w:pStyle w:val="SlotwetKop1"/>
        <w:rPr>
          <w:rFonts w:ascii="Times New Roman" w:hAnsi="Times New Roman" w:cs="Times New Roman"/>
          <w:sz w:val="20"/>
          <w:szCs w:val="20"/>
          <w:lang w:val="nl-NL"/>
        </w:rPr>
      </w:pPr>
      <w:r w:rsidRPr="00A47F80">
        <w:rPr>
          <w:rFonts w:ascii="Times New Roman" w:hAnsi="Times New Roman" w:cs="Times New Roman"/>
          <w:sz w:val="20"/>
          <w:szCs w:val="20"/>
          <w:lang w:val="nl-NL"/>
        </w:rPr>
        <w:t>Wijziging van de begrotingsstaten van de agentschappen van het Ministerie van Binnenlandse Zaken en Koninkrijksrelaties (VII) voor het jaar 2018 (Slotwet) (bedragen x € 1.000)</w:t>
      </w:r>
    </w:p>
    <w:p w:rsidRPr="007054D0" w:rsidR="007054D0" w:rsidP="007054D0" w:rsidRDefault="007054D0">
      <w:pPr>
        <w:pStyle w:val="Geenafstand"/>
        <w:spacing w:line="276" w:lineRule="auto"/>
        <w:rPr>
          <w:rFonts w:ascii="Times New Roman" w:hAnsi="Times New Roman" w:cs="Times New Roman"/>
          <w:b/>
          <w:sz w:val="16"/>
          <w:szCs w:val="16"/>
          <w:lang w:val="nl-NL"/>
        </w:rPr>
      </w:pPr>
    </w:p>
    <w:tbl>
      <w:tblPr>
        <w:tblW w:w="5000" w:type="pct"/>
        <w:tblCellMar>
          <w:left w:w="70" w:type="dxa"/>
          <w:right w:w="70" w:type="dxa"/>
        </w:tblCellMar>
        <w:tblLook w:val="04A0" w:firstRow="1" w:lastRow="0" w:firstColumn="1" w:lastColumn="0" w:noHBand="0" w:noVBand="1"/>
      </w:tblPr>
      <w:tblGrid>
        <w:gridCol w:w="3048"/>
        <w:gridCol w:w="1698"/>
        <w:gridCol w:w="1698"/>
        <w:gridCol w:w="1698"/>
        <w:gridCol w:w="1698"/>
        <w:gridCol w:w="1698"/>
        <w:gridCol w:w="1748"/>
      </w:tblGrid>
      <w:tr w:rsidRPr="007054D0" w:rsidR="007054D0" w:rsidTr="003C3336">
        <w:trPr>
          <w:trHeight w:val="255"/>
        </w:trPr>
        <w:tc>
          <w:tcPr>
            <w:tcW w:w="1147" w:type="pct"/>
            <w:tcBorders>
              <w:top w:val="nil"/>
              <w:left w:val="nil"/>
              <w:bottom w:val="single" w:color="auto" w:sz="8" w:space="0"/>
              <w:right w:val="nil"/>
            </w:tcBorders>
            <w:shd w:val="clear" w:color="000000" w:fill="000000"/>
            <w:noWrap/>
            <w:vAlign w:val="bottom"/>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 </w:t>
            </w:r>
          </w:p>
        </w:tc>
        <w:tc>
          <w:tcPr>
            <w:tcW w:w="639" w:type="pct"/>
            <w:tcBorders>
              <w:top w:val="nil"/>
              <w:left w:val="nil"/>
              <w:bottom w:val="single" w:color="auto" w:sz="8" w:space="0"/>
              <w:right w:val="nil"/>
            </w:tcBorders>
            <w:shd w:val="clear" w:color="000000" w:fill="000000"/>
            <w:noWrap/>
            <w:vAlign w:val="bottom"/>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(1)</w:t>
            </w:r>
          </w:p>
        </w:tc>
        <w:tc>
          <w:tcPr>
            <w:tcW w:w="639" w:type="pct"/>
            <w:tcBorders>
              <w:top w:val="nil"/>
              <w:left w:val="nil"/>
              <w:bottom w:val="single" w:color="auto" w:sz="8" w:space="0"/>
              <w:right w:val="nil"/>
            </w:tcBorders>
            <w:shd w:val="clear" w:color="000000" w:fill="000000"/>
            <w:noWrap/>
            <w:vAlign w:val="bottom"/>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(2)</w:t>
            </w:r>
          </w:p>
        </w:tc>
        <w:tc>
          <w:tcPr>
            <w:tcW w:w="639" w:type="pct"/>
            <w:tcBorders>
              <w:top w:val="nil"/>
              <w:left w:val="nil"/>
              <w:bottom w:val="single" w:color="auto" w:sz="8" w:space="0"/>
              <w:right w:val="nil"/>
            </w:tcBorders>
            <w:shd w:val="clear" w:color="000000" w:fill="000000"/>
            <w:noWrap/>
            <w:vAlign w:val="bottom"/>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(3)</w:t>
            </w:r>
          </w:p>
        </w:tc>
        <w:tc>
          <w:tcPr>
            <w:tcW w:w="639" w:type="pct"/>
            <w:tcBorders>
              <w:top w:val="nil"/>
              <w:left w:val="nil"/>
              <w:bottom w:val="single" w:color="auto" w:sz="8" w:space="0"/>
              <w:right w:val="nil"/>
            </w:tcBorders>
            <w:shd w:val="clear" w:color="000000" w:fill="000000"/>
            <w:noWrap/>
            <w:vAlign w:val="bottom"/>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(4)=(1)+(2)+(3)</w:t>
            </w:r>
          </w:p>
        </w:tc>
        <w:tc>
          <w:tcPr>
            <w:tcW w:w="639" w:type="pct"/>
            <w:tcBorders>
              <w:top w:val="nil"/>
              <w:left w:val="nil"/>
              <w:bottom w:val="single" w:color="auto" w:sz="8" w:space="0"/>
              <w:right w:val="nil"/>
            </w:tcBorders>
            <w:shd w:val="clear" w:color="000000" w:fill="000000"/>
            <w:noWrap/>
            <w:vAlign w:val="bottom"/>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(5)</w:t>
            </w:r>
          </w:p>
        </w:tc>
        <w:tc>
          <w:tcPr>
            <w:tcW w:w="660" w:type="pct"/>
            <w:tcBorders>
              <w:top w:val="nil"/>
              <w:left w:val="nil"/>
              <w:bottom w:val="single" w:color="auto" w:sz="8" w:space="0"/>
              <w:right w:val="nil"/>
            </w:tcBorders>
            <w:shd w:val="clear" w:color="000000" w:fill="000000"/>
            <w:noWrap/>
            <w:vAlign w:val="bottom"/>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(6)=(5)-(4)</w:t>
            </w:r>
          </w:p>
        </w:tc>
      </w:tr>
      <w:tr w:rsidRPr="007054D0" w:rsidR="007054D0" w:rsidTr="003C3336">
        <w:trPr>
          <w:trHeight w:val="1245"/>
        </w:trPr>
        <w:tc>
          <w:tcPr>
            <w:tcW w:w="1147" w:type="pct"/>
            <w:tcBorders>
              <w:top w:val="nil"/>
              <w:left w:val="nil"/>
              <w:bottom w:val="single" w:color="auto" w:sz="8" w:space="0"/>
              <w:right w:val="nil"/>
            </w:tcBorders>
            <w:shd w:val="clear" w:color="000000" w:fill="000000"/>
            <w:hideMark/>
          </w:tcPr>
          <w:p w:rsidRPr="007054D0" w:rsidR="007054D0" w:rsidP="003C3336" w:rsidRDefault="007054D0">
            <w:pPr>
              <w:rPr>
                <w:rFonts w:ascii="Times New Roman" w:hAnsi="Times New Roman"/>
                <w:b/>
                <w:bCs/>
                <w:color w:val="FFFFFF"/>
                <w:sz w:val="16"/>
                <w:szCs w:val="16"/>
              </w:rPr>
            </w:pPr>
            <w:r w:rsidRPr="007054D0">
              <w:rPr>
                <w:rFonts w:ascii="Times New Roman" w:hAnsi="Times New Roman"/>
                <w:b/>
                <w:bCs/>
                <w:color w:val="FFFFFF"/>
                <w:sz w:val="16"/>
                <w:szCs w:val="16"/>
              </w:rPr>
              <w:t>Baten-lastenagentschap</w:t>
            </w:r>
          </w:p>
        </w:tc>
        <w:tc>
          <w:tcPr>
            <w:tcW w:w="639" w:type="pct"/>
            <w:tcBorders>
              <w:top w:val="nil"/>
              <w:left w:val="nil"/>
              <w:bottom w:val="single" w:color="auto" w:sz="8" w:space="0"/>
              <w:right w:val="nil"/>
            </w:tcBorders>
            <w:shd w:val="clear" w:color="000000" w:fill="000000"/>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 xml:space="preserve"> Vastgestelde begroting </w:t>
            </w:r>
          </w:p>
        </w:tc>
        <w:tc>
          <w:tcPr>
            <w:tcW w:w="639" w:type="pct"/>
            <w:tcBorders>
              <w:top w:val="nil"/>
              <w:left w:val="nil"/>
              <w:bottom w:val="single" w:color="auto" w:sz="8" w:space="0"/>
              <w:right w:val="nil"/>
            </w:tcBorders>
            <w:shd w:val="clear" w:color="000000" w:fill="000000"/>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Mutaties (+ of -) 1e suppletoire begroting</w:t>
            </w:r>
          </w:p>
        </w:tc>
        <w:tc>
          <w:tcPr>
            <w:tcW w:w="639" w:type="pct"/>
            <w:tcBorders>
              <w:top w:val="nil"/>
              <w:left w:val="nil"/>
              <w:bottom w:val="single" w:color="auto" w:sz="8" w:space="0"/>
              <w:right w:val="nil"/>
            </w:tcBorders>
            <w:shd w:val="clear" w:color="000000" w:fill="000000"/>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Mutaties (+ of -) 2e suppletoire begroting</w:t>
            </w:r>
          </w:p>
        </w:tc>
        <w:tc>
          <w:tcPr>
            <w:tcW w:w="639" w:type="pct"/>
            <w:tcBorders>
              <w:top w:val="nil"/>
              <w:left w:val="nil"/>
              <w:bottom w:val="single" w:color="auto" w:sz="8" w:space="0"/>
              <w:right w:val="nil"/>
            </w:tcBorders>
            <w:shd w:val="clear" w:color="000000" w:fill="000000"/>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Totaal geraamd</w:t>
            </w:r>
          </w:p>
        </w:tc>
        <w:tc>
          <w:tcPr>
            <w:tcW w:w="639" w:type="pct"/>
            <w:tcBorders>
              <w:top w:val="nil"/>
              <w:left w:val="nil"/>
              <w:bottom w:val="single" w:color="auto" w:sz="8" w:space="0"/>
              <w:right w:val="nil"/>
            </w:tcBorders>
            <w:shd w:val="clear" w:color="000000" w:fill="000000"/>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Realisatie</w:t>
            </w:r>
          </w:p>
        </w:tc>
        <w:tc>
          <w:tcPr>
            <w:tcW w:w="660" w:type="pct"/>
            <w:tcBorders>
              <w:top w:val="nil"/>
              <w:left w:val="nil"/>
              <w:bottom w:val="single" w:color="auto" w:sz="8" w:space="0"/>
              <w:right w:val="nil"/>
            </w:tcBorders>
            <w:shd w:val="clear" w:color="000000" w:fill="000000"/>
            <w:hideMark/>
          </w:tcPr>
          <w:p w:rsidRPr="007054D0" w:rsidR="007054D0" w:rsidP="003C3336" w:rsidRDefault="007054D0">
            <w:pPr>
              <w:jc w:val="right"/>
              <w:rPr>
                <w:rFonts w:ascii="Times New Roman" w:hAnsi="Times New Roman"/>
                <w:b/>
                <w:bCs/>
                <w:color w:val="FFFFFF"/>
                <w:sz w:val="16"/>
                <w:szCs w:val="16"/>
              </w:rPr>
            </w:pPr>
            <w:r w:rsidRPr="007054D0">
              <w:rPr>
                <w:rFonts w:ascii="Times New Roman" w:hAnsi="Times New Roman"/>
                <w:b/>
                <w:bCs/>
                <w:color w:val="FFFFFF"/>
                <w:sz w:val="16"/>
                <w:szCs w:val="16"/>
              </w:rPr>
              <w:t>Slotwetmutaties (+of-) (+=tekortschietend t.o.v. geraamd bedrag)</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color w:val="FFFFFF"/>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r w:rsidRPr="007054D0">
              <w:rPr>
                <w:rFonts w:ascii="Times New Roman" w:hAnsi="Times New Roman"/>
                <w:i/>
                <w:iCs/>
                <w:sz w:val="16"/>
                <w:szCs w:val="16"/>
              </w:rPr>
              <w:t>Rijksdienst voor identiteitsgegevens</w:t>
            </w: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baten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124.918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124.918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146.241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21.323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124.918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124.918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138.361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13.443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b/>
                <w:bCs/>
                <w:sz w:val="16"/>
                <w:szCs w:val="16"/>
              </w:rPr>
            </w:pPr>
            <w:r w:rsidRPr="007054D0">
              <w:rPr>
                <w:rFonts w:ascii="Times New Roman" w:hAnsi="Times New Roman"/>
                <w:b/>
                <w:bCs/>
                <w:sz w:val="16"/>
                <w:szCs w:val="16"/>
              </w:rPr>
              <w:t>Saldo van baten en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7.880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7.880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kapitaalontvangsten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7.000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7.000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-7.000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kapitaaluitgaven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12.433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12.433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1.281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-11.152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proofErr w:type="spellStart"/>
            <w:r w:rsidRPr="007054D0">
              <w:rPr>
                <w:rFonts w:ascii="Times New Roman" w:hAnsi="Times New Roman"/>
                <w:i/>
                <w:iCs/>
                <w:sz w:val="16"/>
                <w:szCs w:val="16"/>
              </w:rPr>
              <w:t>Logius</w:t>
            </w:r>
            <w:proofErr w:type="spellEnd"/>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baten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206.331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206.331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179.029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-27.302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206.331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206.331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177.611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-28.720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b/>
                <w:bCs/>
                <w:sz w:val="16"/>
                <w:szCs w:val="16"/>
              </w:rPr>
            </w:pPr>
            <w:r w:rsidRPr="007054D0">
              <w:rPr>
                <w:rFonts w:ascii="Times New Roman" w:hAnsi="Times New Roman"/>
                <w:b/>
                <w:bCs/>
                <w:sz w:val="16"/>
                <w:szCs w:val="16"/>
              </w:rPr>
              <w:t>Saldo van baten en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1.418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1.418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kapitaalontvangsten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kapitaaluitgaven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400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400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410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r w:rsidRPr="007054D0">
              <w:rPr>
                <w:rFonts w:ascii="Times New Roman" w:hAnsi="Times New Roman"/>
                <w:i/>
                <w:iCs/>
                <w:sz w:val="16"/>
                <w:szCs w:val="16"/>
              </w:rPr>
              <w:t>P-</w:t>
            </w:r>
            <w:proofErr w:type="spellStart"/>
            <w:r w:rsidRPr="007054D0">
              <w:rPr>
                <w:rFonts w:ascii="Times New Roman" w:hAnsi="Times New Roman"/>
                <w:i/>
                <w:iCs/>
                <w:sz w:val="16"/>
                <w:szCs w:val="16"/>
              </w:rPr>
              <w:t>Direkt</w:t>
            </w:r>
            <w:proofErr w:type="spellEnd"/>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baten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91.069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91.069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93.170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2.101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91.069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91.069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93.164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2.095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b/>
                <w:bCs/>
                <w:sz w:val="16"/>
                <w:szCs w:val="16"/>
              </w:rPr>
            </w:pPr>
            <w:r w:rsidRPr="007054D0">
              <w:rPr>
                <w:rFonts w:ascii="Times New Roman" w:hAnsi="Times New Roman"/>
                <w:b/>
                <w:bCs/>
                <w:sz w:val="16"/>
                <w:szCs w:val="16"/>
              </w:rPr>
              <w:lastRenderedPageBreak/>
              <w:t>Saldo van baten en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6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6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kapitaalontvangsten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8.000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8.000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-8.000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kapitaaluitgaven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19.982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19.982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15.666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-4.316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42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r w:rsidRPr="007054D0">
              <w:rPr>
                <w:rFonts w:ascii="Times New Roman" w:hAnsi="Times New Roman"/>
                <w:i/>
                <w:iCs/>
                <w:sz w:val="16"/>
                <w:szCs w:val="16"/>
              </w:rPr>
              <w:t>Uitvoeringsorganisatie Bedrijfsvoering Rijk</w:t>
            </w: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baten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204.631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17.540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222.171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238.861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16.690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204.631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17.540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222.171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238.647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16.476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b/>
                <w:bCs/>
                <w:sz w:val="16"/>
                <w:szCs w:val="16"/>
              </w:rPr>
            </w:pPr>
            <w:r w:rsidRPr="007054D0">
              <w:rPr>
                <w:rFonts w:ascii="Times New Roman" w:hAnsi="Times New Roman"/>
                <w:b/>
                <w:bCs/>
                <w:sz w:val="16"/>
                <w:szCs w:val="16"/>
              </w:rPr>
              <w:t>Saldo van baten en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214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214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kapitaalontvangsten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2.927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2.927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3.611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684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kapitaaluitgaven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1.527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1.527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1.465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-62 </w:t>
            </w:r>
          </w:p>
        </w:tc>
      </w:tr>
      <w:tr w:rsidRPr="007054D0" w:rsidR="007054D0" w:rsidTr="003C3336">
        <w:trPr>
          <w:trHeight w:val="210"/>
        </w:trPr>
        <w:tc>
          <w:tcPr>
            <w:tcW w:w="1147" w:type="pct"/>
            <w:tcBorders>
              <w:top w:val="nil"/>
              <w:left w:val="nil"/>
              <w:bottom w:val="nil"/>
              <w:right w:val="nil"/>
            </w:tcBorders>
            <w:shd w:val="clear" w:color="auto" w:fill="auto"/>
            <w:noWrap/>
            <w:vAlign w:val="bottom"/>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60"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proofErr w:type="spellStart"/>
            <w:r w:rsidRPr="007054D0">
              <w:rPr>
                <w:rFonts w:ascii="Times New Roman" w:hAnsi="Times New Roman"/>
                <w:i/>
                <w:iCs/>
                <w:sz w:val="16"/>
                <w:szCs w:val="16"/>
              </w:rPr>
              <w:t>FMHaaglanden</w:t>
            </w:r>
            <w:proofErr w:type="spellEnd"/>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baten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106.452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10.534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116.986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127.999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11.013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106.452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10.534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116.986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124.325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7.339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b/>
                <w:bCs/>
                <w:sz w:val="16"/>
                <w:szCs w:val="16"/>
              </w:rPr>
            </w:pPr>
            <w:r w:rsidRPr="007054D0">
              <w:rPr>
                <w:rFonts w:ascii="Times New Roman" w:hAnsi="Times New Roman"/>
                <w:b/>
                <w:bCs/>
                <w:sz w:val="16"/>
                <w:szCs w:val="16"/>
              </w:rPr>
              <w:t>Saldo van baten en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3.674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3.674 </w:t>
            </w:r>
          </w:p>
        </w:tc>
      </w:tr>
      <w:tr w:rsidRPr="007054D0" w:rsidR="007054D0" w:rsidTr="003C3336">
        <w:trPr>
          <w:trHeight w:val="210"/>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kapitaalontvangsten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4.200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6.840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11.040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4.373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-6.667 </w:t>
            </w: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kapitaaluitgaven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8.106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8.891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16.997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9.239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-7.758 </w:t>
            </w: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r w:rsidRPr="007054D0">
              <w:rPr>
                <w:rFonts w:ascii="Times New Roman" w:hAnsi="Times New Roman"/>
                <w:i/>
                <w:iCs/>
                <w:sz w:val="16"/>
                <w:szCs w:val="16"/>
              </w:rPr>
              <w:t>SSC ICT</w:t>
            </w: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baten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258.681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458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259.139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260.401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1.262 </w:t>
            </w: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258.681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24.955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283.636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285.373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1.737 </w:t>
            </w: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b/>
                <w:bCs/>
                <w:sz w:val="16"/>
                <w:szCs w:val="16"/>
              </w:rPr>
            </w:pPr>
            <w:r w:rsidRPr="007054D0">
              <w:rPr>
                <w:rFonts w:ascii="Times New Roman" w:hAnsi="Times New Roman"/>
                <w:b/>
                <w:bCs/>
                <w:sz w:val="16"/>
                <w:szCs w:val="16"/>
              </w:rPr>
              <w:t>Saldo van baten en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-24.497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-24.497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-24.972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-475 </w:t>
            </w: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kapitaalontvangsten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30.000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60.804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90.804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80.923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-9.881 </w:t>
            </w: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kapitaaluitgaven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85.331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28.500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113.831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107.620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-6.211 </w:t>
            </w:r>
          </w:p>
        </w:tc>
      </w:tr>
      <w:tr w:rsidRPr="007054D0" w:rsidR="007054D0" w:rsidTr="003C3336">
        <w:trPr>
          <w:trHeight w:val="25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4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r w:rsidRPr="007054D0">
              <w:rPr>
                <w:rFonts w:ascii="Times New Roman" w:hAnsi="Times New Roman"/>
                <w:i/>
                <w:iCs/>
                <w:sz w:val="16"/>
                <w:szCs w:val="16"/>
              </w:rPr>
              <w:t>Rijksvastgoedbedrijf</w:t>
            </w: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i/>
                <w:iCs/>
                <w:sz w:val="16"/>
                <w:szCs w:val="16"/>
              </w:rPr>
            </w:pPr>
            <w:r w:rsidRPr="007054D0">
              <w:rPr>
                <w:rFonts w:ascii="Times New Roman" w:hAnsi="Times New Roman"/>
                <w:i/>
                <w:iCs/>
                <w:sz w:val="16"/>
                <w:szCs w:val="16"/>
              </w:rPr>
              <w:t xml:space="preserve"> </w:t>
            </w: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baten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1.312.800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-131.936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1.180.864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1.267.839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86.975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1.312.800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-131.936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1.180.864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1.256.669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75.805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b/>
                <w:bCs/>
                <w:sz w:val="16"/>
                <w:szCs w:val="16"/>
              </w:rPr>
            </w:pPr>
            <w:r w:rsidRPr="007054D0">
              <w:rPr>
                <w:rFonts w:ascii="Times New Roman" w:hAnsi="Times New Roman"/>
                <w:b/>
                <w:bCs/>
                <w:sz w:val="16"/>
                <w:szCs w:val="16"/>
              </w:rPr>
              <w:t>Saldo van baten en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11.170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11.170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kapitaalontvangsten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575.775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278.000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853.775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723.653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-130.122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kapitaaluitgaven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771.043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312.486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1.083.529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1.082.787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-742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40"/>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i/>
                <w:iCs/>
                <w:sz w:val="16"/>
                <w:szCs w:val="16"/>
              </w:rPr>
            </w:pPr>
            <w:r w:rsidRPr="007054D0">
              <w:rPr>
                <w:rFonts w:ascii="Times New Roman" w:hAnsi="Times New Roman"/>
                <w:i/>
                <w:iCs/>
                <w:sz w:val="16"/>
                <w:szCs w:val="16"/>
              </w:rPr>
              <w:t>Dienst van de Huurcommissie</w:t>
            </w: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i/>
                <w:iCs/>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noWrap/>
            <w:vAlign w:val="bottom"/>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baten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13.214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13.214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10.320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-2.894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13.214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3.725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16.939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14.630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-2.309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b/>
                <w:bCs/>
                <w:sz w:val="16"/>
                <w:szCs w:val="16"/>
              </w:rPr>
            </w:pPr>
            <w:r w:rsidRPr="007054D0">
              <w:rPr>
                <w:rFonts w:ascii="Times New Roman" w:hAnsi="Times New Roman"/>
                <w:b/>
                <w:bCs/>
                <w:sz w:val="16"/>
                <w:szCs w:val="16"/>
              </w:rPr>
              <w:lastRenderedPageBreak/>
              <w:t>Saldo van baten en lasten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-3.725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-3.725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-4.310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r w:rsidRPr="007054D0">
              <w:rPr>
                <w:rFonts w:ascii="Times New Roman" w:hAnsi="Times New Roman"/>
                <w:b/>
                <w:bCs/>
                <w:sz w:val="16"/>
                <w:szCs w:val="16"/>
              </w:rPr>
              <w:t xml:space="preserve">-585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b/>
                <w:bCs/>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kapitaalontvangsten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3.725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3.725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6.884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3.159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Totale kapitaaluitgaven</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r w:rsidRPr="007054D0">
              <w:rPr>
                <w:rFonts w:ascii="Times New Roman" w:hAnsi="Times New Roman"/>
                <w:sz w:val="16"/>
                <w:szCs w:val="16"/>
              </w:rPr>
              <w:t xml:space="preserve">0 </w:t>
            </w:r>
          </w:p>
        </w:tc>
      </w:tr>
      <w:tr w:rsidRPr="007054D0" w:rsidR="007054D0" w:rsidTr="003C3336">
        <w:trPr>
          <w:trHeight w:val="225"/>
        </w:trPr>
        <w:tc>
          <w:tcPr>
            <w:tcW w:w="1147"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39"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c>
          <w:tcPr>
            <w:tcW w:w="660" w:type="pct"/>
            <w:tcBorders>
              <w:top w:val="nil"/>
              <w:left w:val="nil"/>
              <w:bottom w:val="nil"/>
              <w:right w:val="nil"/>
            </w:tcBorders>
            <w:shd w:val="clear" w:color="auto" w:fill="auto"/>
            <w:hideMark/>
          </w:tcPr>
          <w:p w:rsidRPr="007054D0" w:rsidR="007054D0" w:rsidP="003C3336" w:rsidRDefault="007054D0">
            <w:pPr>
              <w:jc w:val="right"/>
              <w:rPr>
                <w:rFonts w:ascii="Times New Roman" w:hAnsi="Times New Roman"/>
                <w:sz w:val="16"/>
                <w:szCs w:val="16"/>
              </w:rPr>
            </w:pPr>
          </w:p>
        </w:tc>
      </w:tr>
      <w:tr w:rsidRPr="007054D0" w:rsidR="007054D0" w:rsidTr="003C3336">
        <w:trPr>
          <w:trHeight w:val="270"/>
        </w:trPr>
        <w:tc>
          <w:tcPr>
            <w:tcW w:w="1147" w:type="pct"/>
            <w:tcBorders>
              <w:top w:val="nil"/>
              <w:left w:val="nil"/>
              <w:bottom w:val="single" w:color="auto" w:sz="8" w:space="0"/>
              <w:right w:val="nil"/>
            </w:tcBorders>
            <w:shd w:val="clear" w:color="auto" w:fill="auto"/>
            <w:noWrap/>
            <w:vAlign w:val="bottom"/>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 </w:t>
            </w:r>
          </w:p>
        </w:tc>
        <w:tc>
          <w:tcPr>
            <w:tcW w:w="639" w:type="pct"/>
            <w:tcBorders>
              <w:top w:val="nil"/>
              <w:left w:val="nil"/>
              <w:bottom w:val="single" w:color="auto" w:sz="8" w:space="0"/>
              <w:right w:val="nil"/>
            </w:tcBorders>
            <w:shd w:val="clear" w:color="auto" w:fill="auto"/>
            <w:noWrap/>
            <w:vAlign w:val="bottom"/>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 </w:t>
            </w:r>
          </w:p>
        </w:tc>
        <w:tc>
          <w:tcPr>
            <w:tcW w:w="639" w:type="pct"/>
            <w:tcBorders>
              <w:top w:val="nil"/>
              <w:left w:val="nil"/>
              <w:bottom w:val="single" w:color="auto" w:sz="8" w:space="0"/>
              <w:right w:val="nil"/>
            </w:tcBorders>
            <w:shd w:val="clear" w:color="auto" w:fill="auto"/>
            <w:noWrap/>
            <w:vAlign w:val="bottom"/>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 </w:t>
            </w:r>
          </w:p>
        </w:tc>
        <w:tc>
          <w:tcPr>
            <w:tcW w:w="639" w:type="pct"/>
            <w:tcBorders>
              <w:top w:val="nil"/>
              <w:left w:val="nil"/>
              <w:bottom w:val="single" w:color="auto" w:sz="8" w:space="0"/>
              <w:right w:val="nil"/>
            </w:tcBorders>
            <w:shd w:val="clear" w:color="auto" w:fill="auto"/>
            <w:noWrap/>
            <w:vAlign w:val="bottom"/>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 </w:t>
            </w:r>
          </w:p>
        </w:tc>
        <w:tc>
          <w:tcPr>
            <w:tcW w:w="639" w:type="pct"/>
            <w:tcBorders>
              <w:top w:val="nil"/>
              <w:left w:val="nil"/>
              <w:bottom w:val="single" w:color="auto" w:sz="8" w:space="0"/>
              <w:right w:val="nil"/>
            </w:tcBorders>
            <w:shd w:val="clear" w:color="auto" w:fill="auto"/>
            <w:noWrap/>
            <w:vAlign w:val="bottom"/>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 </w:t>
            </w:r>
          </w:p>
        </w:tc>
        <w:tc>
          <w:tcPr>
            <w:tcW w:w="639" w:type="pct"/>
            <w:tcBorders>
              <w:top w:val="nil"/>
              <w:left w:val="nil"/>
              <w:bottom w:val="single" w:color="auto" w:sz="8" w:space="0"/>
              <w:right w:val="nil"/>
            </w:tcBorders>
            <w:shd w:val="clear" w:color="auto" w:fill="auto"/>
            <w:noWrap/>
            <w:vAlign w:val="bottom"/>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 </w:t>
            </w:r>
          </w:p>
        </w:tc>
        <w:tc>
          <w:tcPr>
            <w:tcW w:w="660" w:type="pct"/>
            <w:tcBorders>
              <w:top w:val="nil"/>
              <w:left w:val="nil"/>
              <w:bottom w:val="single" w:color="auto" w:sz="8" w:space="0"/>
              <w:right w:val="nil"/>
            </w:tcBorders>
            <w:shd w:val="clear" w:color="auto" w:fill="auto"/>
            <w:noWrap/>
            <w:vAlign w:val="bottom"/>
            <w:hideMark/>
          </w:tcPr>
          <w:p w:rsidRPr="007054D0" w:rsidR="007054D0" w:rsidP="003C3336" w:rsidRDefault="007054D0">
            <w:pPr>
              <w:rPr>
                <w:rFonts w:ascii="Times New Roman" w:hAnsi="Times New Roman"/>
                <w:sz w:val="16"/>
                <w:szCs w:val="16"/>
              </w:rPr>
            </w:pPr>
            <w:r w:rsidRPr="007054D0">
              <w:rPr>
                <w:rFonts w:ascii="Times New Roman" w:hAnsi="Times New Roman"/>
                <w:sz w:val="16"/>
                <w:szCs w:val="16"/>
              </w:rPr>
              <w:t> </w:t>
            </w:r>
          </w:p>
        </w:tc>
      </w:tr>
    </w:tbl>
    <w:p w:rsidRPr="007054D0" w:rsidR="007054D0" w:rsidP="007054D0" w:rsidRDefault="007054D0">
      <w:pPr>
        <w:spacing w:line="276" w:lineRule="auto"/>
        <w:rPr>
          <w:rFonts w:ascii="Times New Roman" w:hAnsi="Times New Roman"/>
          <w:sz w:val="16"/>
          <w:szCs w:val="16"/>
        </w:rPr>
        <w:sectPr w:rsidRPr="007054D0" w:rsidR="007054D0" w:rsidSect="00FD1F0C">
          <w:pgSz w:w="15840" w:h="12240" w:orient="landscape"/>
          <w:pgMar w:top="1418" w:right="1418" w:bottom="1418" w:left="1276" w:header="709" w:footer="709" w:gutter="0"/>
          <w:cols w:space="708"/>
          <w:docGrid w:linePitch="360"/>
        </w:sectPr>
      </w:pPr>
    </w:p>
    <w:p w:rsidRPr="00056D1B" w:rsidR="007054D0" w:rsidP="007054D0" w:rsidRDefault="007054D0">
      <w:pPr>
        <w:pStyle w:val="SlotwetKop1"/>
      </w:pPr>
    </w:p>
    <w:p w:rsidRPr="001E4C33" w:rsidR="007054D0" w:rsidP="001E4C33" w:rsidRDefault="007054D0">
      <w:pPr>
        <w:spacing w:line="276" w:lineRule="auto"/>
        <w:rPr>
          <w:rFonts w:ascii="Times New Roman" w:hAnsi="Times New Roman"/>
          <w:sz w:val="16"/>
          <w:szCs w:val="16"/>
        </w:rPr>
        <w:sectPr w:rsidRPr="001E4C33" w:rsidR="007054D0" w:rsidSect="001E4C33">
          <w:pgSz w:w="15840" w:h="12240" w:orient="landscape"/>
          <w:pgMar w:top="1418" w:right="1418" w:bottom="1418" w:left="1276" w:header="709" w:footer="709" w:gutter="0"/>
          <w:cols w:space="708"/>
          <w:docGrid w:linePitch="360"/>
        </w:sectPr>
      </w:pPr>
    </w:p>
    <w:p w:rsidRPr="001E4C33" w:rsidR="00446EC4" w:rsidP="009F6F35" w:rsidRDefault="00446EC4">
      <w:pPr>
        <w:overflowPunct w:val="0"/>
        <w:autoSpaceDE w:val="0"/>
        <w:autoSpaceDN w:val="0"/>
        <w:adjustRightInd w:val="0"/>
        <w:spacing w:line="276" w:lineRule="auto"/>
        <w:textAlignment w:val="baseline"/>
        <w:rPr>
          <w:rFonts w:ascii="Times New Roman" w:hAnsi="Times New Roman"/>
          <w:iCs/>
          <w:sz w:val="16"/>
          <w:szCs w:val="16"/>
          <w:lang w:val="nl"/>
        </w:rPr>
      </w:pPr>
    </w:p>
    <w:p w:rsidRPr="001E4C33" w:rsidR="00446EC4" w:rsidP="009F6F35" w:rsidRDefault="00446EC4">
      <w:pPr>
        <w:overflowPunct w:val="0"/>
        <w:autoSpaceDE w:val="0"/>
        <w:autoSpaceDN w:val="0"/>
        <w:adjustRightInd w:val="0"/>
        <w:spacing w:line="276" w:lineRule="auto"/>
        <w:textAlignment w:val="baseline"/>
        <w:rPr>
          <w:rFonts w:ascii="Times New Roman" w:hAnsi="Times New Roman"/>
          <w:iCs/>
          <w:sz w:val="16"/>
          <w:szCs w:val="16"/>
          <w:lang w:val="nl"/>
        </w:rPr>
      </w:pPr>
    </w:p>
    <w:p w:rsidRPr="001E4C33" w:rsidR="00446EC4" w:rsidP="009F6F35" w:rsidRDefault="00446EC4">
      <w:pPr>
        <w:overflowPunct w:val="0"/>
        <w:autoSpaceDE w:val="0"/>
        <w:autoSpaceDN w:val="0"/>
        <w:adjustRightInd w:val="0"/>
        <w:spacing w:line="276" w:lineRule="auto"/>
        <w:textAlignment w:val="baseline"/>
        <w:rPr>
          <w:rFonts w:ascii="Times New Roman" w:hAnsi="Times New Roman"/>
          <w:iCs/>
          <w:sz w:val="16"/>
          <w:szCs w:val="16"/>
          <w:lang w:val="nl"/>
        </w:rPr>
      </w:pPr>
    </w:p>
    <w:p w:rsidRPr="001E4C33" w:rsidR="00446EC4" w:rsidP="009F6F35" w:rsidRDefault="00446EC4">
      <w:pPr>
        <w:overflowPunct w:val="0"/>
        <w:autoSpaceDE w:val="0"/>
        <w:autoSpaceDN w:val="0"/>
        <w:adjustRightInd w:val="0"/>
        <w:spacing w:line="276" w:lineRule="auto"/>
        <w:textAlignment w:val="baseline"/>
        <w:rPr>
          <w:rFonts w:ascii="Times New Roman" w:hAnsi="Times New Roman"/>
          <w:iCs/>
          <w:sz w:val="16"/>
          <w:szCs w:val="16"/>
          <w:lang w:val="nl"/>
        </w:rPr>
      </w:pPr>
    </w:p>
    <w:p w:rsidRPr="001E4C33" w:rsidR="00446EC4" w:rsidP="009F6F35" w:rsidRDefault="00446EC4">
      <w:pPr>
        <w:overflowPunct w:val="0"/>
        <w:autoSpaceDE w:val="0"/>
        <w:autoSpaceDN w:val="0"/>
        <w:adjustRightInd w:val="0"/>
        <w:spacing w:line="276" w:lineRule="auto"/>
        <w:textAlignment w:val="baseline"/>
        <w:rPr>
          <w:rFonts w:ascii="Times New Roman" w:hAnsi="Times New Roman"/>
          <w:iCs/>
          <w:sz w:val="16"/>
          <w:szCs w:val="16"/>
          <w:lang w:val="nl"/>
        </w:rPr>
      </w:pPr>
    </w:p>
    <w:p w:rsidRPr="001E4C33" w:rsidR="00446EC4" w:rsidP="009F6F35" w:rsidRDefault="00446EC4">
      <w:pPr>
        <w:overflowPunct w:val="0"/>
        <w:autoSpaceDE w:val="0"/>
        <w:autoSpaceDN w:val="0"/>
        <w:adjustRightInd w:val="0"/>
        <w:spacing w:line="276" w:lineRule="auto"/>
        <w:textAlignment w:val="baseline"/>
        <w:rPr>
          <w:rFonts w:ascii="Times New Roman" w:hAnsi="Times New Roman"/>
          <w:iCs/>
          <w:sz w:val="16"/>
          <w:szCs w:val="16"/>
          <w:lang w:val="nl"/>
        </w:rPr>
      </w:pPr>
    </w:p>
    <w:p w:rsidRPr="001E4C33" w:rsidR="00446EC4" w:rsidP="009F6F35" w:rsidRDefault="00446EC4">
      <w:pPr>
        <w:overflowPunct w:val="0"/>
        <w:autoSpaceDE w:val="0"/>
        <w:autoSpaceDN w:val="0"/>
        <w:adjustRightInd w:val="0"/>
        <w:spacing w:line="276" w:lineRule="auto"/>
        <w:textAlignment w:val="baseline"/>
        <w:rPr>
          <w:rFonts w:ascii="Times New Roman" w:hAnsi="Times New Roman"/>
          <w:iCs/>
          <w:sz w:val="16"/>
          <w:szCs w:val="16"/>
          <w:lang w:val="nl"/>
        </w:rPr>
      </w:pPr>
    </w:p>
    <w:p w:rsidRPr="001E4C33" w:rsidR="00446EC4" w:rsidP="009F6F35" w:rsidRDefault="00446EC4">
      <w:pPr>
        <w:overflowPunct w:val="0"/>
        <w:autoSpaceDE w:val="0"/>
        <w:autoSpaceDN w:val="0"/>
        <w:adjustRightInd w:val="0"/>
        <w:spacing w:line="276" w:lineRule="auto"/>
        <w:textAlignment w:val="baseline"/>
        <w:rPr>
          <w:rFonts w:ascii="Times New Roman" w:hAnsi="Times New Roman"/>
          <w:iCs/>
          <w:sz w:val="16"/>
          <w:szCs w:val="16"/>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pPr>
    </w:p>
    <w:p w:rsidRPr="009F6F35" w:rsidR="00446EC4" w:rsidP="009F6F35" w:rsidRDefault="00446EC4">
      <w:pPr>
        <w:overflowPunct w:val="0"/>
        <w:autoSpaceDE w:val="0"/>
        <w:autoSpaceDN w:val="0"/>
        <w:adjustRightInd w:val="0"/>
        <w:spacing w:line="276" w:lineRule="auto"/>
        <w:textAlignment w:val="baseline"/>
        <w:rPr>
          <w:rFonts w:ascii="Times New Roman" w:hAnsi="Times New Roman"/>
          <w:iCs/>
          <w:sz w:val="24"/>
          <w:lang w:val="nl"/>
        </w:rPr>
        <w:sectPr w:rsidRPr="009F6F35" w:rsidR="00446EC4" w:rsidSect="001E4C33">
          <w:pgSz w:w="12240" w:h="15840"/>
          <w:pgMar w:top="1418" w:right="1418" w:bottom="1276" w:left="1418" w:header="709" w:footer="709" w:gutter="0"/>
          <w:cols w:space="708"/>
          <w:docGrid w:linePitch="360"/>
        </w:sectPr>
      </w:pPr>
    </w:p>
    <w:p w:rsidRPr="002168F4" w:rsidR="009F6F35" w:rsidP="00A11E73" w:rsidRDefault="009F6F35">
      <w:pPr>
        <w:tabs>
          <w:tab w:val="left" w:pos="284"/>
          <w:tab w:val="left" w:pos="567"/>
          <w:tab w:val="left" w:pos="851"/>
        </w:tabs>
        <w:ind w:right="1848"/>
        <w:rPr>
          <w:rFonts w:ascii="Times New Roman" w:hAnsi="Times New Roman"/>
          <w:sz w:val="24"/>
          <w:szCs w:val="20"/>
        </w:rPr>
      </w:pPr>
    </w:p>
    <w:sectPr w:rsidRPr="002168F4" w:rsidR="009F6F35"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C33" w:rsidRDefault="001E4C33">
      <w:pPr>
        <w:spacing w:line="20" w:lineRule="exact"/>
      </w:pPr>
    </w:p>
  </w:endnote>
  <w:endnote w:type="continuationSeparator" w:id="0">
    <w:p w:rsidR="001E4C33" w:rsidRDefault="001E4C33">
      <w:pPr>
        <w:pStyle w:val="Amendement"/>
      </w:pPr>
      <w:r>
        <w:rPr>
          <w:b w:val="0"/>
          <w:bCs w:val="0"/>
        </w:rPr>
        <w:t xml:space="preserve"> </w:t>
      </w:r>
    </w:p>
  </w:endnote>
  <w:endnote w:type="continuationNotice" w:id="1">
    <w:p w:rsidR="001E4C33" w:rsidRDefault="001E4C3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C33" w:rsidRDefault="001E4C3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364898"/>
      <w:docPartObj>
        <w:docPartGallery w:val="Page Numbers (Bottom of Page)"/>
        <w:docPartUnique/>
      </w:docPartObj>
    </w:sdtPr>
    <w:sdtEndPr/>
    <w:sdtContent>
      <w:p w:rsidR="001E4C33" w:rsidRDefault="001E4C33">
        <w:pPr>
          <w:pStyle w:val="Voettekst"/>
          <w:jc w:val="right"/>
        </w:pPr>
        <w:r>
          <w:fldChar w:fldCharType="begin"/>
        </w:r>
        <w:r>
          <w:instrText>PAGE   \* MERGEFORMAT</w:instrText>
        </w:r>
        <w:r>
          <w:fldChar w:fldCharType="separate"/>
        </w:r>
        <w:r w:rsidR="00A47F80">
          <w:rPr>
            <w:noProof/>
          </w:rPr>
          <w:t>8</w:t>
        </w:r>
        <w:r>
          <w:fldChar w:fldCharType="end"/>
        </w:r>
      </w:p>
    </w:sdtContent>
  </w:sdt>
  <w:p w:rsidR="001E4C33" w:rsidRDefault="001E4C3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C33" w:rsidRDefault="001E4C33">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C33" w:rsidRDefault="001E4C3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E4C33" w:rsidRDefault="001E4C33"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C33" w:rsidRPr="002168F4" w:rsidRDefault="001E4C3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47F80">
      <w:rPr>
        <w:rStyle w:val="Paginanummer"/>
        <w:rFonts w:ascii="Times New Roman" w:hAnsi="Times New Roman"/>
        <w:noProof/>
      </w:rPr>
      <w:t>1</w:t>
    </w:r>
    <w:r w:rsidRPr="002168F4">
      <w:rPr>
        <w:rStyle w:val="Paginanummer"/>
        <w:rFonts w:ascii="Times New Roman" w:hAnsi="Times New Roman"/>
      </w:rPr>
      <w:fldChar w:fldCharType="end"/>
    </w:r>
  </w:p>
  <w:p w:rsidR="001E4C33" w:rsidRPr="002168F4" w:rsidRDefault="001E4C33"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C33" w:rsidRDefault="001E4C33">
      <w:pPr>
        <w:pStyle w:val="Amendement"/>
      </w:pPr>
      <w:r>
        <w:rPr>
          <w:b w:val="0"/>
          <w:bCs w:val="0"/>
        </w:rPr>
        <w:separator/>
      </w:r>
    </w:p>
  </w:footnote>
  <w:footnote w:type="continuationSeparator" w:id="0">
    <w:p w:rsidR="001E4C33" w:rsidRDefault="001E4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C33" w:rsidRDefault="001E4C3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C33" w:rsidRDefault="001E4C3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C33" w:rsidRDefault="001E4C3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F35"/>
    <w:rsid w:val="00012DBE"/>
    <w:rsid w:val="000A1D81"/>
    <w:rsid w:val="00111ED3"/>
    <w:rsid w:val="001C190E"/>
    <w:rsid w:val="001E4C33"/>
    <w:rsid w:val="002168F4"/>
    <w:rsid w:val="002A727C"/>
    <w:rsid w:val="00446EC4"/>
    <w:rsid w:val="0048067E"/>
    <w:rsid w:val="00494759"/>
    <w:rsid w:val="005D2707"/>
    <w:rsid w:val="00606255"/>
    <w:rsid w:val="006B607A"/>
    <w:rsid w:val="007054D0"/>
    <w:rsid w:val="007D451C"/>
    <w:rsid w:val="00826224"/>
    <w:rsid w:val="008D7315"/>
    <w:rsid w:val="008F110F"/>
    <w:rsid w:val="00930A23"/>
    <w:rsid w:val="009969C2"/>
    <w:rsid w:val="009C7354"/>
    <w:rsid w:val="009E6D7F"/>
    <w:rsid w:val="009F6F35"/>
    <w:rsid w:val="00A11E73"/>
    <w:rsid w:val="00A2521E"/>
    <w:rsid w:val="00A47F80"/>
    <w:rsid w:val="00AE436A"/>
    <w:rsid w:val="00C135B1"/>
    <w:rsid w:val="00C92DF8"/>
    <w:rsid w:val="00CB3578"/>
    <w:rsid w:val="00D20AFA"/>
    <w:rsid w:val="00D55648"/>
    <w:rsid w:val="00DD0C6B"/>
    <w:rsid w:val="00E16443"/>
    <w:rsid w:val="00E36EE9"/>
    <w:rsid w:val="00E5179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9F6F35"/>
    <w:rPr>
      <w:rFonts w:ascii="Verdana" w:hAnsi="Verdana"/>
      <w:szCs w:val="24"/>
    </w:rPr>
  </w:style>
  <w:style w:type="character" w:customStyle="1" w:styleId="VoettekstChar">
    <w:name w:val="Voettekst Char"/>
    <w:basedOn w:val="Standaardalinea-lettertype"/>
    <w:link w:val="Voettekst"/>
    <w:uiPriority w:val="99"/>
    <w:rsid w:val="009F6F35"/>
    <w:rPr>
      <w:rFonts w:ascii="Verdana" w:hAnsi="Verdana"/>
      <w:szCs w:val="24"/>
    </w:rPr>
  </w:style>
  <w:style w:type="paragraph" w:styleId="Geenafstand">
    <w:name w:val="No Spacing"/>
    <w:link w:val="GeenafstandChar"/>
    <w:uiPriority w:val="1"/>
    <w:qFormat/>
    <w:rsid w:val="001E4C33"/>
    <w:rPr>
      <w:rFonts w:ascii="Verdana" w:eastAsiaTheme="minorHAnsi" w:hAnsi="Verdana" w:cstheme="minorBidi"/>
      <w:sz w:val="18"/>
      <w:szCs w:val="22"/>
      <w:lang w:val="en-US" w:eastAsia="en-US"/>
    </w:rPr>
  </w:style>
  <w:style w:type="paragraph" w:customStyle="1" w:styleId="SlotwetKop1">
    <w:name w:val="SlotwetKop1"/>
    <w:basedOn w:val="Geenafstand"/>
    <w:link w:val="SlotwetKop1Char"/>
    <w:qFormat/>
    <w:rsid w:val="001E4C33"/>
    <w:pPr>
      <w:spacing w:line="276" w:lineRule="auto"/>
    </w:pPr>
    <w:rPr>
      <w:b/>
    </w:rPr>
  </w:style>
  <w:style w:type="character" w:customStyle="1" w:styleId="GeenafstandChar">
    <w:name w:val="Geen afstand Char"/>
    <w:basedOn w:val="Standaardalinea-lettertype"/>
    <w:link w:val="Geenafstand"/>
    <w:uiPriority w:val="1"/>
    <w:rsid w:val="001E4C33"/>
    <w:rPr>
      <w:rFonts w:ascii="Verdana" w:eastAsiaTheme="minorHAnsi" w:hAnsi="Verdana" w:cstheme="minorBidi"/>
      <w:sz w:val="18"/>
      <w:szCs w:val="22"/>
      <w:lang w:val="en-US" w:eastAsia="en-US"/>
    </w:rPr>
  </w:style>
  <w:style w:type="character" w:customStyle="1" w:styleId="SlotwetKop1Char">
    <w:name w:val="SlotwetKop1 Char"/>
    <w:basedOn w:val="GeenafstandChar"/>
    <w:link w:val="SlotwetKop1"/>
    <w:rsid w:val="001E4C33"/>
    <w:rPr>
      <w:rFonts w:ascii="Verdana" w:eastAsiaTheme="minorHAnsi" w:hAnsi="Verdana" w:cstheme="minorBidi"/>
      <w:b/>
      <w:sz w:val="18"/>
      <w:szCs w:val="22"/>
      <w:lang w:val="en-US" w:eastAsia="en-US"/>
    </w:rPr>
  </w:style>
  <w:style w:type="paragraph" w:styleId="Ballontekst">
    <w:name w:val="Balloon Text"/>
    <w:basedOn w:val="Standaard"/>
    <w:link w:val="BallontekstChar"/>
    <w:rsid w:val="00A47F80"/>
    <w:rPr>
      <w:rFonts w:ascii="Tahoma" w:hAnsi="Tahoma" w:cs="Tahoma"/>
      <w:sz w:val="16"/>
      <w:szCs w:val="16"/>
    </w:rPr>
  </w:style>
  <w:style w:type="character" w:customStyle="1" w:styleId="BallontekstChar">
    <w:name w:val="Ballontekst Char"/>
    <w:basedOn w:val="Standaardalinea-lettertype"/>
    <w:link w:val="Ballontekst"/>
    <w:rsid w:val="00A47F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9F6F35"/>
    <w:rPr>
      <w:rFonts w:ascii="Verdana" w:hAnsi="Verdana"/>
      <w:szCs w:val="24"/>
    </w:rPr>
  </w:style>
  <w:style w:type="character" w:customStyle="1" w:styleId="VoettekstChar">
    <w:name w:val="Voettekst Char"/>
    <w:basedOn w:val="Standaardalinea-lettertype"/>
    <w:link w:val="Voettekst"/>
    <w:uiPriority w:val="99"/>
    <w:rsid w:val="009F6F35"/>
    <w:rPr>
      <w:rFonts w:ascii="Verdana" w:hAnsi="Verdana"/>
      <w:szCs w:val="24"/>
    </w:rPr>
  </w:style>
  <w:style w:type="paragraph" w:styleId="Geenafstand">
    <w:name w:val="No Spacing"/>
    <w:link w:val="GeenafstandChar"/>
    <w:uiPriority w:val="1"/>
    <w:qFormat/>
    <w:rsid w:val="001E4C33"/>
    <w:rPr>
      <w:rFonts w:ascii="Verdana" w:eastAsiaTheme="minorHAnsi" w:hAnsi="Verdana" w:cstheme="minorBidi"/>
      <w:sz w:val="18"/>
      <w:szCs w:val="22"/>
      <w:lang w:val="en-US" w:eastAsia="en-US"/>
    </w:rPr>
  </w:style>
  <w:style w:type="paragraph" w:customStyle="1" w:styleId="SlotwetKop1">
    <w:name w:val="SlotwetKop1"/>
    <w:basedOn w:val="Geenafstand"/>
    <w:link w:val="SlotwetKop1Char"/>
    <w:qFormat/>
    <w:rsid w:val="001E4C33"/>
    <w:pPr>
      <w:spacing w:line="276" w:lineRule="auto"/>
    </w:pPr>
    <w:rPr>
      <w:b/>
    </w:rPr>
  </w:style>
  <w:style w:type="character" w:customStyle="1" w:styleId="GeenafstandChar">
    <w:name w:val="Geen afstand Char"/>
    <w:basedOn w:val="Standaardalinea-lettertype"/>
    <w:link w:val="Geenafstand"/>
    <w:uiPriority w:val="1"/>
    <w:rsid w:val="001E4C33"/>
    <w:rPr>
      <w:rFonts w:ascii="Verdana" w:eastAsiaTheme="minorHAnsi" w:hAnsi="Verdana" w:cstheme="minorBidi"/>
      <w:sz w:val="18"/>
      <w:szCs w:val="22"/>
      <w:lang w:val="en-US" w:eastAsia="en-US"/>
    </w:rPr>
  </w:style>
  <w:style w:type="character" w:customStyle="1" w:styleId="SlotwetKop1Char">
    <w:name w:val="SlotwetKop1 Char"/>
    <w:basedOn w:val="GeenafstandChar"/>
    <w:link w:val="SlotwetKop1"/>
    <w:rsid w:val="001E4C33"/>
    <w:rPr>
      <w:rFonts w:ascii="Verdana" w:eastAsiaTheme="minorHAnsi" w:hAnsi="Verdana" w:cstheme="minorBidi"/>
      <w:b/>
      <w:sz w:val="18"/>
      <w:szCs w:val="22"/>
      <w:lang w:val="en-US" w:eastAsia="en-US"/>
    </w:rPr>
  </w:style>
  <w:style w:type="paragraph" w:styleId="Ballontekst">
    <w:name w:val="Balloon Text"/>
    <w:basedOn w:val="Standaard"/>
    <w:link w:val="BallontekstChar"/>
    <w:rsid w:val="00A47F80"/>
    <w:rPr>
      <w:rFonts w:ascii="Tahoma" w:hAnsi="Tahoma" w:cs="Tahoma"/>
      <w:sz w:val="16"/>
      <w:szCs w:val="16"/>
    </w:rPr>
  </w:style>
  <w:style w:type="character" w:customStyle="1" w:styleId="BallontekstChar">
    <w:name w:val="Ballontekst Char"/>
    <w:basedOn w:val="Standaardalinea-lettertype"/>
    <w:link w:val="Ballontekst"/>
    <w:rsid w:val="00A47F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1269</ap:Words>
  <ap:Characters>6982</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2019-07-08T08:39:00.0000000Z</lastPrinted>
  <dcterms:created xsi:type="dcterms:W3CDTF">2019-07-02T08:34:00.0000000Z</dcterms:created>
  <dcterms:modified xsi:type="dcterms:W3CDTF">2019-07-08T08:39:00.0000000Z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0x0101000F888DC554E0D04E87FF8D88B9FCE0B1</vt:lpwstr>
  </property>
</Properties>
</file>