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76596E" w:rsidP="0076596E" w:rsidRDefault="0076596E">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76596E" w:rsidP="0076596E" w:rsidRDefault="0076596E">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76596E" w:rsidP="0076596E" w:rsidRDefault="0076596E">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76596E" w:rsidP="0076596E" w:rsidRDefault="0076596E">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tabs>
                <w:tab w:val="left" w:pos="-1440"/>
                <w:tab w:val="left" w:pos="-720"/>
              </w:tabs>
              <w:suppressAutoHyphens/>
              <w:rPr>
                <w:rFonts w:ascii="Times New Roman" w:hAnsi="Times New Roman"/>
              </w:rPr>
            </w:pPr>
          </w:p>
          <w:p w:rsidRPr="00C11E30" w:rsidR="0076596E" w:rsidP="0076596E" w:rsidRDefault="0076596E">
            <w:pPr>
              <w:rPr>
                <w:rFonts w:ascii="Times New Roman" w:hAnsi="Times New Roman"/>
              </w:rPr>
            </w:pPr>
          </w:p>
          <w:p w:rsidRPr="002168F4" w:rsidR="00CB3578" w:rsidP="0076596E" w:rsidRDefault="0076596E">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6596E" w:rsidTr="0082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161DC" w:rsidR="0076596E" w:rsidP="00792982" w:rsidRDefault="0076596E">
            <w:pPr>
              <w:rPr>
                <w:rFonts w:ascii="Times New Roman" w:hAnsi="Times New Roman"/>
                <w:b/>
                <w:sz w:val="24"/>
              </w:rPr>
            </w:pPr>
            <w:r w:rsidRPr="007161DC">
              <w:rPr>
                <w:rFonts w:ascii="Times New Roman" w:hAnsi="Times New Roman"/>
                <w:b/>
                <w:sz w:val="24"/>
              </w:rPr>
              <w:t>Jaarverslag en slotwet Ministerie van Justitie en Veiligheid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6596E" w:rsidTr="0067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596E" w:rsidRDefault="0076596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161DC"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Wij Willem-Alexander, bij de gratie Gods, Koning der Nederlanden, Prins van Oranje-Nassau, enz. enz. enz.</w:t>
      </w:r>
    </w:p>
    <w:p w:rsidRPr="007161DC" w:rsidR="007161DC" w:rsidP="007161DC" w:rsidRDefault="007161DC">
      <w:pPr>
        <w:rPr>
          <w:rFonts w:ascii="Times New Roman" w:hAnsi="Times New Roman"/>
          <w:sz w:val="24"/>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Allen, die deze zullen zien of horen lezen, saluut! doen te weten:</w:t>
      </w:r>
    </w:p>
    <w:p w:rsidRPr="007161DC" w:rsidR="007161DC" w:rsidP="007161DC" w:rsidRDefault="007161DC">
      <w:pPr>
        <w:ind w:firstLine="284"/>
        <w:rPr>
          <w:rFonts w:ascii="Times New Roman" w:hAnsi="Times New Roman"/>
          <w:sz w:val="24"/>
        </w:rPr>
      </w:pPr>
      <w:r w:rsidRPr="007161DC">
        <w:rPr>
          <w:rFonts w:ascii="Times New Roman" w:hAnsi="Times New Roman"/>
          <w:sz w:val="24"/>
        </w:rPr>
        <w:t>Alzo Wij in overweging genomen hebben, dat de noodzaak is gebleken van een wijziging van de departementale begrotingsstaat van het Ministerie van Justitie en Veiligheid (VI) en van de begrotingsstaat inzake de agentschappen van dit mini</w:t>
      </w:r>
      <w:r w:rsidR="00E75925">
        <w:rPr>
          <w:rFonts w:ascii="Times New Roman" w:hAnsi="Times New Roman"/>
          <w:sz w:val="24"/>
        </w:rPr>
        <w:t>sterie, alle voor het jaar 2018;</w:t>
      </w:r>
      <w:r w:rsidRPr="007161DC">
        <w:rPr>
          <w:rFonts w:ascii="Times New Roman" w:hAnsi="Times New Roman"/>
          <w:sz w:val="24"/>
        </w:rPr>
        <w:t xml:space="preserve"> </w:t>
      </w:r>
    </w:p>
    <w:p w:rsidRPr="007161DC" w:rsidR="007161DC" w:rsidP="007161DC" w:rsidRDefault="007161DC">
      <w:pPr>
        <w:ind w:firstLine="284"/>
        <w:rPr>
          <w:rFonts w:ascii="Times New Roman" w:hAnsi="Times New Roman"/>
          <w:sz w:val="24"/>
        </w:rPr>
      </w:pPr>
      <w:r w:rsidRPr="007161DC">
        <w:rPr>
          <w:rFonts w:ascii="Times New Roman" w:hAnsi="Times New Roman"/>
          <w:sz w:val="24"/>
        </w:rPr>
        <w:t>Zo is het, dat Wij met gemeen overleg der Staten-Generaal, hebben goedgevonden en verstaan, gelijk Wij goedvinden en verstaan bij deze:</w:t>
      </w:r>
    </w:p>
    <w:p w:rsidR="007161DC" w:rsidP="007161DC" w:rsidRDefault="007161DC">
      <w:pPr>
        <w:rPr>
          <w:rFonts w:ascii="Times New Roman" w:hAnsi="Times New Roman"/>
          <w:sz w:val="24"/>
        </w:rPr>
      </w:pPr>
    </w:p>
    <w:p w:rsidRPr="007161DC" w:rsidR="003A13CA" w:rsidP="007161DC" w:rsidRDefault="003A13CA">
      <w:pPr>
        <w:rPr>
          <w:rFonts w:ascii="Times New Roman" w:hAnsi="Times New Roman"/>
          <w:sz w:val="24"/>
        </w:rPr>
      </w:pPr>
      <w:bookmarkStart w:name="_GoBack" w:id="0"/>
      <w:bookmarkEnd w:id="0"/>
    </w:p>
    <w:p w:rsidR="007161DC" w:rsidP="007161DC" w:rsidRDefault="007161DC">
      <w:pPr>
        <w:rPr>
          <w:rFonts w:ascii="Times New Roman" w:hAnsi="Times New Roman"/>
          <w:b/>
          <w:sz w:val="24"/>
        </w:rPr>
      </w:pPr>
      <w:r w:rsidRPr="007161DC">
        <w:rPr>
          <w:rFonts w:ascii="Times New Roman" w:hAnsi="Times New Roman"/>
          <w:b/>
          <w:sz w:val="24"/>
        </w:rPr>
        <w:t>Artikel 1</w:t>
      </w:r>
    </w:p>
    <w:p w:rsidRPr="007161DC" w:rsidR="007161DC" w:rsidP="007161DC" w:rsidRDefault="007161DC">
      <w:pPr>
        <w:rPr>
          <w:rFonts w:ascii="Times New Roman" w:hAnsi="Times New Roman"/>
          <w:b/>
          <w:sz w:val="24"/>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 xml:space="preserve">De departementale begrotingsstaat van het Ministerie van Justitie en Veiligheid (VI) voor het jaar 2018 wordt gewijzigd, zoals blijkt uit de desbetreffende bij deze wet behorende staat. </w:t>
      </w: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b/>
          <w:sz w:val="24"/>
        </w:rPr>
      </w:pPr>
      <w:r w:rsidRPr="007161DC">
        <w:rPr>
          <w:rFonts w:ascii="Times New Roman" w:hAnsi="Times New Roman"/>
          <w:b/>
          <w:sz w:val="24"/>
        </w:rPr>
        <w:t>Artikel 2</w:t>
      </w:r>
    </w:p>
    <w:p w:rsidR="007161DC" w:rsidP="007161DC" w:rsidRDefault="007161DC">
      <w:pPr>
        <w:rPr>
          <w:rFonts w:ascii="Times New Roman" w:hAnsi="Times New Roman"/>
          <w:sz w:val="24"/>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 xml:space="preserve">De begrotingsstaat inzake de agentschappen voor het jaar 2018 wordt gewijzigd, zoals blijkt uit de desbetreffende bij deze wet behorende staat. </w:t>
      </w:r>
    </w:p>
    <w:p w:rsidRPr="007161DC" w:rsidR="007161DC" w:rsidP="007161DC" w:rsidRDefault="007161DC">
      <w:pPr>
        <w:rPr>
          <w:rFonts w:ascii="Times New Roman" w:hAnsi="Times New Roman"/>
          <w:b/>
          <w:sz w:val="24"/>
        </w:rPr>
      </w:pPr>
    </w:p>
    <w:p w:rsidRPr="007161DC" w:rsidR="007161DC" w:rsidP="007161DC" w:rsidRDefault="007161DC">
      <w:pPr>
        <w:rPr>
          <w:rFonts w:ascii="Times New Roman" w:hAnsi="Times New Roman"/>
          <w:b/>
          <w:sz w:val="24"/>
        </w:rPr>
      </w:pPr>
      <w:r w:rsidRPr="007161DC">
        <w:rPr>
          <w:rFonts w:ascii="Times New Roman" w:hAnsi="Times New Roman"/>
          <w:b/>
          <w:sz w:val="24"/>
        </w:rPr>
        <w:t>Artikel 3</w:t>
      </w:r>
    </w:p>
    <w:p w:rsidR="007161DC" w:rsidP="007161DC" w:rsidRDefault="007161DC">
      <w:pPr>
        <w:rPr>
          <w:rFonts w:ascii="Times New Roman" w:hAnsi="Times New Roman"/>
          <w:sz w:val="24"/>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De vaststelling van de begrotingsstaten geschiedt in duizenden euro’s.</w:t>
      </w: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r w:rsidRPr="007161DC">
        <w:rPr>
          <w:rFonts w:ascii="Times New Roman" w:hAnsi="Times New Roman"/>
          <w:b/>
          <w:sz w:val="24"/>
        </w:rPr>
        <w:t>Artikel 4</w:t>
      </w:r>
    </w:p>
    <w:p w:rsidR="007161DC" w:rsidP="007161DC" w:rsidRDefault="007161DC">
      <w:pPr>
        <w:rPr>
          <w:rFonts w:ascii="Times New Roman" w:hAnsi="Times New Roman"/>
          <w:sz w:val="24"/>
        </w:rPr>
      </w:pPr>
    </w:p>
    <w:p w:rsidRPr="007161DC" w:rsidR="007161DC" w:rsidP="007161DC" w:rsidRDefault="007161DC">
      <w:pPr>
        <w:ind w:firstLine="284"/>
        <w:rPr>
          <w:rFonts w:ascii="Times New Roman" w:hAnsi="Times New Roman"/>
          <w:sz w:val="24"/>
        </w:rPr>
      </w:pPr>
      <w:r w:rsidRPr="007161DC">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EE5524" w:rsidP="00EE5524" w:rsidRDefault="00EE5524">
      <w:pPr>
        <w:rPr>
          <w:rFonts w:ascii="Times New Roman" w:hAnsi="Times New Roman"/>
          <w:sz w:val="24"/>
        </w:rPr>
      </w:pPr>
    </w:p>
    <w:p w:rsidR="00EE5524" w:rsidP="00EE5524" w:rsidRDefault="00EE5524">
      <w:pPr>
        <w:rPr>
          <w:rFonts w:ascii="Times New Roman" w:hAnsi="Times New Roman"/>
          <w:sz w:val="24"/>
        </w:rPr>
      </w:pPr>
    </w:p>
    <w:p w:rsidRPr="007161DC" w:rsidR="007161DC" w:rsidP="00EE5524" w:rsidRDefault="007161DC">
      <w:pPr>
        <w:ind w:firstLine="284"/>
        <w:rPr>
          <w:rFonts w:ascii="Times New Roman" w:hAnsi="Times New Roman"/>
          <w:sz w:val="24"/>
        </w:rPr>
      </w:pPr>
      <w:r w:rsidRPr="007161D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r w:rsidRPr="007161DC">
        <w:rPr>
          <w:rFonts w:ascii="Times New Roman" w:hAnsi="Times New Roman"/>
          <w:sz w:val="24"/>
        </w:rPr>
        <w:t>Gegeven</w:t>
      </w: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p>
    <w:p w:rsidR="007161DC" w:rsidP="007161DC" w:rsidRDefault="007161DC">
      <w:pPr>
        <w:rPr>
          <w:rFonts w:ascii="Times New Roman" w:hAnsi="Times New Roman"/>
          <w:sz w:val="24"/>
        </w:rPr>
      </w:pPr>
      <w:r w:rsidRPr="007161DC">
        <w:rPr>
          <w:rFonts w:ascii="Times New Roman" w:hAnsi="Times New Roman"/>
          <w:sz w:val="24"/>
        </w:rPr>
        <w:t>Mede namens de Minister voor Rechtsbescherming,</w:t>
      </w: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r w:rsidRPr="007161DC">
        <w:rPr>
          <w:rFonts w:ascii="Times New Roman" w:hAnsi="Times New Roman"/>
          <w:sz w:val="24"/>
        </w:rPr>
        <w:t>De Minister van Justitie en Veiligheid,</w:t>
      </w:r>
      <w:r w:rsidRPr="007161DC">
        <w:rPr>
          <w:rFonts w:ascii="Times New Roman" w:hAnsi="Times New Roman"/>
          <w:sz w:val="24"/>
        </w:rPr>
        <w:tab/>
      </w:r>
      <w:r w:rsidRPr="007161DC">
        <w:rPr>
          <w:rFonts w:ascii="Times New Roman" w:hAnsi="Times New Roman"/>
          <w:sz w:val="24"/>
        </w:rPr>
        <w:tab/>
      </w:r>
      <w:r w:rsidRPr="007161DC">
        <w:rPr>
          <w:rFonts w:ascii="Times New Roman" w:hAnsi="Times New Roman"/>
          <w:sz w:val="24"/>
        </w:rPr>
        <w:tab/>
      </w:r>
      <w:r w:rsidRPr="007161DC">
        <w:rPr>
          <w:rFonts w:ascii="Times New Roman" w:hAnsi="Times New Roman"/>
          <w:sz w:val="24"/>
        </w:rPr>
        <w:tab/>
      </w: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Pr="007161DC" w:rsidR="0076596E" w:rsidP="0076596E" w:rsidRDefault="0076596E">
      <w:pPr>
        <w:rPr>
          <w:rFonts w:ascii="Times New Roman" w:hAnsi="Times New Roman"/>
          <w:sz w:val="24"/>
        </w:rPr>
      </w:pPr>
    </w:p>
    <w:p w:rsidR="0076596E" w:rsidP="0076596E" w:rsidRDefault="0076596E">
      <w:pPr>
        <w:rPr>
          <w:rFonts w:ascii="Times New Roman" w:hAnsi="Times New Roman"/>
          <w:sz w:val="24"/>
        </w:rPr>
      </w:pPr>
      <w:r w:rsidRPr="007161DC">
        <w:rPr>
          <w:rFonts w:ascii="Times New Roman" w:hAnsi="Times New Roman"/>
          <w:sz w:val="24"/>
        </w:rPr>
        <w:t>Mede namens de Minister voor Rechtsbescherming,</w:t>
      </w: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0076596E" w:rsidP="0076596E" w:rsidRDefault="0076596E">
      <w:pPr>
        <w:rPr>
          <w:rFonts w:ascii="Times New Roman" w:hAnsi="Times New Roman"/>
          <w:sz w:val="24"/>
        </w:rPr>
      </w:pPr>
    </w:p>
    <w:p w:rsidRPr="007161DC" w:rsidR="0076596E" w:rsidP="0076596E" w:rsidRDefault="0076596E">
      <w:pPr>
        <w:rPr>
          <w:rFonts w:ascii="Times New Roman" w:hAnsi="Times New Roman"/>
          <w:sz w:val="24"/>
        </w:rPr>
      </w:pPr>
    </w:p>
    <w:p w:rsidRPr="007161DC" w:rsidR="007161DC" w:rsidP="0076596E" w:rsidRDefault="0076596E">
      <w:pPr>
        <w:rPr>
          <w:rFonts w:ascii="Times New Roman" w:hAnsi="Times New Roman"/>
          <w:sz w:val="24"/>
        </w:rPr>
      </w:pPr>
      <w:r w:rsidRPr="007161DC">
        <w:rPr>
          <w:rFonts w:ascii="Times New Roman" w:hAnsi="Times New Roman"/>
          <w:sz w:val="24"/>
        </w:rPr>
        <w:t>De Minister van Justitie en Veiligheid,</w:t>
      </w: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sz w:val="24"/>
        </w:rPr>
      </w:pPr>
    </w:p>
    <w:p w:rsidRPr="007161DC" w:rsidR="007161DC" w:rsidP="007161DC" w:rsidRDefault="007161DC">
      <w:pPr>
        <w:rPr>
          <w:rFonts w:ascii="Times New Roman" w:hAnsi="Times New Roman"/>
          <w:b/>
          <w:caps/>
          <w:sz w:val="24"/>
        </w:rPr>
        <w:sectPr w:rsidRPr="007161DC" w:rsidR="007161DC" w:rsidSect="0079298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pPr>
    </w:p>
    <w:p w:rsidRPr="007161DC" w:rsidR="007161DC" w:rsidP="007161DC" w:rsidRDefault="007161DC">
      <w:pPr>
        <w:ind w:hanging="900"/>
        <w:rPr>
          <w:rFonts w:ascii="Times New Roman" w:hAnsi="Times New Roman"/>
          <w:sz w:val="24"/>
        </w:rPr>
      </w:pPr>
    </w:p>
    <w:p w:rsidRPr="0095794E" w:rsidR="007161DC" w:rsidP="007161DC" w:rsidRDefault="007161DC">
      <w:pPr>
        <w:rPr>
          <w:rFonts w:ascii="Times New Roman" w:hAnsi="Times New Roman"/>
          <w:szCs w:val="20"/>
        </w:rPr>
      </w:pPr>
      <w:r w:rsidRPr="0095794E">
        <w:rPr>
          <w:rFonts w:ascii="Times New Roman" w:hAnsi="Times New Roman"/>
          <w:b/>
          <w:szCs w:val="20"/>
        </w:rPr>
        <w:t>Departementale begrotingsstaat</w:t>
      </w:r>
      <w:r w:rsidRPr="0095794E">
        <w:rPr>
          <w:rFonts w:ascii="Times New Roman" w:hAnsi="Times New Roman"/>
          <w:b/>
          <w:szCs w:val="20"/>
        </w:rPr>
        <w:br/>
      </w:r>
    </w:p>
    <w:p w:rsidRPr="0095794E" w:rsidR="007161DC" w:rsidP="007161DC" w:rsidRDefault="007161DC">
      <w:pPr>
        <w:rPr>
          <w:rFonts w:ascii="Times New Roman" w:hAnsi="Times New Roman"/>
          <w:szCs w:val="20"/>
        </w:rPr>
      </w:pPr>
      <w:r w:rsidRPr="0095794E">
        <w:rPr>
          <w:rFonts w:ascii="Times New Roman" w:hAnsi="Times New Roman"/>
          <w:szCs w:val="20"/>
        </w:rPr>
        <w:t>Wijziging van de begrotingsstaat van het Ministerie van Justitie en Veiligheid (VI) voor het jaar 2018 (Slotwet) (bedragen x € 1.000)</w:t>
      </w:r>
    </w:p>
    <w:p w:rsidRPr="0095794E" w:rsidR="007161DC" w:rsidP="007161DC" w:rsidRDefault="007161DC">
      <w:pPr>
        <w:rPr>
          <w:rFonts w:ascii="Times New Roman" w:hAnsi="Times New Roman"/>
          <w:szCs w:val="20"/>
        </w:rPr>
      </w:pPr>
    </w:p>
    <w:tbl>
      <w:tblPr>
        <w:tblW w:w="0" w:type="auto"/>
        <w:tblCellMar>
          <w:left w:w="70" w:type="dxa"/>
          <w:right w:w="70" w:type="dxa"/>
        </w:tblCellMar>
        <w:tblLook w:val="04A0" w:firstRow="1" w:lastRow="0" w:firstColumn="1" w:lastColumn="0" w:noHBand="0" w:noVBand="1"/>
      </w:tblPr>
      <w:tblGrid>
        <w:gridCol w:w="751"/>
        <w:gridCol w:w="3945"/>
        <w:gridCol w:w="1340"/>
        <w:gridCol w:w="1040"/>
        <w:gridCol w:w="1151"/>
        <w:gridCol w:w="1607"/>
        <w:gridCol w:w="874"/>
        <w:gridCol w:w="1151"/>
        <w:gridCol w:w="1340"/>
        <w:gridCol w:w="874"/>
        <w:gridCol w:w="1151"/>
      </w:tblGrid>
      <w:tr w:rsidRPr="0095794E" w:rsidR="007161DC" w:rsidTr="00792982">
        <w:trPr>
          <w:trHeight w:val="450"/>
        </w:trPr>
        <w:tc>
          <w:tcPr>
            <w:tcW w:w="0" w:type="auto"/>
            <w:tcBorders>
              <w:top w:val="single" w:color="auto" w:sz="4" w:space="0"/>
              <w:left w:val="single" w:color="auto" w:sz="4" w:space="0"/>
              <w:bottom w:val="single" w:color="auto" w:sz="4" w:space="0"/>
              <w:right w:val="nil"/>
            </w:tcBorders>
            <w:shd w:val="clear" w:color="000000" w:fill="FFFFCC"/>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Artikel</w:t>
            </w:r>
          </w:p>
        </w:tc>
        <w:tc>
          <w:tcPr>
            <w:tcW w:w="0" w:type="auto"/>
            <w:tcBorders>
              <w:top w:val="single" w:color="auto" w:sz="4" w:space="0"/>
              <w:left w:val="nil"/>
              <w:bottom w:val="single" w:color="auto" w:sz="4" w:space="0"/>
              <w:right w:val="nil"/>
            </w:tcBorders>
            <w:shd w:val="clear" w:color="000000" w:fill="FFFFCC"/>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Omschrijving</w:t>
            </w:r>
          </w:p>
        </w:tc>
        <w:tc>
          <w:tcPr>
            <w:tcW w:w="0" w:type="auto"/>
            <w:gridSpan w:val="3"/>
            <w:tcBorders>
              <w:top w:val="single" w:color="auto" w:sz="4" w:space="0"/>
              <w:left w:val="single" w:color="auto" w:sz="4" w:space="0"/>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(1) Vastgestelde begroting</w:t>
            </w:r>
          </w:p>
        </w:tc>
        <w:tc>
          <w:tcPr>
            <w:tcW w:w="0" w:type="auto"/>
            <w:gridSpan w:val="3"/>
            <w:tcBorders>
              <w:top w:val="single" w:color="auto" w:sz="4" w:space="0"/>
              <w:left w:val="nil"/>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(2) Mutaties 1e suppletoire begroting</w:t>
            </w:r>
          </w:p>
        </w:tc>
        <w:tc>
          <w:tcPr>
            <w:tcW w:w="0" w:type="auto"/>
            <w:gridSpan w:val="3"/>
            <w:tcBorders>
              <w:top w:val="single" w:color="auto" w:sz="4" w:space="0"/>
              <w:left w:val="nil"/>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(3) Mutaties 2e suppletoire begroting</w:t>
            </w:r>
          </w:p>
        </w:tc>
      </w:tr>
      <w:tr w:rsidRPr="0095794E" w:rsidR="007161DC" w:rsidTr="00792982">
        <w:trPr>
          <w:trHeight w:val="225"/>
        </w:trPr>
        <w:tc>
          <w:tcPr>
            <w:tcW w:w="0" w:type="auto"/>
            <w:tcBorders>
              <w:top w:val="nil"/>
              <w:left w:val="single" w:color="auto" w:sz="4" w:space="0"/>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 </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TOTAAL</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12.208.287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12.218.217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1.596.196</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316.503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316.503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12.648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317.935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311.575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607.214</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Beleidsartikelen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11.755.374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11.764.747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1.569.615</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xml:space="preserve">               324.164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324.164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13.379</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325.390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319.030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601.742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Politie</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5.689.556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5.698.929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500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154.010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154.010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50.908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50.908</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10.236</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Rechtspleging en rechtsbijstand</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1.459.844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1.459.844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206.078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-6.706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-6.706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-28.939</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-11.603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-11.603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-11.600</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Veiligheid en criminaliteitsbestrijding</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731.997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731.997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1.122.957</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28.432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28.432</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-3.000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33.571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33.571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526.800</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Straffen en beschermen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2.406.500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2.406.500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83.480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101.548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101.548</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36.718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141.491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135.131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12.853</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Contraterrorisme en nationaal veiligheidsbeleid</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285.677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285.677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-18.981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-18.981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6.605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6.605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Migratie</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1.181.800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1.181.800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156.600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65.861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65.861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8.600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104.418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104.418</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63.453</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Niet-Beleidsartikelen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452.913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453.470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26.581</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xml:space="preserve">                   7.661-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-7.661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-731</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-7.455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-7.455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5.472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Apparaat kerndepartement</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429.402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429.959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26.581</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7.804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7.804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-731</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-6.839</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-6.839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5.472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92</w:t>
            </w:r>
          </w:p>
        </w:tc>
        <w:tc>
          <w:tcPr>
            <w:tcW w:w="0" w:type="auto"/>
            <w:tcBorders>
              <w:top w:val="nil"/>
              <w:left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Nominaal en onvoorzien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20.444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20.444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-15.465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-15.465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-616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-616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r>
      <w:tr w:rsidRPr="0095794E" w:rsidR="007161DC" w:rsidTr="00792982">
        <w:trPr>
          <w:trHeight w:val="225"/>
        </w:trPr>
        <w:tc>
          <w:tcPr>
            <w:tcW w:w="0" w:type="auto"/>
            <w:tcBorders>
              <w:top w:val="nil"/>
              <w:left w:val="single" w:color="auto" w:sz="4" w:space="0"/>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93</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Geheim</w:t>
            </w:r>
          </w:p>
        </w:tc>
        <w:tc>
          <w:tcPr>
            <w:tcW w:w="0" w:type="auto"/>
            <w:tcBorders>
              <w:top w:val="nil"/>
              <w:left w:val="single" w:color="auto" w:sz="4" w:space="0"/>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3.067</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3.067</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r>
    </w:tbl>
    <w:p w:rsidRPr="0095794E" w:rsidR="007161DC" w:rsidP="00AB3297" w:rsidRDefault="007161DC">
      <w:pPr>
        <w:rPr>
          <w:rFonts w:ascii="Times New Roman" w:hAnsi="Times New Roman"/>
          <w:szCs w:val="20"/>
        </w:rPr>
      </w:pPr>
    </w:p>
    <w:p w:rsidRPr="0095794E" w:rsidR="007161DC" w:rsidP="007161DC" w:rsidRDefault="007161DC">
      <w:pPr>
        <w:jc w:val="center"/>
        <w:rPr>
          <w:rFonts w:ascii="Times New Roman" w:hAnsi="Times New Roman"/>
          <w:szCs w:val="20"/>
        </w:rPr>
      </w:pPr>
    </w:p>
    <w:p w:rsidRPr="0095794E" w:rsidR="007161DC" w:rsidP="007161DC" w:rsidRDefault="007161DC">
      <w:pPr>
        <w:jc w:val="center"/>
        <w:rPr>
          <w:rFonts w:ascii="Times New Roman" w:hAnsi="Times New Roman"/>
          <w:szCs w:val="20"/>
        </w:rPr>
      </w:pPr>
    </w:p>
    <w:tbl>
      <w:tblPr>
        <w:tblW w:w="0" w:type="auto"/>
        <w:tblInd w:w="65" w:type="dxa"/>
        <w:tblCellMar>
          <w:left w:w="70" w:type="dxa"/>
          <w:right w:w="70" w:type="dxa"/>
        </w:tblCellMar>
        <w:tblLook w:val="04A0" w:firstRow="1" w:lastRow="0" w:firstColumn="1" w:lastColumn="0" w:noHBand="0" w:noVBand="1"/>
      </w:tblPr>
      <w:tblGrid>
        <w:gridCol w:w="751"/>
        <w:gridCol w:w="3945"/>
        <w:gridCol w:w="1340"/>
        <w:gridCol w:w="1040"/>
        <w:gridCol w:w="1151"/>
        <w:gridCol w:w="1340"/>
        <w:gridCol w:w="1040"/>
        <w:gridCol w:w="1151"/>
        <w:gridCol w:w="1340"/>
        <w:gridCol w:w="874"/>
        <w:gridCol w:w="1151"/>
      </w:tblGrid>
      <w:tr w:rsidRPr="0095794E" w:rsidR="007161DC" w:rsidTr="00792982">
        <w:trPr>
          <w:trHeight w:val="450"/>
        </w:trPr>
        <w:tc>
          <w:tcPr>
            <w:tcW w:w="0" w:type="auto"/>
            <w:tcBorders>
              <w:top w:val="single" w:color="auto" w:sz="4" w:space="0"/>
              <w:left w:val="single" w:color="auto" w:sz="4" w:space="0"/>
              <w:bottom w:val="single" w:color="auto" w:sz="4" w:space="0"/>
              <w:right w:val="nil"/>
            </w:tcBorders>
            <w:shd w:val="clear" w:color="000000" w:fill="FFFFCC"/>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Artikel</w:t>
            </w:r>
          </w:p>
        </w:tc>
        <w:tc>
          <w:tcPr>
            <w:tcW w:w="0" w:type="auto"/>
            <w:tcBorders>
              <w:top w:val="single" w:color="auto" w:sz="4" w:space="0"/>
              <w:left w:val="nil"/>
              <w:bottom w:val="single" w:color="auto" w:sz="4" w:space="0"/>
              <w:right w:val="nil"/>
            </w:tcBorders>
            <w:shd w:val="clear" w:color="000000" w:fill="FFFFCC"/>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Omschrijving</w:t>
            </w:r>
          </w:p>
        </w:tc>
        <w:tc>
          <w:tcPr>
            <w:tcW w:w="0" w:type="auto"/>
            <w:gridSpan w:val="3"/>
            <w:tcBorders>
              <w:top w:val="single" w:color="auto" w:sz="4" w:space="0"/>
              <w:left w:val="single" w:color="auto" w:sz="4" w:space="0"/>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 xml:space="preserve">Totaal geraamd (4) = (1) + (2) + (3) </w:t>
            </w:r>
          </w:p>
        </w:tc>
        <w:tc>
          <w:tcPr>
            <w:tcW w:w="0" w:type="auto"/>
            <w:gridSpan w:val="3"/>
            <w:tcBorders>
              <w:top w:val="single" w:color="auto" w:sz="4" w:space="0"/>
              <w:left w:val="nil"/>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(5) Realisatie</w:t>
            </w:r>
          </w:p>
        </w:tc>
        <w:tc>
          <w:tcPr>
            <w:tcW w:w="0" w:type="auto"/>
            <w:gridSpan w:val="3"/>
            <w:tcBorders>
              <w:top w:val="single" w:color="auto" w:sz="4" w:space="0"/>
              <w:left w:val="nil"/>
              <w:bottom w:val="single" w:color="auto" w:sz="4" w:space="0"/>
              <w:right w:val="single" w:color="000000" w:sz="4" w:space="0"/>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 xml:space="preserve">Slotwetmutaties (6) = (5) - (4) </w:t>
            </w:r>
          </w:p>
        </w:tc>
      </w:tr>
      <w:tr w:rsidRPr="0095794E" w:rsidR="007161DC" w:rsidTr="00792982">
        <w:trPr>
          <w:trHeight w:val="225"/>
        </w:trPr>
        <w:tc>
          <w:tcPr>
            <w:tcW w:w="0" w:type="auto"/>
            <w:tcBorders>
              <w:top w:val="nil"/>
              <w:left w:val="single" w:color="auto" w:sz="4" w:space="0"/>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 </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Verplichtingen</w:t>
            </w:r>
          </w:p>
        </w:tc>
        <w:tc>
          <w:tcPr>
            <w:tcW w:w="0" w:type="auto"/>
            <w:tcBorders>
              <w:top w:val="nil"/>
              <w:left w:val="nil"/>
              <w:bottom w:val="single" w:color="auto" w:sz="4" w:space="0"/>
              <w:right w:val="nil"/>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Uitgaven</w:t>
            </w:r>
          </w:p>
        </w:tc>
        <w:tc>
          <w:tcPr>
            <w:tcW w:w="0" w:type="auto"/>
            <w:tcBorders>
              <w:top w:val="nil"/>
              <w:left w:val="nil"/>
              <w:bottom w:val="single" w:color="auto" w:sz="4" w:space="0"/>
              <w:right w:val="single" w:color="auto" w:sz="4" w:space="0"/>
            </w:tcBorders>
            <w:shd w:val="clear" w:color="000000" w:fill="FFFFCC"/>
            <w:noWrap/>
            <w:vAlign w:val="center"/>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Ontvangsten</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TOTAAL</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12.842.725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12.846.295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2.216.058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13.268.023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12.814.046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2.278.540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425.298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-32.249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62.482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Beleidsartikelen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12.404.928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12.407.941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2.184.736</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12.813.172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12.366.366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2.244.188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408.244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-41.575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59.452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Politie</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5.894.474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5.903.847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10.736</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5.894.753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5.901.324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20.878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279</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-2.523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10.142</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Rechtspleging en rechtsbijstand</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1.441.535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1.441.535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165.539</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1.876.317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1.436.050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164.688</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434.782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-5.485</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-851</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Veiligheid en criminaliteitsbestrijding</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794.000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794.000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1.646.757</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773.191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776.354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1.690.542</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-20.809</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-17.646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43.785</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Straffen en beschermen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2.649.539</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2.643.179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133.051</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2.661.514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2.643.347</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127.847</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11.975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168</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-5.204</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36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Contraterrorisme en nationaal veiligheidsbeleid</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273.301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273.301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274.794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273.373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589</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1.493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72</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589</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lastRenderedPageBreak/>
              <w:t>37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Migratie</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1.352.079</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1.352.079</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228.653</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1.332.603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1.335.918</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239.644</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-19.476</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-16.161</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10.991</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Niet-Beleidsartikelen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437.797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438.354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31.322</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454.851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447.680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34.352</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17.054</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9.326</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b/>
                <w:bCs/>
                <w:szCs w:val="20"/>
              </w:rPr>
            </w:pPr>
            <w:r w:rsidRPr="0095794E">
              <w:rPr>
                <w:rFonts w:ascii="Times New Roman" w:hAnsi="Times New Roman"/>
                <w:b/>
                <w:bCs/>
                <w:szCs w:val="20"/>
              </w:rPr>
              <w:t>3.030</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 </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91</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Apparaat kerndepartement</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430.367</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430.924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31.322</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452.315</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445.144</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33.309</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21.948</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14.220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1.987</w:t>
            </w:r>
          </w:p>
        </w:tc>
      </w:tr>
      <w:tr w:rsidRPr="0095794E" w:rsidR="007161DC" w:rsidTr="00792982">
        <w:trPr>
          <w:trHeight w:val="225"/>
        </w:trPr>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92</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Nominaal en onvoorzien</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4.363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4.363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single" w:color="auto" w:sz="4" w:space="0"/>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-4.363</w:t>
            </w:r>
          </w:p>
        </w:tc>
        <w:tc>
          <w:tcPr>
            <w:tcW w:w="0" w:type="auto"/>
            <w:tcBorders>
              <w:top w:val="nil"/>
              <w:left w:val="nil"/>
              <w:bottom w:val="nil"/>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-4.363</w:t>
            </w:r>
          </w:p>
        </w:tc>
        <w:tc>
          <w:tcPr>
            <w:tcW w:w="0" w:type="auto"/>
            <w:tcBorders>
              <w:top w:val="nil"/>
              <w:left w:val="nil"/>
              <w:bottom w:val="nil"/>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r>
      <w:tr w:rsidRPr="0095794E" w:rsidR="007161DC" w:rsidTr="00792982">
        <w:trPr>
          <w:trHeight w:val="225"/>
        </w:trPr>
        <w:tc>
          <w:tcPr>
            <w:tcW w:w="0" w:type="auto"/>
            <w:tcBorders>
              <w:top w:val="nil"/>
              <w:left w:val="single" w:color="auto" w:sz="4" w:space="0"/>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93</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szCs w:val="20"/>
              </w:rPr>
            </w:pPr>
            <w:r w:rsidRPr="0095794E">
              <w:rPr>
                <w:rFonts w:ascii="Times New Roman" w:hAnsi="Times New Roman"/>
                <w:szCs w:val="20"/>
              </w:rPr>
              <w:t>Geheim</w:t>
            </w:r>
          </w:p>
        </w:tc>
        <w:tc>
          <w:tcPr>
            <w:tcW w:w="0" w:type="auto"/>
            <w:tcBorders>
              <w:top w:val="nil"/>
              <w:left w:val="single" w:color="auto" w:sz="4" w:space="0"/>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3.067</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3.067</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0</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2.536</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2.536</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1.043</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-531</w:t>
            </w:r>
          </w:p>
        </w:tc>
        <w:tc>
          <w:tcPr>
            <w:tcW w:w="0" w:type="auto"/>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-531</w:t>
            </w:r>
          </w:p>
        </w:tc>
        <w:tc>
          <w:tcPr>
            <w:tcW w:w="0" w:type="auto"/>
            <w:tcBorders>
              <w:top w:val="nil"/>
              <w:left w:val="nil"/>
              <w:bottom w:val="single" w:color="auto" w:sz="4" w:space="0"/>
              <w:right w:val="single" w:color="auto" w:sz="4" w:space="0"/>
            </w:tcBorders>
            <w:shd w:val="clear" w:color="000000" w:fill="FFFFFF"/>
            <w:noWrap/>
            <w:vAlign w:val="bottom"/>
            <w:hideMark/>
          </w:tcPr>
          <w:p w:rsidRPr="0095794E" w:rsidR="007161DC" w:rsidP="00792982" w:rsidRDefault="007161DC">
            <w:pPr>
              <w:jc w:val="right"/>
              <w:rPr>
                <w:rFonts w:ascii="Times New Roman" w:hAnsi="Times New Roman"/>
                <w:szCs w:val="20"/>
              </w:rPr>
            </w:pPr>
            <w:r w:rsidRPr="0095794E">
              <w:rPr>
                <w:rFonts w:ascii="Times New Roman" w:hAnsi="Times New Roman"/>
                <w:szCs w:val="20"/>
              </w:rPr>
              <w:t>1.043</w:t>
            </w:r>
          </w:p>
        </w:tc>
      </w:tr>
    </w:tbl>
    <w:p w:rsidRPr="0095794E" w:rsidR="007161DC" w:rsidP="007161DC" w:rsidRDefault="007161DC">
      <w:pPr>
        <w:jc w:val="center"/>
        <w:rPr>
          <w:rFonts w:ascii="Times New Roman" w:hAnsi="Times New Roman"/>
          <w:szCs w:val="20"/>
        </w:rPr>
      </w:pPr>
    </w:p>
    <w:p w:rsidRPr="0095794E" w:rsidR="007161DC" w:rsidP="00AB3297" w:rsidRDefault="007161DC">
      <w:pPr>
        <w:rPr>
          <w:rFonts w:ascii="Times New Roman" w:hAnsi="Times New Roman"/>
          <w:szCs w:val="20"/>
        </w:rPr>
        <w:sectPr w:rsidRPr="0095794E" w:rsidR="007161DC" w:rsidSect="00792982">
          <w:pgSz w:w="16838" w:h="11906" w:orient="landscape"/>
          <w:pgMar w:top="1418" w:right="98" w:bottom="1418" w:left="567" w:header="708" w:footer="708" w:gutter="0"/>
          <w:pgNumType w:start="1"/>
          <w:cols w:space="708"/>
          <w:titlePg/>
          <w:docGrid w:linePitch="360"/>
        </w:sectPr>
      </w:pPr>
    </w:p>
    <w:p w:rsidRPr="0095794E" w:rsidR="007161DC" w:rsidP="00AB3297" w:rsidRDefault="007161DC">
      <w:pPr>
        <w:rPr>
          <w:rFonts w:ascii="Times New Roman" w:hAnsi="Times New Roman"/>
          <w:b/>
          <w:szCs w:val="20"/>
        </w:rPr>
      </w:pPr>
    </w:p>
    <w:p w:rsidRPr="0095794E" w:rsidR="007161DC" w:rsidP="007161DC" w:rsidRDefault="007161DC">
      <w:pPr>
        <w:ind w:hanging="900"/>
        <w:jc w:val="center"/>
        <w:rPr>
          <w:rFonts w:ascii="Times New Roman" w:hAnsi="Times New Roman"/>
          <w:b/>
          <w:szCs w:val="20"/>
        </w:rPr>
      </w:pPr>
    </w:p>
    <w:p w:rsidRPr="0095794E" w:rsidR="007161DC" w:rsidP="007161DC" w:rsidRDefault="007161DC">
      <w:pPr>
        <w:ind w:hanging="900"/>
        <w:jc w:val="center"/>
        <w:rPr>
          <w:rFonts w:ascii="Times New Roman" w:hAnsi="Times New Roman"/>
          <w:b/>
          <w:szCs w:val="20"/>
        </w:rPr>
      </w:pPr>
    </w:p>
    <w:p w:rsidRPr="0095794E" w:rsidR="007161DC" w:rsidP="007161DC" w:rsidRDefault="007161DC">
      <w:pPr>
        <w:ind w:hanging="900"/>
        <w:rPr>
          <w:rFonts w:ascii="Times New Roman" w:hAnsi="Times New Roman"/>
          <w:szCs w:val="20"/>
        </w:rPr>
      </w:pPr>
    </w:p>
    <w:p w:rsidR="002451CC" w:rsidP="007161DC" w:rsidRDefault="002451CC">
      <w:pPr>
        <w:rPr>
          <w:rFonts w:ascii="Times New Roman" w:hAnsi="Times New Roman"/>
          <w:b/>
          <w:bCs/>
          <w:szCs w:val="20"/>
        </w:rPr>
      </w:pPr>
      <w:r w:rsidRPr="0095794E">
        <w:rPr>
          <w:rFonts w:ascii="Times New Roman" w:hAnsi="Times New Roman"/>
          <w:b/>
          <w:bCs/>
          <w:szCs w:val="20"/>
        </w:rPr>
        <w:t>Wijziging van de begrotingsstaten inzake baten-lasten agentschappen van</w:t>
      </w:r>
      <w:r>
        <w:rPr>
          <w:rFonts w:ascii="Times New Roman" w:hAnsi="Times New Roman"/>
          <w:b/>
          <w:bCs/>
          <w:szCs w:val="20"/>
        </w:rPr>
        <w:t xml:space="preserve"> </w:t>
      </w:r>
      <w:r w:rsidRPr="0095794E">
        <w:rPr>
          <w:rFonts w:ascii="Times New Roman" w:hAnsi="Times New Roman"/>
          <w:b/>
          <w:bCs/>
          <w:szCs w:val="20"/>
        </w:rPr>
        <w:t>het Ministerie van Justitie en Veiligheid voor het jaar 2018</w:t>
      </w:r>
    </w:p>
    <w:p w:rsidR="002451CC" w:rsidP="007161DC" w:rsidRDefault="002451CC">
      <w:pPr>
        <w:rPr>
          <w:rFonts w:ascii="Times New Roman" w:hAnsi="Times New Roman"/>
          <w:szCs w:val="20"/>
        </w:rPr>
      </w:pPr>
      <w:r w:rsidRPr="0095794E">
        <w:rPr>
          <w:rFonts w:ascii="Times New Roman" w:hAnsi="Times New Roman"/>
          <w:b/>
          <w:bCs/>
          <w:szCs w:val="20"/>
        </w:rPr>
        <w:t xml:space="preserve"> (slotwet)</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2451CC" w:rsidP="007161DC" w:rsidRDefault="002451CC">
      <w:pPr>
        <w:rPr>
          <w:rFonts w:ascii="Times New Roman" w:hAnsi="Times New Roman"/>
          <w:szCs w:val="20"/>
        </w:rPr>
      </w:pPr>
    </w:p>
    <w:p w:rsidRPr="0095794E" w:rsidR="007161DC" w:rsidP="007161DC" w:rsidRDefault="007161DC">
      <w:pPr>
        <w:rPr>
          <w:rFonts w:ascii="Times New Roman" w:hAnsi="Times New Roman"/>
          <w:szCs w:val="20"/>
        </w:rPr>
      </w:pPr>
      <w:r w:rsidRPr="0095794E">
        <w:rPr>
          <w:rFonts w:ascii="Times New Roman" w:hAnsi="Times New Roman"/>
          <w:szCs w:val="20"/>
        </w:rPr>
        <w:t>X € 1.000</w:t>
      </w:r>
    </w:p>
    <w:tbl>
      <w:tblPr>
        <w:tblW w:w="10440" w:type="dxa"/>
        <w:tblInd w:w="70" w:type="dxa"/>
        <w:tblCellMar>
          <w:left w:w="70" w:type="dxa"/>
          <w:right w:w="70" w:type="dxa"/>
        </w:tblCellMar>
        <w:tblLook w:val="04A0" w:firstRow="1" w:lastRow="0" w:firstColumn="1" w:lastColumn="0" w:noHBand="0" w:noVBand="1"/>
      </w:tblPr>
      <w:tblGrid>
        <w:gridCol w:w="2536"/>
        <w:gridCol w:w="1355"/>
        <w:gridCol w:w="1316"/>
        <w:gridCol w:w="1278"/>
        <w:gridCol w:w="1415"/>
        <w:gridCol w:w="1237"/>
        <w:gridCol w:w="1507"/>
      </w:tblGrid>
      <w:tr w:rsidRPr="0095794E" w:rsidR="007161DC" w:rsidTr="00792982">
        <w:trPr>
          <w:trHeight w:val="885"/>
        </w:trPr>
        <w:tc>
          <w:tcPr>
            <w:tcW w:w="2536" w:type="dxa"/>
            <w:tcBorders>
              <w:top w:val="single" w:color="auto" w:sz="4" w:space="0"/>
              <w:left w:val="nil"/>
              <w:bottom w:val="single" w:color="auto" w:sz="8" w:space="0"/>
              <w:right w:val="nil"/>
            </w:tcBorders>
            <w:shd w:val="clear" w:color="000000" w:fill="FFFFCC"/>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xml:space="preserve">Omschrijving </w:t>
            </w:r>
          </w:p>
        </w:tc>
        <w:tc>
          <w:tcPr>
            <w:tcW w:w="1355"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(1) Vastgestelde begroting</w:t>
            </w:r>
          </w:p>
        </w:tc>
        <w:tc>
          <w:tcPr>
            <w:tcW w:w="1316"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(2) Mutaties (+of-) 1e suppletoire begroting</w:t>
            </w:r>
          </w:p>
        </w:tc>
        <w:tc>
          <w:tcPr>
            <w:tcW w:w="1278"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(3) Mutaties (+of-) 2e suppletoire begroting</w:t>
            </w:r>
          </w:p>
        </w:tc>
        <w:tc>
          <w:tcPr>
            <w:tcW w:w="1372"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(4)=(1)+(2)+(3) Totaal geraamd</w:t>
            </w:r>
          </w:p>
        </w:tc>
        <w:tc>
          <w:tcPr>
            <w:tcW w:w="1237"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(5) Realisatie</w:t>
            </w:r>
          </w:p>
        </w:tc>
        <w:tc>
          <w:tcPr>
            <w:tcW w:w="1346" w:type="dxa"/>
            <w:tcBorders>
              <w:top w:val="single" w:color="auto" w:sz="4" w:space="0"/>
              <w:left w:val="nil"/>
              <w:bottom w:val="single" w:color="auto" w:sz="8" w:space="0"/>
              <w:right w:val="nil"/>
            </w:tcBorders>
            <w:shd w:val="clear" w:color="000000" w:fill="FFFFCC"/>
            <w:vAlign w:val="center"/>
            <w:hideMark/>
          </w:tcPr>
          <w:p w:rsidRPr="0095794E" w:rsidR="007161DC" w:rsidP="00792982" w:rsidRDefault="007161DC">
            <w:pPr>
              <w:jc w:val="center"/>
              <w:rPr>
                <w:rFonts w:ascii="Times New Roman" w:hAnsi="Times New Roman"/>
                <w:b/>
                <w:bCs/>
                <w:szCs w:val="20"/>
              </w:rPr>
            </w:pPr>
            <w:r w:rsidRPr="0095794E">
              <w:rPr>
                <w:rFonts w:ascii="Times New Roman" w:hAnsi="Times New Roman"/>
                <w:b/>
                <w:bCs/>
                <w:szCs w:val="20"/>
              </w:rPr>
              <w:t>(6)=(5)-(4) Slotwetmutaties (+of-)</w:t>
            </w:r>
          </w:p>
        </w:tc>
      </w:tr>
      <w:tr w:rsidRPr="0095794E" w:rsidR="007161DC" w:rsidTr="00792982">
        <w:trPr>
          <w:trHeight w:val="210"/>
        </w:trPr>
        <w:tc>
          <w:tcPr>
            <w:tcW w:w="2536" w:type="dxa"/>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355" w:type="dxa"/>
            <w:tcBorders>
              <w:top w:val="nil"/>
              <w:left w:val="nil"/>
              <w:bottom w:val="nil"/>
              <w:right w:val="nil"/>
            </w:tcBorders>
            <w:shd w:val="clear" w:color="000000" w:fill="FFFFFF"/>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316" w:type="dxa"/>
            <w:tcBorders>
              <w:top w:val="nil"/>
              <w:left w:val="nil"/>
              <w:bottom w:val="nil"/>
              <w:right w:val="nil"/>
            </w:tcBorders>
            <w:shd w:val="clear" w:color="000000" w:fill="FFFFFF"/>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278" w:type="dxa"/>
            <w:tcBorders>
              <w:top w:val="nil"/>
              <w:left w:val="nil"/>
              <w:bottom w:val="nil"/>
              <w:right w:val="nil"/>
            </w:tcBorders>
            <w:shd w:val="clear" w:color="000000" w:fill="FFFFFF"/>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372" w:type="dxa"/>
            <w:tcBorders>
              <w:top w:val="nil"/>
              <w:left w:val="nil"/>
              <w:bottom w:val="nil"/>
              <w:right w:val="nil"/>
            </w:tcBorders>
            <w:shd w:val="clear" w:color="000000" w:fill="FFFFFF"/>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237" w:type="dxa"/>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c>
          <w:tcPr>
            <w:tcW w:w="1346" w:type="dxa"/>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 </w:t>
            </w:r>
          </w:p>
        </w:tc>
      </w:tr>
      <w:tr w:rsidRPr="0095794E" w:rsidR="007161DC" w:rsidTr="00792982">
        <w:trPr>
          <w:trHeight w:val="210"/>
        </w:trPr>
        <w:tc>
          <w:tcPr>
            <w:tcW w:w="10440" w:type="dxa"/>
            <w:gridSpan w:val="7"/>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szCs w:val="20"/>
              </w:rPr>
            </w:pPr>
            <w:r w:rsidRPr="0095794E">
              <w:rPr>
                <w:rFonts w:ascii="Times New Roman" w:hAnsi="Times New Roman"/>
                <w:b/>
                <w:bCs/>
                <w:szCs w:val="20"/>
              </w:rPr>
              <w:t>1. Dienst Justitiële Instellingen</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baten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2.042.809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1.804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196.997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2.241.610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2.303.734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62.124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2.042.809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1.804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152.997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2.197.610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2.286.562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88.952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Saldo van baten en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44.000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44.000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17.172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-26.828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kapitaalontvangsten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5.000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5.000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403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-4.597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kapitaaluitgaven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18.865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6.950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25.815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44.365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18.550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55"/>
        </w:trPr>
        <w:tc>
          <w:tcPr>
            <w:tcW w:w="10440" w:type="dxa"/>
            <w:gridSpan w:val="7"/>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color w:val="000000"/>
                <w:szCs w:val="20"/>
              </w:rPr>
            </w:pPr>
            <w:r w:rsidRPr="0095794E">
              <w:rPr>
                <w:rFonts w:ascii="Times New Roman" w:hAnsi="Times New Roman"/>
                <w:b/>
                <w:bCs/>
                <w:color w:val="000000"/>
                <w:szCs w:val="20"/>
              </w:rPr>
              <w:t>2. Immigratie- en Naturalisatiedienst</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baten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388.371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-1.754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386.617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418.675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32.058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388.371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-1.754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386.617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394.349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7.732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Saldo van baten en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24.326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24.326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kapitaalontvangsten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12.200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10.800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23.000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12.459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-10.541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kapitaaluitgaven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28.200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10.800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39.000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43.787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4.787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55"/>
        </w:trPr>
        <w:tc>
          <w:tcPr>
            <w:tcW w:w="10440" w:type="dxa"/>
            <w:gridSpan w:val="7"/>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color w:val="000000"/>
                <w:szCs w:val="20"/>
              </w:rPr>
            </w:pPr>
            <w:r w:rsidRPr="0095794E">
              <w:rPr>
                <w:rFonts w:ascii="Times New Roman" w:hAnsi="Times New Roman"/>
                <w:b/>
                <w:bCs/>
                <w:color w:val="000000"/>
                <w:szCs w:val="20"/>
              </w:rPr>
              <w:t>3. Centraal Justitieel Incasso Bureau</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baten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135.317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2.340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5.803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143.460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135.021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-8.439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135.317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2.340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5.803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143.460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126.289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-17.171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Saldo van baten en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8.732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8.732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kapitaalontvangsten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1.320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5.267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6.587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4.263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-2.324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lastRenderedPageBreak/>
              <w:t>Totale kapitaaluitgaven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7.263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8.798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16.061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6.246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-9.815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55"/>
        </w:trPr>
        <w:tc>
          <w:tcPr>
            <w:tcW w:w="10440" w:type="dxa"/>
            <w:gridSpan w:val="7"/>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color w:val="000000"/>
                <w:szCs w:val="20"/>
              </w:rPr>
            </w:pPr>
            <w:r w:rsidRPr="0095794E">
              <w:rPr>
                <w:rFonts w:ascii="Times New Roman" w:hAnsi="Times New Roman"/>
                <w:b/>
                <w:bCs/>
                <w:color w:val="000000"/>
                <w:szCs w:val="20"/>
              </w:rPr>
              <w:t>4. Nederlands Forensisch Instituut</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baten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75.249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2.345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1.065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78.659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79.367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708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75.249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2.345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1.065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78.659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82.085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3.426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Saldo van baten en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-2.718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-2.718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kapitaalontvangsten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4.605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4.605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kapitaaluitgaven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6.850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6.850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8.025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1.175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55"/>
        </w:trPr>
        <w:tc>
          <w:tcPr>
            <w:tcW w:w="10440" w:type="dxa"/>
            <w:gridSpan w:val="7"/>
            <w:tcBorders>
              <w:top w:val="nil"/>
              <w:left w:val="nil"/>
              <w:bottom w:val="nil"/>
              <w:right w:val="nil"/>
            </w:tcBorders>
            <w:shd w:val="clear" w:color="000000" w:fill="FFFFFF"/>
            <w:noWrap/>
            <w:vAlign w:val="center"/>
            <w:hideMark/>
          </w:tcPr>
          <w:p w:rsidRPr="0095794E" w:rsidR="007161DC" w:rsidP="00792982" w:rsidRDefault="007161DC">
            <w:pPr>
              <w:rPr>
                <w:rFonts w:ascii="Times New Roman" w:hAnsi="Times New Roman"/>
                <w:b/>
                <w:bCs/>
                <w:color w:val="000000"/>
                <w:szCs w:val="20"/>
              </w:rPr>
            </w:pPr>
            <w:r w:rsidRPr="0095794E">
              <w:rPr>
                <w:rFonts w:ascii="Times New Roman" w:hAnsi="Times New Roman"/>
                <w:b/>
                <w:bCs/>
                <w:color w:val="000000"/>
                <w:szCs w:val="20"/>
              </w:rPr>
              <w:t>5. Justitiële Uitvoeringsdienst Toetsing, Integriteit, Screening</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baten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35.979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1.448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37.427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38.135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708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35.979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638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36.617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35.175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-1.442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Saldo van baten en lasten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810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810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2.960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2.150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kapitaalontvangsten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r>
      <w:tr w:rsidRPr="0095794E" w:rsidR="007161DC" w:rsidTr="00792982">
        <w:trPr>
          <w:trHeight w:val="210"/>
        </w:trPr>
        <w:tc>
          <w:tcPr>
            <w:tcW w:w="253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Totale kapitaaluitgaven</w:t>
            </w:r>
          </w:p>
        </w:tc>
        <w:tc>
          <w:tcPr>
            <w:tcW w:w="1355"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31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c>
          <w:tcPr>
            <w:tcW w:w="1278"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1.252 </w:t>
            </w:r>
          </w:p>
        </w:tc>
        <w:tc>
          <w:tcPr>
            <w:tcW w:w="1372"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1.252 </w:t>
            </w:r>
          </w:p>
        </w:tc>
        <w:tc>
          <w:tcPr>
            <w:tcW w:w="1237"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1.252 </w:t>
            </w:r>
          </w:p>
        </w:tc>
        <w:tc>
          <w:tcPr>
            <w:tcW w:w="1346" w:type="dxa"/>
            <w:tcBorders>
              <w:top w:val="nil"/>
              <w:left w:val="nil"/>
              <w:bottom w:val="nil"/>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xml:space="preserve">                   - </w:t>
            </w:r>
          </w:p>
        </w:tc>
      </w:tr>
      <w:tr w:rsidRPr="0095794E" w:rsidR="007161DC" w:rsidTr="00792982">
        <w:trPr>
          <w:trHeight w:val="210"/>
        </w:trPr>
        <w:tc>
          <w:tcPr>
            <w:tcW w:w="2536" w:type="dxa"/>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55" w:type="dxa"/>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316" w:type="dxa"/>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c>
          <w:tcPr>
            <w:tcW w:w="1278" w:type="dxa"/>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color w:val="000000"/>
                <w:szCs w:val="20"/>
              </w:rPr>
            </w:pPr>
            <w:r w:rsidRPr="0095794E">
              <w:rPr>
                <w:rFonts w:ascii="Times New Roman" w:hAnsi="Times New Roman"/>
                <w:color w:val="000000"/>
                <w:szCs w:val="20"/>
              </w:rPr>
              <w:t> </w:t>
            </w:r>
          </w:p>
        </w:tc>
        <w:tc>
          <w:tcPr>
            <w:tcW w:w="1372" w:type="dxa"/>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color w:val="000000"/>
                <w:szCs w:val="20"/>
              </w:rPr>
            </w:pPr>
            <w:r w:rsidRPr="0095794E">
              <w:rPr>
                <w:rFonts w:ascii="Times New Roman" w:hAnsi="Times New Roman"/>
                <w:color w:val="000000"/>
                <w:szCs w:val="20"/>
              </w:rPr>
              <w:t> </w:t>
            </w:r>
          </w:p>
        </w:tc>
        <w:tc>
          <w:tcPr>
            <w:tcW w:w="1237" w:type="dxa"/>
            <w:tcBorders>
              <w:top w:val="nil"/>
              <w:left w:val="nil"/>
              <w:bottom w:val="single" w:color="auto" w:sz="4" w:space="0"/>
              <w:right w:val="nil"/>
            </w:tcBorders>
            <w:shd w:val="clear" w:color="000000" w:fill="FFFFFF"/>
            <w:noWrap/>
            <w:vAlign w:val="bottom"/>
            <w:hideMark/>
          </w:tcPr>
          <w:p w:rsidRPr="0095794E" w:rsidR="007161DC" w:rsidP="00792982" w:rsidRDefault="007161DC">
            <w:pPr>
              <w:jc w:val="right"/>
              <w:rPr>
                <w:rFonts w:ascii="Times New Roman" w:hAnsi="Times New Roman"/>
                <w:color w:val="000000"/>
                <w:szCs w:val="20"/>
              </w:rPr>
            </w:pPr>
            <w:r w:rsidRPr="0095794E">
              <w:rPr>
                <w:rFonts w:ascii="Times New Roman" w:hAnsi="Times New Roman"/>
                <w:color w:val="000000"/>
                <w:szCs w:val="20"/>
              </w:rPr>
              <w:t> </w:t>
            </w:r>
          </w:p>
        </w:tc>
        <w:tc>
          <w:tcPr>
            <w:tcW w:w="1346" w:type="dxa"/>
            <w:tcBorders>
              <w:top w:val="nil"/>
              <w:left w:val="nil"/>
              <w:bottom w:val="single" w:color="auto" w:sz="4" w:space="0"/>
              <w:right w:val="nil"/>
            </w:tcBorders>
            <w:shd w:val="clear" w:color="000000" w:fill="FFFFFF"/>
            <w:noWrap/>
            <w:vAlign w:val="bottom"/>
            <w:hideMark/>
          </w:tcPr>
          <w:p w:rsidRPr="0095794E" w:rsidR="007161DC" w:rsidP="00792982" w:rsidRDefault="007161DC">
            <w:pPr>
              <w:rPr>
                <w:rFonts w:ascii="Times New Roman" w:hAnsi="Times New Roman"/>
                <w:color w:val="000000"/>
                <w:szCs w:val="20"/>
              </w:rPr>
            </w:pPr>
            <w:r w:rsidRPr="0095794E">
              <w:rPr>
                <w:rFonts w:ascii="Times New Roman" w:hAnsi="Times New Roman"/>
                <w:color w:val="000000"/>
                <w:szCs w:val="20"/>
              </w:rPr>
              <w:t> </w:t>
            </w:r>
          </w:p>
        </w:tc>
      </w:tr>
    </w:tbl>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Pr="0095794E" w:rsidR="007161DC" w:rsidP="007161DC" w:rsidRDefault="007161DC">
      <w:pPr>
        <w:rPr>
          <w:rFonts w:ascii="Times New Roman" w:hAnsi="Times New Roman"/>
          <w:szCs w:val="20"/>
        </w:rPr>
      </w:pPr>
    </w:p>
    <w:p w:rsidR="007161DC" w:rsidP="007161DC" w:rsidRDefault="007161DC"/>
    <w:p w:rsidR="007161DC" w:rsidP="007161DC" w:rsidRDefault="007161DC"/>
    <w:p w:rsidRPr="002168F4" w:rsidR="007161DC" w:rsidP="00A11E73" w:rsidRDefault="007161DC">
      <w:pPr>
        <w:tabs>
          <w:tab w:val="left" w:pos="284"/>
          <w:tab w:val="left" w:pos="567"/>
          <w:tab w:val="left" w:pos="851"/>
        </w:tabs>
        <w:ind w:right="1848"/>
        <w:rPr>
          <w:rFonts w:ascii="Times New Roman" w:hAnsi="Times New Roman"/>
          <w:sz w:val="24"/>
          <w:szCs w:val="20"/>
        </w:rPr>
      </w:pPr>
    </w:p>
    <w:sectPr w:rsidRPr="002168F4" w:rsidR="007161DC" w:rsidSect="00792982">
      <w:footerReference w:type="even" r:id="rId14"/>
      <w:footerReference w:type="default" r:id="rId1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97" w:rsidRDefault="00AB3297">
      <w:pPr>
        <w:spacing w:line="20" w:lineRule="exact"/>
      </w:pPr>
    </w:p>
  </w:endnote>
  <w:endnote w:type="continuationSeparator" w:id="0">
    <w:p w:rsidR="00AB3297" w:rsidRDefault="00AB3297">
      <w:pPr>
        <w:pStyle w:val="Amendement"/>
      </w:pPr>
      <w:r>
        <w:rPr>
          <w:b w:val="0"/>
          <w:bCs w:val="0"/>
        </w:rPr>
        <w:t xml:space="preserve"> </w:t>
      </w:r>
    </w:p>
  </w:endnote>
  <w:endnote w:type="continuationNotice" w:id="1">
    <w:p w:rsidR="00AB3297" w:rsidRDefault="00AB32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topia">
    <w:altName w:val="Nyala"/>
    <w:charset w:val="00"/>
    <w:family w:val="roman"/>
    <w:pitch w:val="variable"/>
    <w:sig w:usb0="00000001"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rsidP="0079298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rsidR="00AB3297" w:rsidRDefault="00AB3297" w:rsidP="0079298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B3297" w:rsidRDefault="00AB3297"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Pr="002168F4" w:rsidRDefault="00AB329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A13CA">
      <w:rPr>
        <w:rStyle w:val="Paginanummer"/>
        <w:rFonts w:ascii="Times New Roman" w:hAnsi="Times New Roman"/>
        <w:noProof/>
      </w:rPr>
      <w:t>2</w:t>
    </w:r>
    <w:r w:rsidRPr="002168F4">
      <w:rPr>
        <w:rStyle w:val="Paginanummer"/>
        <w:rFonts w:ascii="Times New Roman" w:hAnsi="Times New Roman"/>
      </w:rPr>
      <w:fldChar w:fldCharType="end"/>
    </w:r>
  </w:p>
  <w:p w:rsidR="00AB3297" w:rsidRPr="002168F4" w:rsidRDefault="00AB3297"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97" w:rsidRDefault="00AB3297">
      <w:pPr>
        <w:pStyle w:val="Amendement"/>
      </w:pPr>
      <w:r>
        <w:rPr>
          <w:b w:val="0"/>
          <w:bCs w:val="0"/>
        </w:rPr>
        <w:separator/>
      </w:r>
    </w:p>
  </w:footnote>
  <w:footnote w:type="continuationSeparator" w:id="0">
    <w:p w:rsidR="00AB3297" w:rsidRDefault="00AB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97" w:rsidRDefault="00AB329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B54"/>
    <w:multiLevelType w:val="hybridMultilevel"/>
    <w:tmpl w:val="6D7E08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C7746D"/>
    <w:multiLevelType w:val="hybridMultilevel"/>
    <w:tmpl w:val="942CF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EC4066"/>
    <w:multiLevelType w:val="hybridMultilevel"/>
    <w:tmpl w:val="A39C0E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EAC2C86"/>
    <w:multiLevelType w:val="hybridMultilevel"/>
    <w:tmpl w:val="7B2E2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49207B6"/>
    <w:multiLevelType w:val="hybridMultilevel"/>
    <w:tmpl w:val="23305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213661D"/>
    <w:multiLevelType w:val="hybridMultilevel"/>
    <w:tmpl w:val="CD1E9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3831C64"/>
    <w:multiLevelType w:val="hybridMultilevel"/>
    <w:tmpl w:val="A2182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4474D05"/>
    <w:multiLevelType w:val="hybridMultilevel"/>
    <w:tmpl w:val="5C522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DC"/>
    <w:rsid w:val="00012DBE"/>
    <w:rsid w:val="000A1D81"/>
    <w:rsid w:val="00111ED3"/>
    <w:rsid w:val="001C190E"/>
    <w:rsid w:val="002168F4"/>
    <w:rsid w:val="002451CC"/>
    <w:rsid w:val="002A727C"/>
    <w:rsid w:val="003A13CA"/>
    <w:rsid w:val="005D2707"/>
    <w:rsid w:val="00606255"/>
    <w:rsid w:val="006B607A"/>
    <w:rsid w:val="007161DC"/>
    <w:rsid w:val="0076596E"/>
    <w:rsid w:val="00792982"/>
    <w:rsid w:val="007C4C8E"/>
    <w:rsid w:val="007D451C"/>
    <w:rsid w:val="008149DD"/>
    <w:rsid w:val="00826224"/>
    <w:rsid w:val="00930A23"/>
    <w:rsid w:val="0095794E"/>
    <w:rsid w:val="009C7354"/>
    <w:rsid w:val="009E6D7F"/>
    <w:rsid w:val="00A11E73"/>
    <w:rsid w:val="00A2521E"/>
    <w:rsid w:val="00AB3297"/>
    <w:rsid w:val="00AE436A"/>
    <w:rsid w:val="00C135B1"/>
    <w:rsid w:val="00C92DF8"/>
    <w:rsid w:val="00CB3578"/>
    <w:rsid w:val="00D20AFA"/>
    <w:rsid w:val="00D55648"/>
    <w:rsid w:val="00E16443"/>
    <w:rsid w:val="00E36EE9"/>
    <w:rsid w:val="00E75925"/>
    <w:rsid w:val="00EE552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harChar1CharCharCharChar">
    <w:name w:val="Char Char1 Char Char Char Char"/>
    <w:basedOn w:val="Standaard"/>
    <w:rsid w:val="007161DC"/>
    <w:pPr>
      <w:spacing w:after="160" w:line="240" w:lineRule="exact"/>
    </w:pPr>
    <w:rPr>
      <w:rFonts w:ascii="Tahoma" w:hAnsi="Tahoma"/>
      <w:szCs w:val="20"/>
      <w:lang w:val="en-US" w:eastAsia="en-US"/>
    </w:rPr>
  </w:style>
  <w:style w:type="character" w:styleId="Verwijzingopmerking">
    <w:name w:val="annotation reference"/>
    <w:uiPriority w:val="99"/>
    <w:rsid w:val="007161DC"/>
    <w:rPr>
      <w:sz w:val="16"/>
      <w:szCs w:val="16"/>
    </w:rPr>
  </w:style>
  <w:style w:type="paragraph" w:styleId="Tekstopmerking">
    <w:name w:val="annotation text"/>
    <w:basedOn w:val="Standaard"/>
    <w:link w:val="TekstopmerkingChar"/>
    <w:rsid w:val="007161DC"/>
    <w:rPr>
      <w:rFonts w:asciiTheme="minorHAnsi" w:hAnsiTheme="minorHAnsi"/>
      <w:szCs w:val="20"/>
      <w:lang w:eastAsia="en-US"/>
    </w:rPr>
  </w:style>
  <w:style w:type="character" w:customStyle="1" w:styleId="TekstopmerkingChar">
    <w:name w:val="Tekst opmerking Char"/>
    <w:basedOn w:val="Standaardalinea-lettertype"/>
    <w:link w:val="Tekstopmerking"/>
    <w:rsid w:val="007161DC"/>
    <w:rPr>
      <w:rFonts w:asciiTheme="minorHAnsi" w:hAnsiTheme="minorHAnsi"/>
      <w:lang w:eastAsia="en-US"/>
    </w:rPr>
  </w:style>
  <w:style w:type="paragraph" w:styleId="Ballontekst">
    <w:name w:val="Balloon Text"/>
    <w:basedOn w:val="Standaard"/>
    <w:link w:val="BallontekstChar"/>
    <w:rsid w:val="007161DC"/>
    <w:rPr>
      <w:rFonts w:ascii="Tahoma" w:hAnsi="Tahoma" w:cs="Tahoma"/>
      <w:sz w:val="16"/>
      <w:szCs w:val="16"/>
      <w:lang w:eastAsia="en-US"/>
    </w:rPr>
  </w:style>
  <w:style w:type="character" w:customStyle="1" w:styleId="BallontekstChar">
    <w:name w:val="Ballontekst Char"/>
    <w:basedOn w:val="Standaardalinea-lettertype"/>
    <w:link w:val="Ballontekst"/>
    <w:rsid w:val="007161DC"/>
    <w:rPr>
      <w:rFonts w:ascii="Tahoma" w:hAnsi="Tahoma" w:cs="Tahoma"/>
      <w:sz w:val="16"/>
      <w:szCs w:val="16"/>
      <w:lang w:eastAsia="en-US"/>
    </w:rPr>
  </w:style>
  <w:style w:type="paragraph" w:styleId="Onderwerpvanopmerking">
    <w:name w:val="annotation subject"/>
    <w:basedOn w:val="Tekstopmerking"/>
    <w:next w:val="Tekstopmerking"/>
    <w:link w:val="OnderwerpvanopmerkingChar"/>
    <w:rsid w:val="007161DC"/>
    <w:rPr>
      <w:b/>
      <w:bCs/>
    </w:rPr>
  </w:style>
  <w:style w:type="character" w:customStyle="1" w:styleId="OnderwerpvanopmerkingChar">
    <w:name w:val="Onderwerp van opmerking Char"/>
    <w:basedOn w:val="TekstopmerkingChar"/>
    <w:link w:val="Onderwerpvanopmerking"/>
    <w:rsid w:val="007161DC"/>
    <w:rPr>
      <w:rFonts w:asciiTheme="minorHAnsi" w:hAnsiTheme="minorHAnsi"/>
      <w:b/>
      <w:bCs/>
      <w:lang w:eastAsia="en-US"/>
    </w:rPr>
  </w:style>
  <w:style w:type="paragraph" w:customStyle="1" w:styleId="CharCharChar">
    <w:name w:val="Char Char Char"/>
    <w:aliases w:val="Standaardalinea-lettertype Char Char Char, Char Char Char Char Char Char1 Char"/>
    <w:basedOn w:val="Standaard"/>
    <w:rsid w:val="007161DC"/>
    <w:pPr>
      <w:spacing w:after="160" w:line="240" w:lineRule="exact"/>
    </w:pPr>
    <w:rPr>
      <w:rFonts w:ascii="Utopia" w:hAnsi="Utopia"/>
      <w:sz w:val="22"/>
      <w:lang w:eastAsia="en-US"/>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Standaard"/>
    <w:rsid w:val="007161DC"/>
    <w:pPr>
      <w:spacing w:after="160" w:line="240" w:lineRule="exact"/>
    </w:pPr>
    <w:rPr>
      <w:rFonts w:ascii="Utopia" w:hAnsi="Utopia"/>
      <w:sz w:val="22"/>
      <w:lang w:eastAsia="en-US"/>
    </w:rPr>
  </w:style>
  <w:style w:type="character" w:customStyle="1" w:styleId="msoins0">
    <w:name w:val="msoins"/>
    <w:basedOn w:val="Standaardalinea-lettertype"/>
    <w:rsid w:val="007161DC"/>
  </w:style>
  <w:style w:type="paragraph" w:customStyle="1" w:styleId="CharChar1CharChar">
    <w:name w:val="Char Char1 Char Char"/>
    <w:basedOn w:val="Standaard"/>
    <w:rsid w:val="007161DC"/>
    <w:pPr>
      <w:spacing w:after="160" w:line="240" w:lineRule="exact"/>
    </w:pPr>
    <w:rPr>
      <w:rFonts w:ascii="Tahoma" w:eastAsia="MS Mincho" w:hAnsi="Tahoma"/>
      <w:szCs w:val="20"/>
      <w:lang w:val="en-US" w:eastAsia="en-US"/>
    </w:rPr>
  </w:style>
  <w:style w:type="paragraph" w:styleId="Lijstalinea">
    <w:name w:val="List Paragraph"/>
    <w:basedOn w:val="Standaard"/>
    <w:uiPriority w:val="34"/>
    <w:qFormat/>
    <w:rsid w:val="007161DC"/>
    <w:pPr>
      <w:ind w:left="708"/>
    </w:pPr>
    <w:rPr>
      <w:rFonts w:asciiTheme="minorHAnsi" w:hAnsiTheme="minorHAnsi"/>
      <w:lang w:eastAsia="en-US"/>
    </w:rPr>
  </w:style>
  <w:style w:type="paragraph" w:styleId="Geenafstand">
    <w:name w:val="No Spacing"/>
    <w:uiPriority w:val="1"/>
    <w:qFormat/>
    <w:rsid w:val="007161DC"/>
    <w:rPr>
      <w:sz w:val="24"/>
      <w:szCs w:val="24"/>
      <w:lang w:eastAsia="en-US"/>
    </w:rPr>
  </w:style>
  <w:style w:type="character" w:customStyle="1" w:styleId="Kop2Char">
    <w:name w:val="Kop 2 Char"/>
    <w:basedOn w:val="Standaardalinea-lettertype"/>
    <w:link w:val="Kop2"/>
    <w:uiPriority w:val="9"/>
    <w:rsid w:val="007161DC"/>
    <w:rPr>
      <w:rFonts w:ascii="Verdana" w:hAnsi="Verdana" w:cs="Arial"/>
      <w:b/>
      <w:bCs/>
      <w:i/>
      <w:iCs/>
      <w:sz w:val="28"/>
      <w:szCs w:val="28"/>
    </w:rPr>
  </w:style>
  <w:style w:type="character" w:customStyle="1" w:styleId="Kop1Char">
    <w:name w:val="Kop 1 Char"/>
    <w:basedOn w:val="Standaardalinea-lettertype"/>
    <w:link w:val="Kop1"/>
    <w:rsid w:val="007161DC"/>
    <w:rPr>
      <w:rFonts w:ascii="Verdana" w:hAnsi="Verdana" w:cs="Arial"/>
      <w:b/>
      <w:bCs/>
      <w:kern w:val="32"/>
      <w:sz w:val="32"/>
      <w:szCs w:val="32"/>
    </w:rPr>
  </w:style>
  <w:style w:type="paragraph" w:styleId="Revisie">
    <w:name w:val="Revision"/>
    <w:hidden/>
    <w:uiPriority w:val="99"/>
    <w:semiHidden/>
    <w:rsid w:val="007161DC"/>
    <w:rPr>
      <w:rFonts w:ascii="Verdana" w:hAnsi="Verdana"/>
      <w:sz w:val="18"/>
      <w:szCs w:val="24"/>
      <w:lang w:eastAsia="en-US"/>
    </w:rPr>
  </w:style>
  <w:style w:type="paragraph" w:customStyle="1" w:styleId="broodtekst">
    <w:name w:val="broodtekst"/>
    <w:basedOn w:val="Standaard"/>
    <w:link w:val="broodtekstChar"/>
    <w:qFormat/>
    <w:rsid w:val="007161DC"/>
    <w:pPr>
      <w:autoSpaceDE w:val="0"/>
      <w:autoSpaceDN w:val="0"/>
      <w:adjustRightInd w:val="0"/>
      <w:spacing w:line="240" w:lineRule="atLeast"/>
    </w:pPr>
    <w:rPr>
      <w:sz w:val="18"/>
      <w:szCs w:val="18"/>
    </w:rPr>
  </w:style>
  <w:style w:type="character" w:customStyle="1" w:styleId="broodtekstChar">
    <w:name w:val="broodtekst Char"/>
    <w:link w:val="broodtekst"/>
    <w:rsid w:val="007161DC"/>
    <w:rPr>
      <w:rFonts w:ascii="Verdana" w:hAnsi="Verdana"/>
      <w:sz w:val="18"/>
      <w:szCs w:val="18"/>
    </w:rPr>
  </w:style>
  <w:style w:type="table" w:styleId="Tabelraster">
    <w:name w:val="Table Grid"/>
    <w:basedOn w:val="Standaardtabel"/>
    <w:uiPriority w:val="59"/>
    <w:rsid w:val="007161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7161DC"/>
    <w:rPr>
      <w:rFonts w:ascii="Verdana" w:hAnsi="Verdana"/>
      <w:szCs w:val="24"/>
    </w:rPr>
  </w:style>
  <w:style w:type="character" w:styleId="Voetnootmarkering">
    <w:name w:val="footnote reference"/>
    <w:basedOn w:val="Standaardalinea-lettertype"/>
    <w:uiPriority w:val="99"/>
    <w:unhideWhenUsed/>
    <w:rsid w:val="007161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harChar1CharCharCharChar">
    <w:name w:val="Char Char1 Char Char Char Char"/>
    <w:basedOn w:val="Standaard"/>
    <w:rsid w:val="007161DC"/>
    <w:pPr>
      <w:spacing w:after="160" w:line="240" w:lineRule="exact"/>
    </w:pPr>
    <w:rPr>
      <w:rFonts w:ascii="Tahoma" w:hAnsi="Tahoma"/>
      <w:szCs w:val="20"/>
      <w:lang w:val="en-US" w:eastAsia="en-US"/>
    </w:rPr>
  </w:style>
  <w:style w:type="character" w:styleId="Verwijzingopmerking">
    <w:name w:val="annotation reference"/>
    <w:uiPriority w:val="99"/>
    <w:rsid w:val="007161DC"/>
    <w:rPr>
      <w:sz w:val="16"/>
      <w:szCs w:val="16"/>
    </w:rPr>
  </w:style>
  <w:style w:type="paragraph" w:styleId="Tekstopmerking">
    <w:name w:val="annotation text"/>
    <w:basedOn w:val="Standaard"/>
    <w:link w:val="TekstopmerkingChar"/>
    <w:rsid w:val="007161DC"/>
    <w:rPr>
      <w:rFonts w:asciiTheme="minorHAnsi" w:hAnsiTheme="minorHAnsi"/>
      <w:szCs w:val="20"/>
      <w:lang w:eastAsia="en-US"/>
    </w:rPr>
  </w:style>
  <w:style w:type="character" w:customStyle="1" w:styleId="TekstopmerkingChar">
    <w:name w:val="Tekst opmerking Char"/>
    <w:basedOn w:val="Standaardalinea-lettertype"/>
    <w:link w:val="Tekstopmerking"/>
    <w:rsid w:val="007161DC"/>
    <w:rPr>
      <w:rFonts w:asciiTheme="minorHAnsi" w:hAnsiTheme="minorHAnsi"/>
      <w:lang w:eastAsia="en-US"/>
    </w:rPr>
  </w:style>
  <w:style w:type="paragraph" w:styleId="Ballontekst">
    <w:name w:val="Balloon Text"/>
    <w:basedOn w:val="Standaard"/>
    <w:link w:val="BallontekstChar"/>
    <w:rsid w:val="007161DC"/>
    <w:rPr>
      <w:rFonts w:ascii="Tahoma" w:hAnsi="Tahoma" w:cs="Tahoma"/>
      <w:sz w:val="16"/>
      <w:szCs w:val="16"/>
      <w:lang w:eastAsia="en-US"/>
    </w:rPr>
  </w:style>
  <w:style w:type="character" w:customStyle="1" w:styleId="BallontekstChar">
    <w:name w:val="Ballontekst Char"/>
    <w:basedOn w:val="Standaardalinea-lettertype"/>
    <w:link w:val="Ballontekst"/>
    <w:rsid w:val="007161DC"/>
    <w:rPr>
      <w:rFonts w:ascii="Tahoma" w:hAnsi="Tahoma" w:cs="Tahoma"/>
      <w:sz w:val="16"/>
      <w:szCs w:val="16"/>
      <w:lang w:eastAsia="en-US"/>
    </w:rPr>
  </w:style>
  <w:style w:type="paragraph" w:styleId="Onderwerpvanopmerking">
    <w:name w:val="annotation subject"/>
    <w:basedOn w:val="Tekstopmerking"/>
    <w:next w:val="Tekstopmerking"/>
    <w:link w:val="OnderwerpvanopmerkingChar"/>
    <w:rsid w:val="007161DC"/>
    <w:rPr>
      <w:b/>
      <w:bCs/>
    </w:rPr>
  </w:style>
  <w:style w:type="character" w:customStyle="1" w:styleId="OnderwerpvanopmerkingChar">
    <w:name w:val="Onderwerp van opmerking Char"/>
    <w:basedOn w:val="TekstopmerkingChar"/>
    <w:link w:val="Onderwerpvanopmerking"/>
    <w:rsid w:val="007161DC"/>
    <w:rPr>
      <w:rFonts w:asciiTheme="minorHAnsi" w:hAnsiTheme="minorHAnsi"/>
      <w:b/>
      <w:bCs/>
      <w:lang w:eastAsia="en-US"/>
    </w:rPr>
  </w:style>
  <w:style w:type="paragraph" w:customStyle="1" w:styleId="CharCharChar">
    <w:name w:val="Char Char Char"/>
    <w:aliases w:val="Standaardalinea-lettertype Char Char Char, Char Char Char Char Char Char1 Char"/>
    <w:basedOn w:val="Standaard"/>
    <w:rsid w:val="007161DC"/>
    <w:pPr>
      <w:spacing w:after="160" w:line="240" w:lineRule="exact"/>
    </w:pPr>
    <w:rPr>
      <w:rFonts w:ascii="Utopia" w:hAnsi="Utopia"/>
      <w:sz w:val="22"/>
      <w:lang w:eastAsia="en-US"/>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Standaard"/>
    <w:rsid w:val="007161DC"/>
    <w:pPr>
      <w:spacing w:after="160" w:line="240" w:lineRule="exact"/>
    </w:pPr>
    <w:rPr>
      <w:rFonts w:ascii="Utopia" w:hAnsi="Utopia"/>
      <w:sz w:val="22"/>
      <w:lang w:eastAsia="en-US"/>
    </w:rPr>
  </w:style>
  <w:style w:type="character" w:customStyle="1" w:styleId="msoins0">
    <w:name w:val="msoins"/>
    <w:basedOn w:val="Standaardalinea-lettertype"/>
    <w:rsid w:val="007161DC"/>
  </w:style>
  <w:style w:type="paragraph" w:customStyle="1" w:styleId="CharChar1CharChar">
    <w:name w:val="Char Char1 Char Char"/>
    <w:basedOn w:val="Standaard"/>
    <w:rsid w:val="007161DC"/>
    <w:pPr>
      <w:spacing w:after="160" w:line="240" w:lineRule="exact"/>
    </w:pPr>
    <w:rPr>
      <w:rFonts w:ascii="Tahoma" w:eastAsia="MS Mincho" w:hAnsi="Tahoma"/>
      <w:szCs w:val="20"/>
      <w:lang w:val="en-US" w:eastAsia="en-US"/>
    </w:rPr>
  </w:style>
  <w:style w:type="paragraph" w:styleId="Lijstalinea">
    <w:name w:val="List Paragraph"/>
    <w:basedOn w:val="Standaard"/>
    <w:uiPriority w:val="34"/>
    <w:qFormat/>
    <w:rsid w:val="007161DC"/>
    <w:pPr>
      <w:ind w:left="708"/>
    </w:pPr>
    <w:rPr>
      <w:rFonts w:asciiTheme="minorHAnsi" w:hAnsiTheme="minorHAnsi"/>
      <w:lang w:eastAsia="en-US"/>
    </w:rPr>
  </w:style>
  <w:style w:type="paragraph" w:styleId="Geenafstand">
    <w:name w:val="No Spacing"/>
    <w:uiPriority w:val="1"/>
    <w:qFormat/>
    <w:rsid w:val="007161DC"/>
    <w:rPr>
      <w:sz w:val="24"/>
      <w:szCs w:val="24"/>
      <w:lang w:eastAsia="en-US"/>
    </w:rPr>
  </w:style>
  <w:style w:type="character" w:customStyle="1" w:styleId="Kop2Char">
    <w:name w:val="Kop 2 Char"/>
    <w:basedOn w:val="Standaardalinea-lettertype"/>
    <w:link w:val="Kop2"/>
    <w:uiPriority w:val="9"/>
    <w:rsid w:val="007161DC"/>
    <w:rPr>
      <w:rFonts w:ascii="Verdana" w:hAnsi="Verdana" w:cs="Arial"/>
      <w:b/>
      <w:bCs/>
      <w:i/>
      <w:iCs/>
      <w:sz w:val="28"/>
      <w:szCs w:val="28"/>
    </w:rPr>
  </w:style>
  <w:style w:type="character" w:customStyle="1" w:styleId="Kop1Char">
    <w:name w:val="Kop 1 Char"/>
    <w:basedOn w:val="Standaardalinea-lettertype"/>
    <w:link w:val="Kop1"/>
    <w:rsid w:val="007161DC"/>
    <w:rPr>
      <w:rFonts w:ascii="Verdana" w:hAnsi="Verdana" w:cs="Arial"/>
      <w:b/>
      <w:bCs/>
      <w:kern w:val="32"/>
      <w:sz w:val="32"/>
      <w:szCs w:val="32"/>
    </w:rPr>
  </w:style>
  <w:style w:type="paragraph" w:styleId="Revisie">
    <w:name w:val="Revision"/>
    <w:hidden/>
    <w:uiPriority w:val="99"/>
    <w:semiHidden/>
    <w:rsid w:val="007161DC"/>
    <w:rPr>
      <w:rFonts w:ascii="Verdana" w:hAnsi="Verdana"/>
      <w:sz w:val="18"/>
      <w:szCs w:val="24"/>
      <w:lang w:eastAsia="en-US"/>
    </w:rPr>
  </w:style>
  <w:style w:type="paragraph" w:customStyle="1" w:styleId="broodtekst">
    <w:name w:val="broodtekst"/>
    <w:basedOn w:val="Standaard"/>
    <w:link w:val="broodtekstChar"/>
    <w:qFormat/>
    <w:rsid w:val="007161DC"/>
    <w:pPr>
      <w:autoSpaceDE w:val="0"/>
      <w:autoSpaceDN w:val="0"/>
      <w:adjustRightInd w:val="0"/>
      <w:spacing w:line="240" w:lineRule="atLeast"/>
    </w:pPr>
    <w:rPr>
      <w:sz w:val="18"/>
      <w:szCs w:val="18"/>
    </w:rPr>
  </w:style>
  <w:style w:type="character" w:customStyle="1" w:styleId="broodtekstChar">
    <w:name w:val="broodtekst Char"/>
    <w:link w:val="broodtekst"/>
    <w:rsid w:val="007161DC"/>
    <w:rPr>
      <w:rFonts w:ascii="Verdana" w:hAnsi="Verdana"/>
      <w:sz w:val="18"/>
      <w:szCs w:val="18"/>
    </w:rPr>
  </w:style>
  <w:style w:type="table" w:styleId="Tabelraster">
    <w:name w:val="Table Grid"/>
    <w:basedOn w:val="Standaardtabel"/>
    <w:uiPriority w:val="59"/>
    <w:rsid w:val="007161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7161DC"/>
    <w:rPr>
      <w:rFonts w:ascii="Verdana" w:hAnsi="Verdana"/>
      <w:szCs w:val="24"/>
    </w:rPr>
  </w:style>
  <w:style w:type="character" w:styleId="Voetnootmarkering">
    <w:name w:val="footnote reference"/>
    <w:basedOn w:val="Standaardalinea-lettertype"/>
    <w:uiPriority w:val="99"/>
    <w:unhideWhenUsed/>
    <w:rsid w:val="00716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1403</ap:Words>
  <ap:Characters>7721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2019-07-02T08:32:00.0000000Z</dcterms:created>
  <dcterms:modified xsi:type="dcterms:W3CDTF">2019-07-08T08:39:00.0000000Z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