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87889" w:rsidR="00887889" w:rsidP="000D0DF5" w:rsidRDefault="0088788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De Tweede Kamer der Staten-</w:t>
            </w:r>
            <w:r w:rsidRPr="00887889">
              <w:rPr>
                <w:rFonts w:ascii="Times New Roman" w:hAnsi="Times New Roman"/>
              </w:rPr>
              <w:fldChar w:fldCharType="begin"/>
            </w:r>
            <w:r w:rsidRPr="00887889">
              <w:rPr>
                <w:rFonts w:ascii="Times New Roman" w:hAnsi="Times New Roman"/>
              </w:rPr>
              <w:instrText xml:space="preserve">PRIVATE </w:instrText>
            </w:r>
            <w:r w:rsidRPr="00887889">
              <w:rPr>
                <w:rFonts w:ascii="Times New Roman" w:hAnsi="Times New Roman"/>
              </w:rPr>
              <w:fldChar w:fldCharType="end"/>
            </w:r>
          </w:p>
          <w:p w:rsidRPr="00887889" w:rsidR="00887889" w:rsidP="000D0DF5" w:rsidRDefault="0088788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Generaal zendt bijgaand door</w:t>
            </w:r>
          </w:p>
          <w:p w:rsidRPr="00887889" w:rsidR="00887889" w:rsidP="000D0DF5" w:rsidRDefault="0088788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haar aangenomen wetsvoorstel</w:t>
            </w:r>
          </w:p>
          <w:p w:rsidRPr="00887889" w:rsidR="00887889" w:rsidP="000D0DF5" w:rsidRDefault="0088788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aan de Eerste Kamer.</w:t>
            </w:r>
          </w:p>
          <w:p w:rsidRPr="00887889" w:rsidR="00887889" w:rsidP="000D0DF5" w:rsidRDefault="0088788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7889" w:rsidR="00887889" w:rsidP="000D0DF5" w:rsidRDefault="0088788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De Voorzitter,</w:t>
            </w:r>
          </w:p>
          <w:p w:rsidRPr="00887889" w:rsidR="00887889" w:rsidP="000D0DF5" w:rsidRDefault="0088788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7889" w:rsidR="00887889" w:rsidP="000D0DF5" w:rsidRDefault="0088788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7889" w:rsidR="00887889" w:rsidP="000D0DF5" w:rsidRDefault="0088788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7889" w:rsidR="00887889" w:rsidP="000D0DF5" w:rsidRDefault="0088788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7889" w:rsidR="00887889" w:rsidP="000D0DF5" w:rsidRDefault="0088788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7889" w:rsidR="00887889" w:rsidP="000D0DF5" w:rsidRDefault="0088788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7889" w:rsidR="00887889" w:rsidP="000D0DF5" w:rsidRDefault="0088788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7889" w:rsidR="00887889" w:rsidP="000D0DF5" w:rsidRDefault="0088788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87889" w:rsidR="00887889" w:rsidP="000D0DF5" w:rsidRDefault="00887889">
            <w:pPr>
              <w:rPr>
                <w:rFonts w:ascii="Times New Roman" w:hAnsi="Times New Roman"/>
              </w:rPr>
            </w:pPr>
          </w:p>
          <w:p w:rsidRPr="002168F4" w:rsidR="00CB3578" w:rsidP="00887889" w:rsidRDefault="00887889">
            <w:pPr>
              <w:pStyle w:val="Amendement"/>
              <w:rPr>
                <w:rFonts w:ascii="Times New Roman" w:hAnsi="Times New Roman" w:cs="Times New Roman"/>
              </w:rPr>
            </w:pPr>
            <w:r w:rsidRPr="00887889">
              <w:rPr>
                <w:rFonts w:ascii="Times New Roman" w:hAnsi="Times New Roman" w:cs="Times New Roman"/>
                <w:b w:val="0"/>
                <w:sz w:val="20"/>
              </w:rPr>
              <w:t>4 juli 2019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887889" w:rsidTr="004E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E285D" w:rsidR="00887889" w:rsidP="00B94655" w:rsidRDefault="00887889">
            <w:pPr>
              <w:rPr>
                <w:rFonts w:ascii="Times New Roman" w:hAnsi="Times New Roman"/>
                <w:b/>
                <w:sz w:val="24"/>
              </w:rPr>
            </w:pPr>
            <w:r w:rsidRPr="00BE285D">
              <w:rPr>
                <w:rFonts w:ascii="Times New Roman" w:hAnsi="Times New Roman"/>
                <w:b/>
                <w:sz w:val="24"/>
              </w:rPr>
              <w:t>Wijziging van de begrotingsstaat van het Ministerie van Financiën (IXB) en de begrotingsstaat van Nationale Schuld (IXA) voor het jaar 2019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887889" w:rsidTr="00F7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887889" w:rsidRDefault="00887889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90525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Pr="00F90525" w:rsidR="00F90525" w:rsidP="00250D7D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F90525" w:rsidR="00F90525" w:rsidP="00250D7D" w:rsidRDefault="00F90525">
      <w:pPr>
        <w:rPr>
          <w:rFonts w:ascii="Times New Roman" w:hAnsi="Times New Roman"/>
          <w:sz w:val="24"/>
          <w:szCs w:val="20"/>
        </w:rPr>
      </w:pPr>
    </w:p>
    <w:p w:rsidRPr="00F90525" w:rsidR="00F90525" w:rsidP="00250D7D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F90525" w:rsidR="00F90525" w:rsidP="00250D7D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326543" w:rsidR="00326543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Ministerie van Fin</w:t>
      </w:r>
      <w:r w:rsidR="00326543">
        <w:rPr>
          <w:rFonts w:ascii="Times New Roman" w:hAnsi="Times New Roman"/>
          <w:sz w:val="24"/>
          <w:szCs w:val="20"/>
        </w:rPr>
        <w:t>anciën (IX), voor het jaar 2019</w:t>
      </w:r>
      <w:r w:rsidRPr="00F90525">
        <w:rPr>
          <w:rFonts w:ascii="Times New Roman" w:hAnsi="Times New Roman"/>
          <w:sz w:val="24"/>
          <w:szCs w:val="20"/>
        </w:rPr>
        <w:t>;</w:t>
      </w:r>
    </w:p>
    <w:p w:rsidRPr="00250D7D" w:rsidR="00F90525" w:rsidP="00250D7D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Pr="00BE285D" w:rsidR="00887889" w:rsidP="00250D7D" w:rsidRDefault="00887889">
      <w:pPr>
        <w:rPr>
          <w:rFonts w:ascii="Times New Roman" w:hAnsi="Times New Roman"/>
          <w:sz w:val="24"/>
        </w:rPr>
      </w:pPr>
    </w:p>
    <w:p w:rsidR="00BE285D" w:rsidP="00250D7D" w:rsidRDefault="00BE285D">
      <w:pPr>
        <w:rPr>
          <w:rFonts w:ascii="Times New Roman" w:hAnsi="Times New Roman"/>
          <w:color w:val="000000"/>
          <w:sz w:val="24"/>
        </w:rPr>
      </w:pPr>
      <w:r w:rsidRPr="00BE285D">
        <w:rPr>
          <w:rFonts w:ascii="Times New Roman" w:hAnsi="Times New Roman"/>
          <w:b/>
          <w:color w:val="000000"/>
          <w:sz w:val="24"/>
        </w:rPr>
        <w:t>Artikel 1</w:t>
      </w:r>
      <w:r w:rsidRPr="00BE285D">
        <w:rPr>
          <w:rFonts w:ascii="Times New Roman" w:hAnsi="Times New Roman"/>
          <w:color w:val="C00000"/>
          <w:sz w:val="24"/>
        </w:rPr>
        <w:br/>
      </w:r>
    </w:p>
    <w:p w:rsidRPr="00BE285D" w:rsidR="00BE285D" w:rsidP="00250D7D" w:rsidRDefault="00BE285D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 w:rsidRPr="00BE285D">
        <w:rPr>
          <w:rFonts w:ascii="Times New Roman" w:hAnsi="Times New Roman"/>
          <w:color w:val="000000"/>
          <w:sz w:val="24"/>
        </w:rPr>
        <w:t>De departementale begrotingsstaat van het Ministerie van Financiën (IXB) voor het jaar 2019 wordt gewijzigd, zoals blijkt uit de desbetreffende bij deze wet behorende staat.</w:t>
      </w:r>
    </w:p>
    <w:p w:rsidRPr="00BE285D" w:rsidR="00BE285D" w:rsidP="00250D7D" w:rsidRDefault="00BE285D">
      <w:pPr>
        <w:rPr>
          <w:rFonts w:ascii="Times New Roman" w:hAnsi="Times New Roman"/>
          <w:b/>
          <w:color w:val="000000"/>
          <w:sz w:val="24"/>
        </w:rPr>
      </w:pPr>
    </w:p>
    <w:p w:rsidR="00BE285D" w:rsidP="00250D7D" w:rsidRDefault="00BE285D">
      <w:pPr>
        <w:rPr>
          <w:rFonts w:ascii="Times New Roman" w:hAnsi="Times New Roman"/>
          <w:b/>
          <w:color w:val="000000"/>
          <w:sz w:val="24"/>
        </w:rPr>
      </w:pPr>
      <w:r w:rsidRPr="00BE285D">
        <w:rPr>
          <w:rFonts w:ascii="Times New Roman" w:hAnsi="Times New Roman"/>
          <w:b/>
          <w:color w:val="000000"/>
          <w:sz w:val="24"/>
        </w:rPr>
        <w:t>Artikel 2</w:t>
      </w:r>
    </w:p>
    <w:p w:rsidRPr="00BE285D" w:rsidR="00BE285D" w:rsidP="00250D7D" w:rsidRDefault="00BE285D">
      <w:pPr>
        <w:rPr>
          <w:rFonts w:ascii="Times New Roman" w:hAnsi="Times New Roman"/>
          <w:color w:val="000000"/>
          <w:sz w:val="24"/>
        </w:rPr>
      </w:pPr>
      <w:r w:rsidRPr="00BE285D"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ab/>
      </w:r>
      <w:r w:rsidRPr="00BE285D">
        <w:rPr>
          <w:rFonts w:ascii="Times New Roman" w:hAnsi="Times New Roman"/>
          <w:color w:val="000000"/>
          <w:sz w:val="24"/>
        </w:rPr>
        <w:t xml:space="preserve">De begrotingsstaat van Nationale Schuld (IXA) voor het jaar 2019 wordt gewijzigd, zoals blijkt uit de desbetreffende bij deze wet behorende staat. </w:t>
      </w:r>
    </w:p>
    <w:p w:rsidRPr="00BE285D" w:rsidR="00BE285D" w:rsidP="00250D7D" w:rsidRDefault="00BE285D">
      <w:pPr>
        <w:rPr>
          <w:rFonts w:ascii="Times New Roman" w:hAnsi="Times New Roman"/>
          <w:color w:val="C00000"/>
          <w:sz w:val="24"/>
        </w:rPr>
      </w:pPr>
    </w:p>
    <w:p w:rsidR="00BE285D" w:rsidP="00250D7D" w:rsidRDefault="00BE285D">
      <w:pPr>
        <w:rPr>
          <w:rFonts w:ascii="Times New Roman" w:hAnsi="Times New Roman"/>
          <w:b/>
          <w:color w:val="000000"/>
          <w:sz w:val="24"/>
        </w:rPr>
      </w:pPr>
      <w:r w:rsidRPr="00BE285D">
        <w:rPr>
          <w:rFonts w:ascii="Times New Roman" w:hAnsi="Times New Roman"/>
          <w:b/>
          <w:color w:val="000000"/>
          <w:sz w:val="24"/>
        </w:rPr>
        <w:t>Artikel 3</w:t>
      </w:r>
    </w:p>
    <w:p w:rsidRPr="00BE285D" w:rsidR="00BE285D" w:rsidP="00250D7D" w:rsidRDefault="00BE285D">
      <w:pPr>
        <w:rPr>
          <w:rFonts w:ascii="Times New Roman" w:hAnsi="Times New Roman"/>
          <w:color w:val="000000"/>
          <w:sz w:val="24"/>
        </w:rPr>
      </w:pPr>
      <w:r w:rsidRPr="00BE285D"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ab/>
      </w:r>
      <w:r w:rsidRPr="00BE285D">
        <w:rPr>
          <w:rFonts w:ascii="Times New Roman" w:hAnsi="Times New Roman"/>
          <w:color w:val="000000"/>
          <w:sz w:val="24"/>
        </w:rPr>
        <w:t>De vaststelling van de begrotingsstaten geschiedt in duizenden euro’s.</w:t>
      </w:r>
    </w:p>
    <w:p w:rsidRPr="00BE285D" w:rsidR="00BE285D" w:rsidP="00250D7D" w:rsidRDefault="00BE285D">
      <w:pPr>
        <w:rPr>
          <w:rFonts w:ascii="Times New Roman" w:hAnsi="Times New Roman"/>
          <w:color w:val="C00000"/>
          <w:sz w:val="24"/>
        </w:rPr>
      </w:pPr>
    </w:p>
    <w:p w:rsidR="00BE285D" w:rsidP="00250D7D" w:rsidRDefault="00BE285D">
      <w:pPr>
        <w:rPr>
          <w:rFonts w:ascii="Times New Roman" w:hAnsi="Times New Roman"/>
          <w:b/>
          <w:color w:val="000000"/>
          <w:sz w:val="24"/>
        </w:rPr>
      </w:pPr>
      <w:r w:rsidRPr="00BE285D">
        <w:rPr>
          <w:rFonts w:ascii="Times New Roman" w:hAnsi="Times New Roman"/>
          <w:b/>
          <w:color w:val="000000"/>
          <w:sz w:val="24"/>
        </w:rPr>
        <w:t>Artikel 4</w:t>
      </w:r>
    </w:p>
    <w:p w:rsidRPr="00BE285D" w:rsidR="00BE285D" w:rsidP="00250D7D" w:rsidRDefault="00BE285D">
      <w:pPr>
        <w:rPr>
          <w:rFonts w:ascii="Times New Roman" w:hAnsi="Times New Roman"/>
          <w:color w:val="000000"/>
          <w:sz w:val="24"/>
        </w:rPr>
      </w:pPr>
      <w:r w:rsidRPr="00BE285D">
        <w:rPr>
          <w:rFonts w:ascii="Times New Roman" w:hAnsi="Times New Roman"/>
          <w:color w:val="C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ab/>
      </w:r>
      <w:r w:rsidRPr="00BE285D">
        <w:rPr>
          <w:rFonts w:ascii="Times New Roman" w:hAnsi="Times New Roman"/>
          <w:color w:val="000000"/>
          <w:sz w:val="24"/>
        </w:rPr>
        <w:t xml:space="preserve">Deze wet treedt in werking met ingang van 1 juni 2019 van het onderhavige </w:t>
      </w:r>
      <w:r w:rsidRPr="00BE285D">
        <w:rPr>
          <w:rFonts w:ascii="Times New Roman" w:hAnsi="Times New Roman"/>
          <w:color w:val="000000"/>
          <w:sz w:val="24"/>
        </w:rPr>
        <w:lastRenderedPageBreak/>
        <w:t>begrotingsjaar. Indien het Staatsblad waarin deze wet wordt geplaatst, wordt uitgegeven op of na de datum van 1 juni, dan treedt zij inwerking met ingang van de dag na de datum van uitgifte van dat Staatsblad en werkt zij terug tot en met 1 juni van het onderhavige begrotingsjaar.</w:t>
      </w:r>
    </w:p>
    <w:p w:rsidRPr="00BE285D" w:rsidR="00F90525" w:rsidP="00250D7D" w:rsidRDefault="00F90525">
      <w:pPr>
        <w:rPr>
          <w:rFonts w:ascii="Times New Roman" w:hAnsi="Times New Roman"/>
          <w:sz w:val="24"/>
        </w:rPr>
      </w:pPr>
    </w:p>
    <w:p w:rsidRPr="00BE285D" w:rsidR="00F90525" w:rsidP="00250D7D" w:rsidRDefault="00F90525">
      <w:pPr>
        <w:rPr>
          <w:rFonts w:ascii="Times New Roman" w:hAnsi="Times New Roman"/>
          <w:sz w:val="24"/>
        </w:rPr>
      </w:pPr>
    </w:p>
    <w:p w:rsidRPr="00F90525" w:rsidR="00F90525" w:rsidP="00250D7D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F90525">
        <w:rPr>
          <w:rFonts w:ascii="Times New Roman" w:hAnsi="Times New Roman"/>
          <w:sz w:val="24"/>
          <w:szCs w:val="20"/>
        </w:rPr>
        <w:t xml:space="preserve">Lasten en bevelen dat deze in het Staatsblad zal worden geplaatst en dat alle Ministeries, autoriteiten, colleges en ambtenaren </w:t>
      </w:r>
      <w:r>
        <w:rPr>
          <w:rFonts w:ascii="Times New Roman" w:hAnsi="Times New Roman"/>
          <w:sz w:val="24"/>
          <w:szCs w:val="20"/>
        </w:rPr>
        <w:t>d</w:t>
      </w:r>
      <w:r w:rsidRPr="00F90525">
        <w:rPr>
          <w:rFonts w:ascii="Times New Roman" w:hAnsi="Times New Roman"/>
          <w:sz w:val="24"/>
          <w:szCs w:val="20"/>
        </w:rPr>
        <w:t>ie zulks aangaat, aan de nauwkeurige uitvoering de hand zullen houden.</w:t>
      </w:r>
    </w:p>
    <w:p w:rsidRPr="00F90525" w:rsidR="00F90525" w:rsidP="00250D7D" w:rsidRDefault="00F90525">
      <w:pPr>
        <w:rPr>
          <w:rFonts w:ascii="Times New Roman" w:hAnsi="Times New Roman"/>
          <w:sz w:val="24"/>
          <w:szCs w:val="20"/>
        </w:rPr>
      </w:pPr>
    </w:p>
    <w:p w:rsidRPr="00F90525" w:rsidR="00F90525" w:rsidP="00250D7D" w:rsidRDefault="00F90525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Gegeven</w:t>
      </w:r>
    </w:p>
    <w:p w:rsidRPr="00F90525"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Pr="00F90525" w:rsidR="00F90525" w:rsidP="00F90525" w:rsidRDefault="00F90525">
      <w:pPr>
        <w:rPr>
          <w:rFonts w:ascii="Times New Roman" w:hAnsi="Times New Roman"/>
          <w:sz w:val="24"/>
          <w:szCs w:val="20"/>
        </w:rPr>
      </w:pPr>
    </w:p>
    <w:p w:rsidR="00887889" w:rsidP="00F90525" w:rsidRDefault="00BE285D">
      <w:pPr>
        <w:rPr>
          <w:rFonts w:ascii="Times New Roman" w:hAnsi="Times New Roman"/>
          <w:sz w:val="24"/>
          <w:szCs w:val="20"/>
        </w:rPr>
      </w:pPr>
      <w:r w:rsidRPr="00BE285D">
        <w:rPr>
          <w:rFonts w:ascii="Times New Roman" w:hAnsi="Times New Roman"/>
          <w:sz w:val="24"/>
          <w:szCs w:val="20"/>
        </w:rPr>
        <w:t>De Minister van Financiën</w:t>
      </w:r>
      <w:r w:rsidR="00887889">
        <w:rPr>
          <w:rFonts w:ascii="Times New Roman" w:hAnsi="Times New Roman"/>
          <w:sz w:val="24"/>
          <w:szCs w:val="20"/>
        </w:rPr>
        <w:t>,</w:t>
      </w:r>
    </w:p>
    <w:p w:rsidR="00887889" w:rsidP="00F90525" w:rsidRDefault="00887889">
      <w:pPr>
        <w:rPr>
          <w:rFonts w:ascii="Times New Roman" w:hAnsi="Times New Roman"/>
          <w:sz w:val="24"/>
          <w:szCs w:val="20"/>
        </w:rPr>
      </w:pPr>
    </w:p>
    <w:p w:rsidR="00887889" w:rsidP="00F90525" w:rsidRDefault="00887889">
      <w:pPr>
        <w:rPr>
          <w:rFonts w:ascii="Times New Roman" w:hAnsi="Times New Roman"/>
          <w:sz w:val="24"/>
          <w:szCs w:val="20"/>
        </w:rPr>
      </w:pPr>
    </w:p>
    <w:p w:rsidR="00887889" w:rsidP="00F90525" w:rsidRDefault="00887889">
      <w:pPr>
        <w:rPr>
          <w:rFonts w:ascii="Times New Roman" w:hAnsi="Times New Roman"/>
          <w:sz w:val="24"/>
          <w:szCs w:val="20"/>
        </w:rPr>
      </w:pPr>
    </w:p>
    <w:p w:rsidR="00887889" w:rsidP="00F90525" w:rsidRDefault="00887889">
      <w:pPr>
        <w:rPr>
          <w:rFonts w:ascii="Times New Roman" w:hAnsi="Times New Roman"/>
          <w:sz w:val="24"/>
          <w:szCs w:val="20"/>
        </w:rPr>
      </w:pPr>
    </w:p>
    <w:p w:rsidR="00887889" w:rsidP="00F90525" w:rsidRDefault="00887889">
      <w:pPr>
        <w:rPr>
          <w:rFonts w:ascii="Times New Roman" w:hAnsi="Times New Roman"/>
          <w:sz w:val="24"/>
          <w:szCs w:val="20"/>
        </w:rPr>
      </w:pPr>
    </w:p>
    <w:p w:rsidR="00887889" w:rsidP="00F90525" w:rsidRDefault="00887889">
      <w:pPr>
        <w:rPr>
          <w:rFonts w:ascii="Times New Roman" w:hAnsi="Times New Roman"/>
          <w:sz w:val="24"/>
          <w:szCs w:val="20"/>
        </w:rPr>
      </w:pPr>
    </w:p>
    <w:p w:rsidR="00887889" w:rsidP="00F90525" w:rsidRDefault="00887889">
      <w:pPr>
        <w:rPr>
          <w:rFonts w:ascii="Times New Roman" w:hAnsi="Times New Roman"/>
          <w:sz w:val="24"/>
          <w:szCs w:val="20"/>
        </w:rPr>
      </w:pPr>
    </w:p>
    <w:p w:rsidR="00887889" w:rsidP="00F90525" w:rsidRDefault="00887889">
      <w:pPr>
        <w:rPr>
          <w:rFonts w:ascii="Times New Roman" w:hAnsi="Times New Roman"/>
          <w:sz w:val="24"/>
          <w:szCs w:val="20"/>
        </w:rPr>
      </w:pPr>
    </w:p>
    <w:p w:rsidR="00887889" w:rsidP="00F90525" w:rsidRDefault="00887889">
      <w:pPr>
        <w:rPr>
          <w:rFonts w:ascii="Times New Roman" w:hAnsi="Times New Roman"/>
          <w:sz w:val="24"/>
          <w:szCs w:val="20"/>
        </w:rPr>
      </w:pPr>
    </w:p>
    <w:p w:rsidR="00887889" w:rsidP="00887889" w:rsidRDefault="00887889">
      <w:pPr>
        <w:rPr>
          <w:rFonts w:ascii="Times New Roman" w:hAnsi="Times New Roman"/>
          <w:sz w:val="24"/>
          <w:szCs w:val="20"/>
        </w:rPr>
        <w:sectPr w:rsidR="00887889" w:rsidSect="00A11E73">
          <w:footerReference w:type="even" r:id="rId8"/>
          <w:footerReference w:type="default" r:id="rId9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BE285D">
        <w:rPr>
          <w:rFonts w:ascii="Times New Roman" w:hAnsi="Times New Roman"/>
          <w:sz w:val="24"/>
          <w:szCs w:val="20"/>
        </w:rPr>
        <w:t>De Minister van Financiën</w:t>
      </w:r>
      <w:r>
        <w:rPr>
          <w:rFonts w:ascii="Times New Roman" w:hAnsi="Times New Roman"/>
          <w:sz w:val="24"/>
          <w:szCs w:val="20"/>
        </w:rPr>
        <w:t>,</w:t>
      </w:r>
    </w:p>
    <w:p w:rsidR="00887889" w:rsidP="00F90525" w:rsidRDefault="00887889">
      <w:pPr>
        <w:rPr>
          <w:rFonts w:ascii="Times New Roman" w:hAnsi="Times New Roman"/>
          <w:sz w:val="24"/>
          <w:szCs w:val="20"/>
        </w:rPr>
      </w:pPr>
    </w:p>
    <w:p w:rsidR="00887889" w:rsidP="00F90525" w:rsidRDefault="00887889">
      <w:pPr>
        <w:rPr>
          <w:rFonts w:ascii="Times New Roman" w:hAnsi="Times New Roman"/>
          <w:sz w:val="24"/>
          <w:szCs w:val="20"/>
        </w:rPr>
      </w:pPr>
    </w:p>
    <w:p w:rsidR="00887889" w:rsidP="00F90525" w:rsidRDefault="00887889">
      <w:pPr>
        <w:rPr>
          <w:rFonts w:ascii="Times New Roman" w:hAnsi="Times New Roman"/>
          <w:sz w:val="24"/>
          <w:szCs w:val="20"/>
        </w:rPr>
        <w:sectPr w:rsidR="00887889" w:rsidSect="00A11E73">
          <w:footerReference w:type="even" r:id="rId10"/>
          <w:footerReference w:type="default" r:id="rId11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Pr="00250D7D" w:rsidR="00067A04" w:rsidP="00067A04" w:rsidRDefault="00067A04">
      <w:pPr>
        <w:spacing w:line="240" w:lineRule="atLeast"/>
        <w:rPr>
          <w:rFonts w:ascii="Times New Roman" w:hAnsi="Times New Roman"/>
          <w:b/>
          <w:sz w:val="24"/>
        </w:rPr>
      </w:pPr>
      <w:r w:rsidRPr="00250D7D">
        <w:rPr>
          <w:rFonts w:ascii="Times New Roman" w:hAnsi="Times New Roman"/>
          <w:b/>
          <w:bCs/>
          <w:sz w:val="24"/>
        </w:rPr>
        <w:lastRenderedPageBreak/>
        <w:t xml:space="preserve">Wijziging van de begrotingsstaat van het Ministerie van Financiën (IXB) voor het jaar 2019 </w:t>
      </w:r>
      <w:r w:rsidRPr="00250D7D">
        <w:rPr>
          <w:rFonts w:ascii="Times New Roman" w:hAnsi="Times New Roman"/>
          <w:b/>
          <w:sz w:val="24"/>
        </w:rPr>
        <w:t xml:space="preserve">(Eerste suppletoire begroting) </w:t>
      </w:r>
    </w:p>
    <w:p w:rsidR="00067A04" w:rsidP="00067A04" w:rsidRDefault="00067A04">
      <w:pPr>
        <w:spacing w:line="240" w:lineRule="atLeast"/>
        <w:rPr>
          <w:rFonts w:ascii="Times New Roman" w:hAnsi="Times New Roman"/>
          <w:b/>
          <w:sz w:val="24"/>
        </w:rPr>
      </w:pPr>
      <w:r w:rsidRPr="00250D7D">
        <w:rPr>
          <w:rFonts w:ascii="Times New Roman" w:hAnsi="Times New Roman"/>
          <w:b/>
          <w:sz w:val="24"/>
        </w:rPr>
        <w:t>(bedragen x € 1.000)</w:t>
      </w:r>
    </w:p>
    <w:p w:rsidRPr="00250D7D" w:rsidR="00250D7D" w:rsidP="00067A04" w:rsidRDefault="00250D7D">
      <w:pPr>
        <w:spacing w:line="240" w:lineRule="atLeast"/>
        <w:rPr>
          <w:rFonts w:ascii="Times New Roman" w:hAnsi="Times New Roman"/>
          <w:sz w:val="24"/>
        </w:rPr>
      </w:pPr>
      <w:bookmarkStart w:name="_GoBack" w:id="0"/>
      <w:bookmarkEnd w:id="0"/>
    </w:p>
    <w:tbl>
      <w:tblPr>
        <w:tblW w:w="11700" w:type="dxa"/>
        <w:tblLook w:val="04A0" w:firstRow="1" w:lastRow="0" w:firstColumn="1" w:lastColumn="0" w:noHBand="0" w:noVBand="1"/>
      </w:tblPr>
      <w:tblGrid>
        <w:gridCol w:w="950"/>
        <w:gridCol w:w="3621"/>
        <w:gridCol w:w="1656"/>
        <w:gridCol w:w="1176"/>
        <w:gridCol w:w="1430"/>
        <w:gridCol w:w="1656"/>
        <w:gridCol w:w="1096"/>
        <w:gridCol w:w="1549"/>
      </w:tblGrid>
      <w:tr w:rsidRPr="00250D7D" w:rsidR="00067A04" w:rsidTr="00983964">
        <w:trPr>
          <w:trHeight w:val="452"/>
        </w:trPr>
        <w:tc>
          <w:tcPr>
            <w:tcW w:w="3934" w:type="dxa"/>
            <w:gridSpan w:val="2"/>
            <w:tcBorders>
              <w:top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3564" w:type="dxa"/>
            <w:gridSpan w:val="3"/>
            <w:tcBorders>
              <w:top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  <w:t>Stand na ISB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  <w:t xml:space="preserve">Mutaties </w:t>
            </w:r>
            <w:r w:rsidRPr="00250D7D">
              <w:rPr>
                <w:rFonts w:ascii="Times New Roman" w:hAnsi="Times New Roman" w:eastAsia="MS Mincho"/>
                <w:b/>
                <w:sz w:val="24"/>
              </w:rPr>
              <w:t>1</w:t>
            </w:r>
            <w:r w:rsidRPr="00250D7D">
              <w:rPr>
                <w:rFonts w:ascii="Times New Roman" w:hAnsi="Times New Roman" w:eastAsia="MS Mincho"/>
                <w:b/>
                <w:sz w:val="24"/>
                <w:vertAlign w:val="superscript"/>
              </w:rPr>
              <w:t>e</w:t>
            </w:r>
            <w:r w:rsidRPr="00250D7D"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  <w:t xml:space="preserve"> suppletoire begroting</w:t>
            </w:r>
          </w:p>
        </w:tc>
      </w:tr>
      <w:tr w:rsidRPr="00250D7D" w:rsidR="00067A04" w:rsidTr="00983964">
        <w:trPr>
          <w:trHeight w:val="221"/>
        </w:trPr>
        <w:tc>
          <w:tcPr>
            <w:tcW w:w="741" w:type="dxa"/>
            <w:tcBorders>
              <w:bottom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  <w:t>Artikel</w:t>
            </w:r>
          </w:p>
        </w:tc>
        <w:tc>
          <w:tcPr>
            <w:tcW w:w="3193" w:type="dxa"/>
            <w:tcBorders>
              <w:bottom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  <w:t>Omschrijving</w:t>
            </w:r>
          </w:p>
        </w:tc>
        <w:tc>
          <w:tcPr>
            <w:tcW w:w="1222" w:type="dxa"/>
            <w:tcBorders>
              <w:bottom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Cs/>
                <w:color w:val="000000"/>
                <w:sz w:val="24"/>
              </w:rPr>
              <w:t>Verplichtingen</w:t>
            </w:r>
          </w:p>
        </w:tc>
        <w:tc>
          <w:tcPr>
            <w:tcW w:w="1014" w:type="dxa"/>
            <w:tcBorders>
              <w:bottom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Cs/>
                <w:color w:val="000000"/>
                <w:sz w:val="24"/>
              </w:rPr>
              <w:t>Uitgaven</w:t>
            </w:r>
          </w:p>
        </w:tc>
        <w:tc>
          <w:tcPr>
            <w:tcW w:w="1328" w:type="dxa"/>
            <w:tcBorders>
              <w:bottom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Cs/>
                <w:color w:val="000000"/>
                <w:sz w:val="24"/>
              </w:rPr>
              <w:t>Ontvangsten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Cs/>
                <w:color w:val="000000"/>
                <w:sz w:val="24"/>
              </w:rPr>
              <w:t>Verplichtingen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Cs/>
                <w:color w:val="000000"/>
                <w:sz w:val="24"/>
              </w:rPr>
              <w:t>Uitgaven</w:t>
            </w:r>
          </w:p>
        </w:tc>
        <w:tc>
          <w:tcPr>
            <w:tcW w:w="1549" w:type="dxa"/>
            <w:tcBorders>
              <w:bottom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Cs/>
                <w:color w:val="000000"/>
                <w:sz w:val="24"/>
              </w:rPr>
              <w:t>Ontvangsten</w:t>
            </w:r>
          </w:p>
        </w:tc>
      </w:tr>
      <w:tr w:rsidRPr="00250D7D" w:rsidR="00067A04" w:rsidTr="00983964">
        <w:trPr>
          <w:trHeight w:val="221"/>
        </w:trPr>
        <w:tc>
          <w:tcPr>
            <w:tcW w:w="741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</w:p>
        </w:tc>
        <w:tc>
          <w:tcPr>
            <w:tcW w:w="3193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014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328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562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091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549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</w:tr>
      <w:tr w:rsidRPr="00250D7D" w:rsidR="00067A04" w:rsidTr="00983964">
        <w:trPr>
          <w:trHeight w:val="235"/>
        </w:trPr>
        <w:tc>
          <w:tcPr>
            <w:tcW w:w="741" w:type="dxa"/>
            <w:shd w:val="clear" w:color="auto" w:fill="auto"/>
            <w:noWrap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color w:val="000000"/>
                <w:sz w:val="24"/>
              </w:rPr>
            </w:pPr>
          </w:p>
        </w:tc>
        <w:tc>
          <w:tcPr>
            <w:tcW w:w="3193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  <w:t>TOTAAL</w:t>
            </w:r>
          </w:p>
        </w:tc>
        <w:tc>
          <w:tcPr>
            <w:tcW w:w="122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color w:val="000000"/>
                <w:sz w:val="24"/>
              </w:rPr>
              <w:t>19.766.938</w:t>
            </w:r>
          </w:p>
        </w:tc>
        <w:tc>
          <w:tcPr>
            <w:tcW w:w="1014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color w:val="000000"/>
                <w:sz w:val="24"/>
              </w:rPr>
              <w:t>8.278.624</w:t>
            </w:r>
          </w:p>
        </w:tc>
        <w:tc>
          <w:tcPr>
            <w:tcW w:w="1328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color w:val="000000"/>
                <w:sz w:val="24"/>
              </w:rPr>
              <w:t>158.920.430</w:t>
            </w:r>
          </w:p>
        </w:tc>
        <w:tc>
          <w:tcPr>
            <w:tcW w:w="156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  <w:t>1.383.195</w:t>
            </w:r>
          </w:p>
        </w:tc>
        <w:tc>
          <w:tcPr>
            <w:tcW w:w="1091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  <w:t>374.281</w:t>
            </w:r>
          </w:p>
        </w:tc>
        <w:tc>
          <w:tcPr>
            <w:tcW w:w="1549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  <w:t>490.124</w:t>
            </w:r>
          </w:p>
        </w:tc>
      </w:tr>
      <w:tr w:rsidRPr="00250D7D" w:rsidR="00067A04" w:rsidTr="00983964">
        <w:trPr>
          <w:trHeight w:val="235"/>
        </w:trPr>
        <w:tc>
          <w:tcPr>
            <w:tcW w:w="741" w:type="dxa"/>
            <w:shd w:val="clear" w:color="auto" w:fill="auto"/>
            <w:noWrap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color w:val="000000"/>
                <w:sz w:val="24"/>
              </w:rPr>
            </w:pPr>
          </w:p>
        </w:tc>
        <w:tc>
          <w:tcPr>
            <w:tcW w:w="3193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</w:p>
        </w:tc>
        <w:tc>
          <w:tcPr>
            <w:tcW w:w="122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014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328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56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091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549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</w:tr>
      <w:tr w:rsidRPr="00250D7D" w:rsidR="00067A04" w:rsidTr="00983964">
        <w:trPr>
          <w:trHeight w:val="157"/>
        </w:trPr>
        <w:tc>
          <w:tcPr>
            <w:tcW w:w="741" w:type="dxa"/>
            <w:shd w:val="clear" w:color="auto" w:fill="auto"/>
            <w:noWrap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color w:val="000000"/>
                <w:sz w:val="24"/>
              </w:rPr>
            </w:pPr>
          </w:p>
        </w:tc>
        <w:tc>
          <w:tcPr>
            <w:tcW w:w="3193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  <w:t>Beleidsartikelen</w:t>
            </w:r>
          </w:p>
        </w:tc>
        <w:tc>
          <w:tcPr>
            <w:tcW w:w="122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014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328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56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091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1549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  <w:t> </w:t>
            </w:r>
          </w:p>
        </w:tc>
      </w:tr>
      <w:tr w:rsidRPr="00250D7D" w:rsidR="00067A04" w:rsidTr="00983964">
        <w:trPr>
          <w:trHeight w:val="235"/>
        </w:trPr>
        <w:tc>
          <w:tcPr>
            <w:tcW w:w="741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01</w:t>
            </w:r>
          </w:p>
        </w:tc>
        <w:tc>
          <w:tcPr>
            <w:tcW w:w="3193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Belastingen</w:t>
            </w:r>
          </w:p>
        </w:tc>
        <w:tc>
          <w:tcPr>
            <w:tcW w:w="122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2.716.883</w:t>
            </w:r>
          </w:p>
        </w:tc>
        <w:tc>
          <w:tcPr>
            <w:tcW w:w="1014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2.776.428</w:t>
            </w:r>
          </w:p>
        </w:tc>
        <w:tc>
          <w:tcPr>
            <w:tcW w:w="1328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154.158.692</w:t>
            </w:r>
          </w:p>
        </w:tc>
        <w:tc>
          <w:tcPr>
            <w:tcW w:w="156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126.035</w:t>
            </w:r>
          </w:p>
        </w:tc>
        <w:tc>
          <w:tcPr>
            <w:tcW w:w="1091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126.404</w:t>
            </w:r>
          </w:p>
        </w:tc>
        <w:tc>
          <w:tcPr>
            <w:tcW w:w="1549" w:type="dxa"/>
            <w:shd w:val="clear" w:color="auto" w:fill="auto"/>
            <w:noWrap/>
            <w:vAlign w:val="bottom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-281.789</w:t>
            </w:r>
          </w:p>
        </w:tc>
      </w:tr>
      <w:tr w:rsidRPr="00250D7D" w:rsidR="00067A04" w:rsidTr="00983964">
        <w:trPr>
          <w:trHeight w:val="221"/>
        </w:trPr>
        <w:tc>
          <w:tcPr>
            <w:tcW w:w="741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02</w:t>
            </w:r>
          </w:p>
        </w:tc>
        <w:tc>
          <w:tcPr>
            <w:tcW w:w="3193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Financiële markten</w:t>
            </w:r>
          </w:p>
        </w:tc>
        <w:tc>
          <w:tcPr>
            <w:tcW w:w="122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25.023</w:t>
            </w:r>
          </w:p>
        </w:tc>
        <w:tc>
          <w:tcPr>
            <w:tcW w:w="1014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25.023</w:t>
            </w:r>
          </w:p>
        </w:tc>
        <w:tc>
          <w:tcPr>
            <w:tcW w:w="1328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7.441</w:t>
            </w:r>
          </w:p>
        </w:tc>
        <w:tc>
          <w:tcPr>
            <w:tcW w:w="156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-1.004</w:t>
            </w:r>
          </w:p>
        </w:tc>
        <w:tc>
          <w:tcPr>
            <w:tcW w:w="1091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-4</w:t>
            </w:r>
          </w:p>
        </w:tc>
        <w:tc>
          <w:tcPr>
            <w:tcW w:w="1549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2.170</w:t>
            </w:r>
          </w:p>
        </w:tc>
      </w:tr>
      <w:tr w:rsidRPr="00250D7D" w:rsidR="00067A04" w:rsidTr="00983964">
        <w:trPr>
          <w:trHeight w:val="440"/>
        </w:trPr>
        <w:tc>
          <w:tcPr>
            <w:tcW w:w="741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03</w:t>
            </w:r>
          </w:p>
        </w:tc>
        <w:tc>
          <w:tcPr>
            <w:tcW w:w="3193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 xml:space="preserve">Financieringsactiviteiten </w:t>
            </w: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br/>
              <w:t>publiek-private sector</w:t>
            </w:r>
          </w:p>
        </w:tc>
        <w:tc>
          <w:tcPr>
            <w:tcW w:w="122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760.104</w:t>
            </w:r>
          </w:p>
        </w:tc>
        <w:tc>
          <w:tcPr>
            <w:tcW w:w="1014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1.038.446</w:t>
            </w:r>
          </w:p>
        </w:tc>
        <w:tc>
          <w:tcPr>
            <w:tcW w:w="1328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1.204.300</w:t>
            </w:r>
          </w:p>
        </w:tc>
        <w:tc>
          <w:tcPr>
            <w:tcW w:w="156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199.391</w:t>
            </w:r>
          </w:p>
        </w:tc>
        <w:tc>
          <w:tcPr>
            <w:tcW w:w="1091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105.866</w:t>
            </w:r>
          </w:p>
        </w:tc>
        <w:tc>
          <w:tcPr>
            <w:tcW w:w="1549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808.148</w:t>
            </w:r>
          </w:p>
        </w:tc>
      </w:tr>
      <w:tr w:rsidRPr="00250D7D" w:rsidR="00067A04" w:rsidTr="00983964">
        <w:trPr>
          <w:trHeight w:val="273"/>
        </w:trPr>
        <w:tc>
          <w:tcPr>
            <w:tcW w:w="741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04</w:t>
            </w:r>
          </w:p>
        </w:tc>
        <w:tc>
          <w:tcPr>
            <w:tcW w:w="3193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Internationale financiële betrekkingen</w:t>
            </w:r>
          </w:p>
        </w:tc>
        <w:tc>
          <w:tcPr>
            <w:tcW w:w="122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2.274.076</w:t>
            </w:r>
          </w:p>
        </w:tc>
        <w:tc>
          <w:tcPr>
            <w:tcW w:w="1014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359.220</w:t>
            </w:r>
          </w:p>
        </w:tc>
        <w:tc>
          <w:tcPr>
            <w:tcW w:w="1328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15.257</w:t>
            </w:r>
          </w:p>
        </w:tc>
        <w:tc>
          <w:tcPr>
            <w:tcW w:w="156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1.011.957</w:t>
            </w:r>
          </w:p>
        </w:tc>
        <w:tc>
          <w:tcPr>
            <w:tcW w:w="1091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3.899</w:t>
            </w:r>
          </w:p>
        </w:tc>
        <w:tc>
          <w:tcPr>
            <w:tcW w:w="1549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-3.217</w:t>
            </w:r>
          </w:p>
        </w:tc>
      </w:tr>
      <w:tr w:rsidRPr="00250D7D" w:rsidR="00067A04" w:rsidTr="00983964">
        <w:trPr>
          <w:trHeight w:val="440"/>
        </w:trPr>
        <w:tc>
          <w:tcPr>
            <w:tcW w:w="741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05</w:t>
            </w:r>
          </w:p>
        </w:tc>
        <w:tc>
          <w:tcPr>
            <w:tcW w:w="3193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 xml:space="preserve">Exportkredietkredietverzekeringen, </w:t>
            </w: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br/>
              <w:t>-garanties en investeringsverzekeringen</w:t>
            </w:r>
          </w:p>
        </w:tc>
        <w:tc>
          <w:tcPr>
            <w:tcW w:w="122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10.015.244</w:t>
            </w:r>
          </w:p>
        </w:tc>
        <w:tc>
          <w:tcPr>
            <w:tcW w:w="1014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83.444</w:t>
            </w:r>
          </w:p>
        </w:tc>
        <w:tc>
          <w:tcPr>
            <w:tcW w:w="1328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256.172</w:t>
            </w:r>
          </w:p>
        </w:tc>
        <w:tc>
          <w:tcPr>
            <w:tcW w:w="156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0</w:t>
            </w:r>
          </w:p>
        </w:tc>
        <w:tc>
          <w:tcPr>
            <w:tcW w:w="1091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121.800</w:t>
            </w:r>
          </w:p>
        </w:tc>
        <w:tc>
          <w:tcPr>
            <w:tcW w:w="1549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-37.875</w:t>
            </w:r>
          </w:p>
        </w:tc>
      </w:tr>
      <w:tr w:rsidRPr="00250D7D" w:rsidR="00067A04" w:rsidTr="00983964">
        <w:trPr>
          <w:trHeight w:val="221"/>
        </w:trPr>
        <w:tc>
          <w:tcPr>
            <w:tcW w:w="741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06</w:t>
            </w:r>
          </w:p>
        </w:tc>
        <w:tc>
          <w:tcPr>
            <w:tcW w:w="3193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Btw-compensatiefonds</w:t>
            </w:r>
          </w:p>
        </w:tc>
        <w:tc>
          <w:tcPr>
            <w:tcW w:w="122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3.225.010</w:t>
            </w:r>
          </w:p>
        </w:tc>
        <w:tc>
          <w:tcPr>
            <w:tcW w:w="1014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3.225.010</w:t>
            </w:r>
          </w:p>
        </w:tc>
        <w:tc>
          <w:tcPr>
            <w:tcW w:w="1328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3.225.010</w:t>
            </w:r>
          </w:p>
        </w:tc>
        <w:tc>
          <w:tcPr>
            <w:tcW w:w="156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2.172</w:t>
            </w:r>
          </w:p>
        </w:tc>
        <w:tc>
          <w:tcPr>
            <w:tcW w:w="1091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2.172</w:t>
            </w:r>
          </w:p>
        </w:tc>
        <w:tc>
          <w:tcPr>
            <w:tcW w:w="1549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2.172</w:t>
            </w:r>
          </w:p>
        </w:tc>
      </w:tr>
      <w:tr w:rsidRPr="00250D7D" w:rsidR="00067A04" w:rsidTr="00983964">
        <w:trPr>
          <w:trHeight w:val="221"/>
        </w:trPr>
        <w:tc>
          <w:tcPr>
            <w:tcW w:w="741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09</w:t>
            </w:r>
          </w:p>
        </w:tc>
        <w:tc>
          <w:tcPr>
            <w:tcW w:w="3193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Douane</w:t>
            </w:r>
          </w:p>
        </w:tc>
        <w:tc>
          <w:tcPr>
            <w:tcW w:w="122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416.151</w:t>
            </w:r>
          </w:p>
        </w:tc>
        <w:tc>
          <w:tcPr>
            <w:tcW w:w="1014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416.151</w:t>
            </w:r>
          </w:p>
        </w:tc>
        <w:tc>
          <w:tcPr>
            <w:tcW w:w="1328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605</w:t>
            </w:r>
          </w:p>
        </w:tc>
        <w:tc>
          <w:tcPr>
            <w:tcW w:w="156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0</w:t>
            </w:r>
          </w:p>
        </w:tc>
        <w:tc>
          <w:tcPr>
            <w:tcW w:w="1091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0</w:t>
            </w:r>
          </w:p>
        </w:tc>
        <w:tc>
          <w:tcPr>
            <w:tcW w:w="1549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0</w:t>
            </w:r>
          </w:p>
        </w:tc>
      </w:tr>
      <w:tr w:rsidRPr="00250D7D" w:rsidR="00067A04" w:rsidTr="00983964">
        <w:trPr>
          <w:trHeight w:val="221"/>
        </w:trPr>
        <w:tc>
          <w:tcPr>
            <w:tcW w:w="741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color w:val="000000"/>
                <w:sz w:val="24"/>
              </w:rPr>
            </w:pPr>
          </w:p>
        </w:tc>
        <w:tc>
          <w:tcPr>
            <w:tcW w:w="3193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color w:val="000000"/>
                <w:sz w:val="24"/>
              </w:rPr>
            </w:pPr>
          </w:p>
        </w:tc>
        <w:tc>
          <w:tcPr>
            <w:tcW w:w="122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014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328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56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091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549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</w:tr>
      <w:tr w:rsidRPr="00250D7D" w:rsidR="00067A04" w:rsidTr="00983964">
        <w:trPr>
          <w:trHeight w:val="235"/>
        </w:trPr>
        <w:tc>
          <w:tcPr>
            <w:tcW w:w="741" w:type="dxa"/>
            <w:shd w:val="clear" w:color="auto" w:fill="auto"/>
            <w:noWrap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color w:val="000000"/>
                <w:sz w:val="24"/>
              </w:rPr>
            </w:pPr>
          </w:p>
        </w:tc>
        <w:tc>
          <w:tcPr>
            <w:tcW w:w="3193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b/>
                <w:bCs/>
                <w:color w:val="000000"/>
                <w:sz w:val="24"/>
              </w:rPr>
              <w:t>Niet-beleidsartikelen</w:t>
            </w:r>
          </w:p>
        </w:tc>
        <w:tc>
          <w:tcPr>
            <w:tcW w:w="122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014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328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56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091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  <w:tc>
          <w:tcPr>
            <w:tcW w:w="1549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 </w:t>
            </w:r>
          </w:p>
        </w:tc>
      </w:tr>
      <w:tr w:rsidRPr="00250D7D" w:rsidR="00067A04" w:rsidTr="00983964">
        <w:trPr>
          <w:trHeight w:val="221"/>
        </w:trPr>
        <w:tc>
          <w:tcPr>
            <w:tcW w:w="741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08</w:t>
            </w:r>
          </w:p>
        </w:tc>
        <w:tc>
          <w:tcPr>
            <w:tcW w:w="3193" w:type="dxa"/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Apparaat kerndepartement</w:t>
            </w:r>
          </w:p>
        </w:tc>
        <w:tc>
          <w:tcPr>
            <w:tcW w:w="122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256.491</w:t>
            </w:r>
          </w:p>
        </w:tc>
        <w:tc>
          <w:tcPr>
            <w:tcW w:w="1014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256.491</w:t>
            </w:r>
          </w:p>
        </w:tc>
        <w:tc>
          <w:tcPr>
            <w:tcW w:w="1328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52.953</w:t>
            </w:r>
          </w:p>
        </w:tc>
        <w:tc>
          <w:tcPr>
            <w:tcW w:w="1562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-129</w:t>
            </w:r>
          </w:p>
        </w:tc>
        <w:tc>
          <w:tcPr>
            <w:tcW w:w="1091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-129</w:t>
            </w:r>
          </w:p>
        </w:tc>
        <w:tc>
          <w:tcPr>
            <w:tcW w:w="1549" w:type="dxa"/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515</w:t>
            </w:r>
          </w:p>
        </w:tc>
      </w:tr>
      <w:tr w:rsidRPr="00250D7D" w:rsidR="00067A04" w:rsidTr="00983964">
        <w:trPr>
          <w:trHeight w:val="235"/>
        </w:trPr>
        <w:tc>
          <w:tcPr>
            <w:tcW w:w="741" w:type="dxa"/>
            <w:tcBorders>
              <w:bottom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10</w:t>
            </w:r>
          </w:p>
        </w:tc>
        <w:tc>
          <w:tcPr>
            <w:tcW w:w="3193" w:type="dxa"/>
            <w:tcBorders>
              <w:bottom w:val="single" w:color="auto" w:sz="4" w:space="0"/>
            </w:tcBorders>
            <w:shd w:val="clear" w:color="auto" w:fill="auto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Nog onverdeeld</w:t>
            </w:r>
          </w:p>
        </w:tc>
        <w:tc>
          <w:tcPr>
            <w:tcW w:w="1222" w:type="dxa"/>
            <w:tcBorders>
              <w:bottom w:val="single" w:color="auto" w:sz="4" w:space="0"/>
            </w:tcBorders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77.956</w:t>
            </w:r>
          </w:p>
        </w:tc>
        <w:tc>
          <w:tcPr>
            <w:tcW w:w="1014" w:type="dxa"/>
            <w:tcBorders>
              <w:bottom w:val="single" w:color="auto" w:sz="4" w:space="0"/>
            </w:tcBorders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98.411</w:t>
            </w:r>
          </w:p>
        </w:tc>
        <w:tc>
          <w:tcPr>
            <w:tcW w:w="1328" w:type="dxa"/>
            <w:tcBorders>
              <w:bottom w:val="single" w:color="auto" w:sz="4" w:space="0"/>
            </w:tcBorders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0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44.773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14.273</w:t>
            </w:r>
          </w:p>
        </w:tc>
        <w:tc>
          <w:tcPr>
            <w:tcW w:w="1549" w:type="dxa"/>
            <w:tcBorders>
              <w:bottom w:val="single" w:color="auto" w:sz="4" w:space="0"/>
            </w:tcBorders>
            <w:shd w:val="clear" w:color="auto" w:fill="auto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 w:eastAsia="MS Mincho"/>
                <w:color w:val="000000"/>
                <w:sz w:val="24"/>
              </w:rPr>
            </w:pPr>
            <w:r w:rsidRPr="00250D7D">
              <w:rPr>
                <w:rFonts w:ascii="Times New Roman" w:hAnsi="Times New Roman" w:eastAsia="MS Mincho"/>
                <w:color w:val="000000"/>
                <w:sz w:val="24"/>
              </w:rPr>
              <w:t>0</w:t>
            </w:r>
          </w:p>
        </w:tc>
      </w:tr>
    </w:tbl>
    <w:p w:rsidRPr="00067A04" w:rsidR="00067A04" w:rsidP="00067A04" w:rsidRDefault="00067A04">
      <w:pPr>
        <w:tabs>
          <w:tab w:val="left" w:pos="0"/>
          <w:tab w:val="left" w:pos="2694"/>
          <w:tab w:val="left" w:pos="3600"/>
        </w:tabs>
        <w:suppressAutoHyphens/>
        <w:spacing w:line="240" w:lineRule="atLeast"/>
        <w:rPr>
          <w:rFonts w:ascii="Times New Roman" w:hAnsi="Times New Roman"/>
          <w:b/>
          <w:sz w:val="22"/>
          <w:szCs w:val="22"/>
        </w:rPr>
      </w:pPr>
    </w:p>
    <w:p w:rsidRPr="00250D7D" w:rsidR="00067A04" w:rsidP="00067A04" w:rsidRDefault="00067A04">
      <w:pPr>
        <w:spacing w:line="24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2"/>
          <w:szCs w:val="22"/>
        </w:rPr>
        <w:br w:type="page"/>
      </w:r>
      <w:r w:rsidRPr="00250D7D">
        <w:rPr>
          <w:rFonts w:ascii="Times New Roman" w:hAnsi="Times New Roman"/>
          <w:b/>
          <w:bCs/>
          <w:sz w:val="24"/>
        </w:rPr>
        <w:lastRenderedPageBreak/>
        <w:t xml:space="preserve">Wijziging van de begrotingsstaat van </w:t>
      </w:r>
      <w:r w:rsidRPr="00250D7D">
        <w:rPr>
          <w:rFonts w:ascii="Times New Roman" w:hAnsi="Times New Roman"/>
          <w:b/>
          <w:sz w:val="24"/>
        </w:rPr>
        <w:t>Nationale Schuld (IXA</w:t>
      </w:r>
      <w:r w:rsidRPr="00250D7D">
        <w:rPr>
          <w:rFonts w:ascii="Times New Roman" w:hAnsi="Times New Roman"/>
          <w:b/>
          <w:bCs/>
          <w:sz w:val="24"/>
        </w:rPr>
        <w:t xml:space="preserve">) voor het jaar 2019 </w:t>
      </w:r>
      <w:r w:rsidRPr="00250D7D">
        <w:rPr>
          <w:rFonts w:ascii="Times New Roman" w:hAnsi="Times New Roman"/>
          <w:b/>
          <w:sz w:val="24"/>
        </w:rPr>
        <w:t xml:space="preserve">(Eerste suppletoire begroting) </w:t>
      </w:r>
    </w:p>
    <w:p w:rsidRPr="00250D7D" w:rsidR="00067A04" w:rsidP="00067A04" w:rsidRDefault="00067A04">
      <w:pPr>
        <w:spacing w:line="240" w:lineRule="atLeast"/>
        <w:rPr>
          <w:rFonts w:ascii="Times New Roman" w:hAnsi="Times New Roman"/>
          <w:b/>
          <w:sz w:val="24"/>
        </w:rPr>
      </w:pPr>
      <w:r w:rsidRPr="00250D7D">
        <w:rPr>
          <w:rFonts w:ascii="Times New Roman" w:hAnsi="Times New Roman"/>
          <w:b/>
          <w:sz w:val="24"/>
        </w:rPr>
        <w:t>(bedragen x € 1.000)</w:t>
      </w:r>
    </w:p>
    <w:p w:rsidRPr="00250D7D" w:rsidR="00250D7D" w:rsidP="00067A04" w:rsidRDefault="00250D7D">
      <w:pPr>
        <w:spacing w:line="240" w:lineRule="atLeast"/>
        <w:rPr>
          <w:rFonts w:ascii="Times New Roman" w:hAnsi="Times New Roman"/>
          <w:sz w:val="24"/>
        </w:rPr>
      </w:pPr>
    </w:p>
    <w:tbl>
      <w:tblPr>
        <w:tblW w:w="0" w:type="auto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2189"/>
        <w:gridCol w:w="2037"/>
        <w:gridCol w:w="2529"/>
        <w:gridCol w:w="2443"/>
        <w:gridCol w:w="1580"/>
        <w:gridCol w:w="1020"/>
        <w:gridCol w:w="1354"/>
      </w:tblGrid>
      <w:tr w:rsidRPr="00250D7D" w:rsidR="00067A04" w:rsidTr="00067A04">
        <w:trPr>
          <w:trHeight w:val="336"/>
        </w:trPr>
        <w:tc>
          <w:tcPr>
            <w:tcW w:w="0" w:type="auto"/>
            <w:gridSpan w:val="2"/>
            <w:tcBorders>
              <w:top w:val="single" w:color="auto" w:sz="4" w:space="0"/>
            </w:tcBorders>
            <w:shd w:val="clear" w:color="000000" w:fill="FFFFFF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</w:tcBorders>
            <w:shd w:val="clear" w:color="000000" w:fill="FFFFFF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/>
                <w:bCs/>
                <w:color w:val="000000"/>
                <w:sz w:val="24"/>
              </w:rPr>
              <w:t>Vastgestelde begroting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</w:tcBorders>
            <w:shd w:val="clear" w:color="000000" w:fill="FFFFFF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Mutaties </w:t>
            </w:r>
            <w:r w:rsidRPr="00250D7D">
              <w:rPr>
                <w:rFonts w:ascii="Times New Roman" w:hAnsi="Times New Roman"/>
                <w:b/>
                <w:sz w:val="24"/>
              </w:rPr>
              <w:t>1</w:t>
            </w:r>
            <w:r w:rsidRPr="00250D7D">
              <w:rPr>
                <w:rFonts w:ascii="Times New Roman" w:hAnsi="Times New Roman"/>
                <w:b/>
                <w:sz w:val="24"/>
                <w:vertAlign w:val="superscript"/>
              </w:rPr>
              <w:t>e</w:t>
            </w:r>
            <w:r w:rsidRPr="00250D7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suppletoire begroting </w:t>
            </w:r>
          </w:p>
        </w:tc>
      </w:tr>
      <w:tr w:rsidRPr="00250D7D" w:rsidR="00067A04" w:rsidTr="00067A04">
        <w:trPr>
          <w:trHeight w:val="360"/>
        </w:trPr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/>
                <w:bCs/>
                <w:color w:val="000000"/>
                <w:sz w:val="24"/>
              </w:rPr>
              <w:t> Artikel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/>
                <w:bCs/>
                <w:color w:val="000000"/>
                <w:sz w:val="24"/>
              </w:rPr>
              <w:t>Omschrijving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hideMark/>
          </w:tcPr>
          <w:p w:rsidRPr="00250D7D" w:rsidR="00067A04" w:rsidP="00067A04" w:rsidRDefault="00067A04">
            <w:pPr>
              <w:spacing w:line="240" w:lineRule="atLeast"/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Cs/>
                <w:color w:val="000000"/>
                <w:sz w:val="24"/>
              </w:rPr>
              <w:t>Verplichtingen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Cs/>
                <w:color w:val="000000"/>
                <w:sz w:val="24"/>
              </w:rPr>
              <w:t>Uitgaven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Cs/>
                <w:color w:val="000000"/>
                <w:sz w:val="24"/>
              </w:rPr>
              <w:t>Ontvangsten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Cs/>
                <w:color w:val="000000"/>
                <w:sz w:val="24"/>
              </w:rPr>
              <w:t>Verplichtingen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Cs/>
                <w:color w:val="000000"/>
                <w:sz w:val="24"/>
              </w:rPr>
              <w:t>Uitgaven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Cs/>
                <w:color w:val="000000"/>
                <w:sz w:val="24"/>
              </w:rPr>
              <w:t>Ontvangsten</w:t>
            </w:r>
          </w:p>
        </w:tc>
      </w:tr>
      <w:tr w:rsidRPr="00250D7D" w:rsidR="00067A04" w:rsidTr="00067A04">
        <w:trPr>
          <w:trHeight w:val="201"/>
        </w:trPr>
        <w:tc>
          <w:tcPr>
            <w:tcW w:w="0" w:type="auto"/>
            <w:tcBorders>
              <w:top w:val="single" w:color="auto" w:sz="4" w:space="0"/>
            </w:tcBorders>
            <w:shd w:val="clear" w:color="000000" w:fill="FFFFFF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000000" w:fill="FFFFFF"/>
            <w:vAlign w:val="bottom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/>
                <w:color w:val="000000"/>
                <w:sz w:val="24"/>
              </w:rPr>
              <w:t>TOTAAL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000000" w:fill="FFFFFF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       37.186.983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000000" w:fill="FFFFFF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                             37.186.983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000000" w:fill="FFFFFF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                                  33.671.966 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000000" w:fill="FFFFFF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/>
                <w:bCs/>
                <w:color w:val="000000"/>
                <w:sz w:val="24"/>
              </w:rPr>
              <w:t>-278.908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000000" w:fill="FFFFFF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/>
                <w:bCs/>
                <w:color w:val="000000"/>
                <w:sz w:val="24"/>
              </w:rPr>
              <w:t>-278.908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/>
                <w:bCs/>
                <w:color w:val="000000"/>
                <w:sz w:val="24"/>
              </w:rPr>
              <w:t>3.646.190</w:t>
            </w:r>
          </w:p>
        </w:tc>
      </w:tr>
      <w:tr w:rsidRPr="00250D7D" w:rsidR="00067A04" w:rsidTr="00067A04">
        <w:trPr>
          <w:trHeight w:val="201"/>
        </w:trPr>
        <w:tc>
          <w:tcPr>
            <w:tcW w:w="0" w:type="auto"/>
            <w:shd w:val="clear" w:color="000000" w:fill="FFFFFF"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000000" w:fill="FFFFFF"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000000" w:fill="FFFFFF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000000" w:fill="FFFFFF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/>
                <w:bCs/>
                <w:color w:val="000000"/>
                <w:sz w:val="24"/>
              </w:rPr>
              <w:t> </w:t>
            </w:r>
          </w:p>
        </w:tc>
      </w:tr>
      <w:tr w:rsidRPr="00250D7D" w:rsidR="00067A04" w:rsidTr="00067A04">
        <w:trPr>
          <w:trHeight w:val="216"/>
        </w:trPr>
        <w:tc>
          <w:tcPr>
            <w:tcW w:w="0" w:type="auto"/>
            <w:shd w:val="clear" w:color="000000" w:fill="FFFFFF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b/>
                <w:color w:val="000000"/>
                <w:sz w:val="24"/>
              </w:rPr>
              <w:t>Beleidsartikelen</w:t>
            </w:r>
          </w:p>
        </w:tc>
        <w:tc>
          <w:tcPr>
            <w:tcW w:w="0" w:type="auto"/>
            <w:shd w:val="clear" w:color="000000" w:fill="FFFFFF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shd w:val="clear" w:color="000000" w:fill="FFFFFF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shd w:val="clear" w:color="000000" w:fill="FFFFFF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shd w:val="clear" w:color="000000" w:fill="FFFFFF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shd w:val="clear" w:color="000000" w:fill="FFFFFF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Pr="00250D7D" w:rsidR="00067A04" w:rsidTr="00067A04">
        <w:trPr>
          <w:trHeight w:val="93"/>
        </w:trPr>
        <w:tc>
          <w:tcPr>
            <w:tcW w:w="0" w:type="auto"/>
            <w:shd w:val="clear" w:color="000000" w:fill="FFFFFF"/>
            <w:vAlign w:val="bottom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color w:val="000000"/>
                <w:sz w:val="24"/>
              </w:rPr>
              <w:t>Financiering staatsschuld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color w:val="000000"/>
                <w:sz w:val="24"/>
              </w:rPr>
              <w:t xml:space="preserve">35.655.308                             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color w:val="000000"/>
                <w:sz w:val="24"/>
              </w:rPr>
              <w:t>35.655.308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color w:val="000000"/>
                <w:sz w:val="24"/>
              </w:rPr>
              <w:t>24.178.000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color w:val="000000"/>
                <w:sz w:val="24"/>
              </w:rPr>
              <w:t>-278.908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color w:val="000000"/>
                <w:sz w:val="24"/>
              </w:rPr>
              <w:t>-278.908</w:t>
            </w:r>
          </w:p>
        </w:tc>
        <w:tc>
          <w:tcPr>
            <w:tcW w:w="0" w:type="auto"/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sz w:val="24"/>
              </w:rPr>
              <w:t>1.579.000</w:t>
            </w:r>
          </w:p>
        </w:tc>
      </w:tr>
      <w:tr w:rsidRPr="00250D7D" w:rsidR="00067A04" w:rsidTr="00067A04">
        <w:trPr>
          <w:trHeight w:val="230"/>
        </w:trPr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vAlign w:val="bottom"/>
            <w:hideMark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vAlign w:val="bottom"/>
            <w:hideMark/>
          </w:tcPr>
          <w:p w:rsidRPr="00250D7D" w:rsidR="00067A04" w:rsidP="00983964" w:rsidRDefault="00067A04">
            <w:pPr>
              <w:spacing w:line="240" w:lineRule="atLeas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color w:val="000000"/>
                <w:sz w:val="24"/>
              </w:rPr>
              <w:t>Kasbeheer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color w:val="000000"/>
                <w:sz w:val="24"/>
              </w:rPr>
              <w:t>1.531.675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color w:val="000000"/>
                <w:sz w:val="24"/>
              </w:rPr>
              <w:t>1.531.675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color w:val="000000"/>
                <w:sz w:val="24"/>
              </w:rPr>
              <w:t>9.493.966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</w:p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shd w:val="clear" w:color="000000" w:fill="FFFFFF"/>
            <w:vAlign w:val="bottom"/>
          </w:tcPr>
          <w:p w:rsidRPr="00250D7D" w:rsidR="00067A04" w:rsidP="00983964" w:rsidRDefault="00067A04">
            <w:pPr>
              <w:spacing w:line="240" w:lineRule="atLeast"/>
              <w:jc w:val="right"/>
              <w:rPr>
                <w:rFonts w:ascii="Times New Roman" w:hAnsi="Times New Roman"/>
                <w:color w:val="000000"/>
                <w:sz w:val="24"/>
              </w:rPr>
            </w:pPr>
            <w:r w:rsidRPr="00250D7D">
              <w:rPr>
                <w:rFonts w:ascii="Times New Roman" w:hAnsi="Times New Roman"/>
                <w:sz w:val="24"/>
              </w:rPr>
              <w:t>2.067.190</w:t>
            </w:r>
          </w:p>
        </w:tc>
      </w:tr>
    </w:tbl>
    <w:p w:rsidRPr="00250D7D" w:rsidR="00F90525" w:rsidP="00067A04" w:rsidRDefault="00F90525">
      <w:pPr>
        <w:rPr>
          <w:rFonts w:ascii="Times New Roman" w:hAnsi="Times New Roman"/>
          <w:sz w:val="24"/>
        </w:rPr>
      </w:pPr>
    </w:p>
    <w:sectPr w:rsidRPr="00250D7D" w:rsidR="00F90525" w:rsidSect="00067A04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D4" w:rsidRDefault="008D42D4">
      <w:pPr>
        <w:spacing w:line="20" w:lineRule="exact"/>
      </w:pPr>
    </w:p>
  </w:endnote>
  <w:endnote w:type="continuationSeparator" w:id="0">
    <w:p w:rsidR="008D42D4" w:rsidRDefault="008D42D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8D42D4" w:rsidRDefault="008D42D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889" w:rsidRDefault="00887889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87889" w:rsidRDefault="00887889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889" w:rsidRPr="002168F4" w:rsidRDefault="00887889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1B034F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887889" w:rsidRPr="002168F4" w:rsidRDefault="00887889" w:rsidP="002168F4">
    <w:pPr>
      <w:pStyle w:val="Voettekst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1B034F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D4" w:rsidRDefault="008D42D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8D42D4" w:rsidRDefault="008D4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25"/>
    <w:rsid w:val="00012DBE"/>
    <w:rsid w:val="00067A04"/>
    <w:rsid w:val="000A1D81"/>
    <w:rsid w:val="00111ED3"/>
    <w:rsid w:val="001B034F"/>
    <w:rsid w:val="001C190E"/>
    <w:rsid w:val="002168F4"/>
    <w:rsid w:val="00250D7D"/>
    <w:rsid w:val="002A727C"/>
    <w:rsid w:val="00326543"/>
    <w:rsid w:val="00496032"/>
    <w:rsid w:val="005D2707"/>
    <w:rsid w:val="00606255"/>
    <w:rsid w:val="006B607A"/>
    <w:rsid w:val="007D451C"/>
    <w:rsid w:val="00826224"/>
    <w:rsid w:val="00887889"/>
    <w:rsid w:val="008D42D4"/>
    <w:rsid w:val="00930A23"/>
    <w:rsid w:val="00983964"/>
    <w:rsid w:val="009C7354"/>
    <w:rsid w:val="009E6D7F"/>
    <w:rsid w:val="00A11E73"/>
    <w:rsid w:val="00A2521E"/>
    <w:rsid w:val="00AE436A"/>
    <w:rsid w:val="00B94655"/>
    <w:rsid w:val="00BD3275"/>
    <w:rsid w:val="00BD5631"/>
    <w:rsid w:val="00BE285D"/>
    <w:rsid w:val="00C135B1"/>
    <w:rsid w:val="00C829E5"/>
    <w:rsid w:val="00C92DF8"/>
    <w:rsid w:val="00CB3578"/>
    <w:rsid w:val="00D20AFA"/>
    <w:rsid w:val="00D55648"/>
    <w:rsid w:val="00E16443"/>
    <w:rsid w:val="00E36EE9"/>
    <w:rsid w:val="00F13442"/>
    <w:rsid w:val="00F90525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styleId="Tabelraster">
    <w:name w:val="Table Grid"/>
    <w:basedOn w:val="Standaardtabel"/>
    <w:uiPriority w:val="39"/>
    <w:rsid w:val="00067A0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mp">
    <w:name w:val="avmp"/>
    <w:rsid w:val="00887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table" w:styleId="Tabelraster">
    <w:name w:val="Table Grid"/>
    <w:basedOn w:val="Standaardtabel"/>
    <w:uiPriority w:val="39"/>
    <w:rsid w:val="00067A0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mp">
    <w:name w:val="avmp"/>
    <w:rsid w:val="00887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footnotes" Target="footnotes.xml" Id="rId6" /><Relationship Type="http://schemas.openxmlformats.org/officeDocument/2006/relationships/footer" Target="footer4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477</ap:Words>
  <ap:Characters>3333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2019-07-02T13:02:00.0000000Z</dcterms:created>
  <dcterms:modified xsi:type="dcterms:W3CDTF">2019-07-04T13:41:00.0000000Z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0x01010011F0757392A09E45BC8937733EE9BA96</vt:lpwstr>
  </property>
</Properties>
</file>