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6428">
              <w:rPr>
                <w:rFonts w:ascii="Times New Roman" w:hAnsi="Times New Roman"/>
              </w:rPr>
              <w:t>De Tweede Kamer der Staten-</w:t>
            </w:r>
            <w:r w:rsidRPr="00876428">
              <w:rPr>
                <w:rFonts w:ascii="Times New Roman" w:hAnsi="Times New Roman"/>
              </w:rPr>
              <w:fldChar w:fldCharType="begin"/>
            </w:r>
            <w:r w:rsidRPr="00876428">
              <w:rPr>
                <w:rFonts w:ascii="Times New Roman" w:hAnsi="Times New Roman"/>
              </w:rPr>
              <w:instrText xml:space="preserve">PRIVATE </w:instrText>
            </w:r>
            <w:r w:rsidRPr="00876428">
              <w:rPr>
                <w:rFonts w:ascii="Times New Roman" w:hAnsi="Times New Roman"/>
              </w:rPr>
              <w:fldChar w:fldCharType="end"/>
            </w: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6428">
              <w:rPr>
                <w:rFonts w:ascii="Times New Roman" w:hAnsi="Times New Roman"/>
              </w:rPr>
              <w:t>Generaal zendt bijgaand door</w:t>
            </w: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6428">
              <w:rPr>
                <w:rFonts w:ascii="Times New Roman" w:hAnsi="Times New Roman"/>
              </w:rPr>
              <w:t>haar aangenomen wetsvoorstel</w:t>
            </w: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6428">
              <w:rPr>
                <w:rFonts w:ascii="Times New Roman" w:hAnsi="Times New Roman"/>
              </w:rPr>
              <w:t>aan de Eerste Kamer.</w:t>
            </w: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6428">
              <w:rPr>
                <w:rFonts w:ascii="Times New Roman" w:hAnsi="Times New Roman"/>
              </w:rPr>
              <w:t>De Voorzitter,</w:t>
            </w: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6428" w:rsidR="00876428" w:rsidP="000D0DF5" w:rsidRDefault="00876428">
            <w:pPr>
              <w:rPr>
                <w:rFonts w:ascii="Times New Roman" w:hAnsi="Times New Roman"/>
              </w:rPr>
            </w:pPr>
          </w:p>
          <w:p w:rsidRPr="002168F4" w:rsidR="00CB3578" w:rsidP="00876428" w:rsidRDefault="00876428">
            <w:pPr>
              <w:pStyle w:val="Amendement"/>
              <w:rPr>
                <w:rFonts w:ascii="Times New Roman" w:hAnsi="Times New Roman" w:cs="Times New Roman"/>
              </w:rPr>
            </w:pPr>
            <w:r w:rsidRPr="00876428">
              <w:rPr>
                <w:rFonts w:ascii="Times New Roman" w:hAnsi="Times New Roman" w:cs="Times New Roman"/>
                <w:b w:val="0"/>
                <w:sz w:val="20"/>
              </w:rPr>
              <w:t>4 juli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76428" w:rsidTr="006F1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54EC2" w:rsidR="00876428" w:rsidP="000D5BC4" w:rsidRDefault="00876428">
            <w:pPr>
              <w:rPr>
                <w:rFonts w:ascii="Times New Roman" w:hAnsi="Times New Roman"/>
                <w:b/>
                <w:sz w:val="24"/>
              </w:rPr>
            </w:pPr>
            <w:r w:rsidRPr="00A54EC2">
              <w:rPr>
                <w:rFonts w:ascii="Times New Roman" w:hAnsi="Times New Roman"/>
                <w:b/>
                <w:sz w:val="24"/>
              </w:rPr>
              <w:t>Wijziging van de begrotingsstaat van het Infrastructuurfonds voor het jaar 2019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76428" w:rsidTr="0041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76428" w:rsidRDefault="0087642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A54EC2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A54EC2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Infrastructuurfonds voor het jaar 2019;</w:t>
      </w: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A54EC2" w:rsidR="003D1449" w:rsidP="00A54EC2" w:rsidRDefault="003D1449">
      <w:pPr>
        <w:pStyle w:val="Geenafstand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A54EC2">
        <w:rPr>
          <w:rFonts w:ascii="Times New Roman" w:hAnsi="Times New Roman" w:cs="Times New Roman"/>
          <w:b/>
          <w:sz w:val="24"/>
          <w:szCs w:val="24"/>
        </w:rPr>
        <w:t>Artikel 1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De begrotingsstaat van het Infrastructuurfonds voor het jaar 2019 wordt gewijzigd, zoals blijkt uit de bij deze wet behorende staat.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A54EC2">
        <w:rPr>
          <w:rFonts w:ascii="Times New Roman" w:hAnsi="Times New Roman" w:cs="Times New Roman"/>
          <w:b/>
          <w:sz w:val="24"/>
          <w:szCs w:val="24"/>
        </w:rPr>
        <w:t>Artikel 2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A54EC2">
        <w:rPr>
          <w:rFonts w:ascii="Times New Roman" w:hAnsi="Times New Roman" w:cs="Times New Roman"/>
          <w:b/>
          <w:sz w:val="24"/>
          <w:szCs w:val="24"/>
        </w:rPr>
        <w:t>Artikel 3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Deze wet treedt in werking met ingang van 1 juni van het onderhavige begrotingsjaar. Indien het Staatsblad waarin deze wet wordt geplaatst, wordt uitgegeven op of na de datum van 1 juni, dan treedt zij in werking met ingang van de dag na de datum van uitgifte van dat Staatsblad en werkt zij terug tot en met 1 juni van het onderhavige begrotingsjaar.</w:t>
      </w: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ind w:firstLine="284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 xml:space="preserve">Gegeven </w:t>
      </w: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6428" w:rsidP="00A54EC2" w:rsidRDefault="00876428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</w:p>
    <w:p w:rsidRPr="00A54EC2" w:rsidR="00876428" w:rsidP="00876428" w:rsidRDefault="00876428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A54EC2">
        <w:rPr>
          <w:rFonts w:ascii="Times New Roman" w:hAnsi="Times New Roman" w:cs="Times New Roman"/>
          <w:sz w:val="24"/>
          <w:szCs w:val="24"/>
        </w:rPr>
        <w:t>De Minister van Infrastructuur en Waterstaat,</w:t>
      </w:r>
    </w:p>
    <w:p w:rsidRPr="00A54EC2" w:rsidR="00A54EC2" w:rsidP="00A54EC2" w:rsidRDefault="00A54EC2">
      <w:pPr>
        <w:pStyle w:val="Geenafstand"/>
        <w:rPr>
          <w:rFonts w:ascii="Times New Roman" w:hAnsi="Times New Roman" w:cs="Times New Roman"/>
          <w:sz w:val="24"/>
          <w:szCs w:val="24"/>
          <w:highlight w:val="yellow"/>
        </w:rPr>
      </w:pPr>
      <w:r w:rsidRPr="00A54EC2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54EC2" w:rsidP="00A54EC2" w:rsidRDefault="00A54EC2">
      <w:pPr>
        <w:pStyle w:val="Geenafstand"/>
        <w:rPr>
          <w:rFonts w:ascii="Times New Roman" w:hAnsi="Times New Roman" w:cs="Times New Roman"/>
          <w:b/>
          <w:sz w:val="20"/>
          <w:szCs w:val="20"/>
        </w:rPr>
        <w:sectPr w:rsidR="00A54EC2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4A06F5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4A06F5">
        <w:rPr>
          <w:rFonts w:ascii="Times New Roman" w:hAnsi="Times New Roman" w:cs="Times New Roman"/>
          <w:b/>
          <w:sz w:val="24"/>
          <w:szCs w:val="24"/>
        </w:rPr>
        <w:lastRenderedPageBreak/>
        <w:t>Wijziging van de begrotingsstaat van het Infrastructuurfonds voor het jaar 2019 (Eerste suppletoire begroting)</w:t>
      </w:r>
    </w:p>
    <w:p w:rsidRPr="004A06F5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4A06F5">
        <w:rPr>
          <w:rFonts w:ascii="Times New Roman" w:hAnsi="Times New Roman" w:cs="Times New Roman"/>
          <w:b/>
          <w:sz w:val="24"/>
          <w:szCs w:val="24"/>
        </w:rPr>
        <w:t>(bedragen x € 1.000)</w:t>
      </w:r>
    </w:p>
    <w:p w:rsidRPr="004A06F5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2543"/>
        <w:gridCol w:w="1674"/>
        <w:gridCol w:w="1100"/>
        <w:gridCol w:w="1447"/>
        <w:gridCol w:w="1674"/>
        <w:gridCol w:w="1060"/>
        <w:gridCol w:w="1447"/>
      </w:tblGrid>
      <w:tr w:rsidRPr="004A06F5" w:rsidR="00A54EC2" w:rsidTr="00F31B70">
        <w:trPr>
          <w:trHeight w:val="726"/>
        </w:trPr>
        <w:tc>
          <w:tcPr>
            <w:tcW w:w="801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Art.</w:t>
            </w:r>
          </w:p>
        </w:tc>
        <w:tc>
          <w:tcPr>
            <w:tcW w:w="25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FFFFFF" w:fill="FFFFFF"/>
            <w:noWrap/>
            <w:vAlign w:val="center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Omschrijving</w:t>
            </w:r>
          </w:p>
        </w:tc>
        <w:tc>
          <w:tcPr>
            <w:tcW w:w="3250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  <w:hideMark/>
          </w:tcPr>
          <w:p w:rsidRPr="004A06F5" w:rsidR="00A54EC2" w:rsidP="00F31B70" w:rsidRDefault="00A54E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Vastgestelde begroting</w:t>
            </w:r>
          </w:p>
        </w:tc>
        <w:tc>
          <w:tcPr>
            <w:tcW w:w="3250" w:type="dxa"/>
            <w:gridSpan w:val="3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  <w:hideMark/>
          </w:tcPr>
          <w:p w:rsidRPr="004A06F5" w:rsidR="00A54EC2" w:rsidP="00F31B70" w:rsidRDefault="00A54E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Mutaties (+ of -) 1e suppletoire begroting</w:t>
            </w:r>
          </w:p>
        </w:tc>
      </w:tr>
      <w:tr w:rsidRPr="004A06F5" w:rsidR="00A54EC2" w:rsidTr="00F31B70">
        <w:trPr>
          <w:trHeight w:val="287"/>
        </w:trPr>
        <w:tc>
          <w:tcPr>
            <w:tcW w:w="801" w:type="dxa"/>
            <w:tcBorders>
              <w:top w:val="nil"/>
              <w:left w:val="single" w:color="auto" w:sz="8" w:space="0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Verplichtingen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Uitgaven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Ontvangsten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Verplichtingen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Uitgaven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12" w:space="0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Ontvangsten</w:t>
            </w:r>
          </w:p>
        </w:tc>
      </w:tr>
      <w:tr w:rsidRPr="004A06F5" w:rsidR="00A54EC2" w:rsidTr="00F31B70">
        <w:trPr>
          <w:trHeight w:val="298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12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Hoofdwegennet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3.144.096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3.114.638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73.126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769.958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9.057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77.159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13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Spoorwegen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1.610.625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2.009.388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195.388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232.696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43.783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8.774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14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Regionaal, lokale infrastructuur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54.809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192.762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209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-39.143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0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15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Hoofdvaarwegennet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777.657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1.291.388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105.584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154.085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70.428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-6.108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Megaprojecten Verkeer en Vervoer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1.107.469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692.068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72.020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275.275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-19.652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91.655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18²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Overige uitgaven en ontvangsten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1.028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893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15.751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15.926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1.048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19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Bijdragen andere begrotingen Rijk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6.921.916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-324.635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20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Verkenningen, reserveringen en investeringsruimte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66.897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66.897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-39.846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-37.001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Subtotaal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6.762.581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7.368.034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7.368.034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1.408.128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43.398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FFFFF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-152.107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color w:val="000000"/>
                <w:sz w:val="24"/>
              </w:rPr>
              <w:t>18.10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color w:val="000000"/>
                <w:sz w:val="24"/>
              </w:rPr>
            </w:pPr>
            <w:r w:rsidRPr="004A06F5">
              <w:rPr>
                <w:rFonts w:ascii="Times New Roman" w:hAnsi="Times New Roman"/>
                <w:color w:val="000000"/>
                <w:sz w:val="24"/>
              </w:rPr>
              <w:t>Voordelig eindsaldo (cumulatief) vorig jaar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color w:val="333333"/>
                <w:sz w:val="24"/>
              </w:rPr>
              <w:t>195.505</w:t>
            </w:r>
          </w:p>
        </w:tc>
      </w:tr>
      <w:tr w:rsidRPr="004A06F5" w:rsidR="00A54EC2" w:rsidTr="00F31B70">
        <w:trPr>
          <w:trHeight w:val="275"/>
        </w:trPr>
        <w:tc>
          <w:tcPr>
            <w:tcW w:w="801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Subtotaal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6.762.581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7.368.034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7.368.034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1.408.128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43.398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jc w:val="right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43.398</w:t>
            </w:r>
          </w:p>
        </w:tc>
      </w:tr>
      <w:tr w:rsidRPr="004A06F5" w:rsidR="00A54EC2" w:rsidTr="00F31B70">
        <w:trPr>
          <w:trHeight w:val="287"/>
        </w:trPr>
        <w:tc>
          <w:tcPr>
            <w:tcW w:w="801" w:type="dxa"/>
            <w:tcBorders>
              <w:top w:val="nil"/>
              <w:left w:val="single" w:color="auto" w:sz="8" w:space="0"/>
              <w:bottom w:val="single" w:color="000000" w:sz="4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FFFFFF" w:fill="F8FBFC"/>
            <w:noWrap/>
            <w:vAlign w:val="bottom"/>
            <w:hideMark/>
          </w:tcPr>
          <w:p w:rsidRPr="004A06F5" w:rsidR="00A54EC2" w:rsidP="00F31B70" w:rsidRDefault="00A54EC2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4A06F5">
              <w:rPr>
                <w:rFonts w:ascii="Times New Roman" w:hAnsi="Times New Roman"/>
                <w:b/>
                <w:bCs/>
                <w:color w:val="333333"/>
                <w:sz w:val="24"/>
              </w:rPr>
              <w:t> </w:t>
            </w:r>
          </w:p>
        </w:tc>
      </w:tr>
    </w:tbl>
    <w:p w:rsidRPr="00A54EC2" w:rsidR="00A54EC2" w:rsidP="00A54EC2" w:rsidRDefault="00A54EC2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</w:p>
    <w:p w:rsidR="00A54EC2" w:rsidP="00A54EC2" w:rsidRDefault="00A54EC2">
      <w:pPr>
        <w:rPr>
          <w:rFonts w:ascii="Times New Roman" w:hAnsi="Times New Roman"/>
          <w:b/>
          <w:szCs w:val="20"/>
        </w:rPr>
        <w:sectPr w:rsidR="00A54EC2" w:rsidSect="00A54EC2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A54EC2" w:rsidR="00A54EC2" w:rsidP="00A54EC2" w:rsidRDefault="00A54EC2">
      <w:pPr>
        <w:rPr>
          <w:rFonts w:ascii="Times New Roman" w:hAnsi="Times New Roman"/>
          <w:b/>
          <w:szCs w:val="20"/>
        </w:rPr>
      </w:pPr>
      <w:r w:rsidRPr="00A54EC2">
        <w:rPr>
          <w:rFonts w:ascii="Times New Roman" w:hAnsi="Times New Roman"/>
          <w:b/>
          <w:szCs w:val="20"/>
        </w:rPr>
        <w:lastRenderedPageBreak/>
        <w:br w:type="page"/>
      </w:r>
    </w:p>
    <w:p w:rsidRPr="000C62F0" w:rsidR="00A54EC2" w:rsidP="00A54EC2" w:rsidRDefault="00A54EC2">
      <w:pPr>
        <w:pStyle w:val="Geenafstand"/>
        <w:rPr>
          <w:szCs w:val="18"/>
          <w:u w:val="single"/>
        </w:rPr>
      </w:pPr>
    </w:p>
    <w:p w:rsidRPr="002168F4" w:rsidR="00A54EC2" w:rsidP="00A11E73" w:rsidRDefault="00A54EC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A54EC2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EC2" w:rsidRDefault="00A54EC2">
      <w:pPr>
        <w:spacing w:line="20" w:lineRule="exact"/>
      </w:pPr>
    </w:p>
  </w:endnote>
  <w:endnote w:type="continuationSeparator" w:id="0">
    <w:p w:rsidR="00A54EC2" w:rsidRDefault="00A54EC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54EC2" w:rsidRDefault="00A54EC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B35F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EC2" w:rsidRDefault="00A54EC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54EC2" w:rsidRDefault="00A5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C2"/>
    <w:rsid w:val="00012DBE"/>
    <w:rsid w:val="000A1D81"/>
    <w:rsid w:val="00111ED3"/>
    <w:rsid w:val="001427F6"/>
    <w:rsid w:val="001C190E"/>
    <w:rsid w:val="002168F4"/>
    <w:rsid w:val="002A727C"/>
    <w:rsid w:val="003D1449"/>
    <w:rsid w:val="004A06F5"/>
    <w:rsid w:val="005D2707"/>
    <w:rsid w:val="00606255"/>
    <w:rsid w:val="006B607A"/>
    <w:rsid w:val="007D451C"/>
    <w:rsid w:val="00826224"/>
    <w:rsid w:val="00876428"/>
    <w:rsid w:val="00930A23"/>
    <w:rsid w:val="009C7354"/>
    <w:rsid w:val="009E6D7F"/>
    <w:rsid w:val="00A11E73"/>
    <w:rsid w:val="00A2521E"/>
    <w:rsid w:val="00A54EC2"/>
    <w:rsid w:val="00AE436A"/>
    <w:rsid w:val="00BB35F2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link w:val="GeenafstandChar"/>
    <w:uiPriority w:val="1"/>
    <w:qFormat/>
    <w:rsid w:val="00A54EC2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54EC2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avmp">
    <w:name w:val="avmp"/>
    <w:rsid w:val="00876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link w:val="GeenafstandChar"/>
    <w:uiPriority w:val="1"/>
    <w:qFormat/>
    <w:rsid w:val="00A54EC2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54EC2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avmp">
    <w:name w:val="avmp"/>
    <w:rsid w:val="00876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382</ap:Words>
  <ap:Characters>2462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2019-07-02T08:43:00.0000000Z</dcterms:created>
  <dcterms:modified xsi:type="dcterms:W3CDTF">2019-07-04T13:19:00.0000000Z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0x01010011F0757392A09E45BC8937733EE9BA96</vt:lpwstr>
  </property>
</Properties>
</file>