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727D" w:rsidP="0027727D" w:rsidRDefault="0027727D" w14:paraId="57C2AD16" w14:textId="77777777">
      <w:pPr>
        <w:rPr>
          <w:b/>
          <w:lang w:val="nl-NL"/>
        </w:rPr>
      </w:pPr>
      <w:bookmarkStart w:name="_GoBack" w:id="0"/>
      <w:bookmarkEnd w:id="0"/>
      <w:r>
        <w:rPr>
          <w:b/>
          <w:lang w:val="nl-NL"/>
        </w:rPr>
        <w:t>VE</w:t>
      </w:r>
      <w:r w:rsidR="00FF3354">
        <w:rPr>
          <w:b/>
          <w:lang w:val="nl-NL"/>
        </w:rPr>
        <w:t>RSLAG RAAD ALGEMENE ZAKEN VAN 18</w:t>
      </w:r>
      <w:r>
        <w:rPr>
          <w:b/>
          <w:lang w:val="nl-NL"/>
        </w:rPr>
        <w:t xml:space="preserve"> JUNI 2019</w:t>
      </w:r>
    </w:p>
    <w:p w:rsidR="0027727D" w:rsidP="0027727D" w:rsidRDefault="0027727D" w14:paraId="6276F790" w14:textId="77777777">
      <w:pPr>
        <w:rPr>
          <w:b/>
          <w:szCs w:val="18"/>
          <w:lang w:val="nl-NL"/>
        </w:rPr>
      </w:pPr>
    </w:p>
    <w:p w:rsidR="0027727D" w:rsidP="0027727D" w:rsidRDefault="0027727D" w14:paraId="09042F99" w14:textId="77777777">
      <w:pPr>
        <w:rPr>
          <w:b/>
          <w:lang w:val="nl-NL"/>
        </w:rPr>
      </w:pPr>
      <w:r>
        <w:rPr>
          <w:b/>
          <w:lang w:val="nl-NL"/>
        </w:rPr>
        <w:t xml:space="preserve">Voorbereiding Europese Raad 20-21 juni 2019 </w:t>
      </w:r>
    </w:p>
    <w:p w:rsidRPr="00FB7663" w:rsidR="00BD0D78" w:rsidP="00FB7663" w:rsidRDefault="00BD0D78" w14:paraId="6787BA2A" w14:textId="590910D6">
      <w:pPr>
        <w:rPr>
          <w:szCs w:val="18"/>
          <w:lang w:val="nl-NL"/>
        </w:rPr>
      </w:pPr>
      <w:r>
        <w:rPr>
          <w:szCs w:val="18"/>
          <w:lang w:val="nl-NL"/>
        </w:rPr>
        <w:t>De Raad Algemene Zaken bespr</w:t>
      </w:r>
      <w:r w:rsidR="00236EA6">
        <w:rPr>
          <w:szCs w:val="18"/>
          <w:lang w:val="nl-NL"/>
        </w:rPr>
        <w:t>a</w:t>
      </w:r>
      <w:r>
        <w:rPr>
          <w:szCs w:val="18"/>
          <w:lang w:val="nl-NL"/>
        </w:rPr>
        <w:t xml:space="preserve">k de </w:t>
      </w:r>
      <w:r w:rsidR="003369A7">
        <w:rPr>
          <w:szCs w:val="18"/>
          <w:lang w:val="nl-NL"/>
        </w:rPr>
        <w:t xml:space="preserve">concept </w:t>
      </w:r>
      <w:r>
        <w:rPr>
          <w:szCs w:val="18"/>
          <w:lang w:val="nl-NL"/>
        </w:rPr>
        <w:t xml:space="preserve">conclusies van de Europese Raad van 20-21 juni, waaronder de concept </w:t>
      </w:r>
      <w:r>
        <w:rPr>
          <w:i/>
          <w:szCs w:val="18"/>
          <w:lang w:val="nl-NL"/>
        </w:rPr>
        <w:t xml:space="preserve">Strategische Agenda </w:t>
      </w:r>
      <w:r w:rsidRPr="00BD0D78">
        <w:rPr>
          <w:szCs w:val="18"/>
          <w:lang w:val="nl-NL"/>
        </w:rPr>
        <w:t>2019-2024.</w:t>
      </w:r>
      <w:r w:rsidR="004503A7">
        <w:rPr>
          <w:szCs w:val="18"/>
          <w:lang w:val="nl-NL"/>
        </w:rPr>
        <w:t xml:space="preserve"> Deze is uw Kamer vertrouwelijk toegekomen op 18 juni (kamerstuk nummer 21501 20 nr. </w:t>
      </w:r>
      <w:r w:rsidRPr="004503A7" w:rsidR="004503A7">
        <w:rPr>
          <w:szCs w:val="18"/>
          <w:lang w:val="nl-NL"/>
        </w:rPr>
        <w:t>1459</w:t>
      </w:r>
      <w:r w:rsidR="004503A7">
        <w:rPr>
          <w:szCs w:val="18"/>
          <w:lang w:val="nl-NL"/>
        </w:rPr>
        <w:t>).</w:t>
      </w:r>
      <w:r>
        <w:rPr>
          <w:i/>
          <w:szCs w:val="18"/>
          <w:lang w:val="nl-NL"/>
        </w:rPr>
        <w:t xml:space="preserve"> </w:t>
      </w:r>
      <w:r w:rsidRPr="00BD0D78">
        <w:rPr>
          <w:szCs w:val="18"/>
          <w:lang w:val="nl-NL"/>
        </w:rPr>
        <w:t>In deze Strategische Agenda identificeert de ER prioriteiten voor de komende legislatuur om daarmee sturing te geven aan de nieuwe Europese Commissie.</w:t>
      </w:r>
      <w:r>
        <w:rPr>
          <w:szCs w:val="18"/>
          <w:lang w:val="nl-NL"/>
        </w:rPr>
        <w:t xml:space="preserve"> </w:t>
      </w:r>
      <w:r w:rsidR="006C2DEF">
        <w:rPr>
          <w:szCs w:val="18"/>
          <w:lang w:val="nl-NL"/>
        </w:rPr>
        <w:t xml:space="preserve">Vele lidstaten verwelkomden </w:t>
      </w:r>
      <w:r w:rsidR="00FB7663">
        <w:rPr>
          <w:szCs w:val="18"/>
          <w:lang w:val="nl-NL"/>
        </w:rPr>
        <w:t>en onderstreepten het belang van de Strategische Agenda</w:t>
      </w:r>
      <w:r w:rsidR="006C2DEF">
        <w:rPr>
          <w:szCs w:val="18"/>
          <w:lang w:val="nl-NL"/>
        </w:rPr>
        <w:t xml:space="preserve">. Daarbij werd aandacht gevraagd voor de opvolging en invulling van de Strategische Agenda, onder anderen in de </w:t>
      </w:r>
      <w:r w:rsidR="00FB7663">
        <w:rPr>
          <w:szCs w:val="18"/>
          <w:lang w:val="nl-NL"/>
        </w:rPr>
        <w:t>ER</w:t>
      </w:r>
      <w:r w:rsidR="006C2DEF">
        <w:rPr>
          <w:szCs w:val="18"/>
          <w:lang w:val="nl-NL"/>
        </w:rPr>
        <w:t xml:space="preserve"> van oktober 2019. De minister benadrukte in zijn interventie het belang dat Nederland hecht aan </w:t>
      </w:r>
      <w:r w:rsidR="009D54AB">
        <w:rPr>
          <w:szCs w:val="18"/>
          <w:lang w:val="nl-NL"/>
        </w:rPr>
        <w:t xml:space="preserve">verbetering van </w:t>
      </w:r>
      <w:r w:rsidR="006C2DEF">
        <w:rPr>
          <w:szCs w:val="18"/>
          <w:lang w:val="nl-NL"/>
        </w:rPr>
        <w:t xml:space="preserve">de werking van de EU, om resultaten te kunnen leveren op de gestelde prioriteiten, onder anderen door </w:t>
      </w:r>
      <w:r w:rsidRPr="006C2DEF" w:rsidR="006C2DEF">
        <w:rPr>
          <w:szCs w:val="18"/>
          <w:lang w:val="nl-NL"/>
        </w:rPr>
        <w:t>het garanderen van respect voor de democratische rechtsstaat, het effectief en efficiënt functioneren van de Europese instellingen en modernisering van het transparantiebeleid.</w:t>
      </w:r>
      <w:r w:rsidR="006C2DEF">
        <w:rPr>
          <w:szCs w:val="18"/>
          <w:lang w:val="nl-NL"/>
        </w:rPr>
        <w:t xml:space="preserve"> Het </w:t>
      </w:r>
      <w:r w:rsidR="00742FFC">
        <w:rPr>
          <w:szCs w:val="18"/>
          <w:lang w:val="nl-NL"/>
        </w:rPr>
        <w:t xml:space="preserve">recente </w:t>
      </w:r>
      <w:r w:rsidR="006C2DEF">
        <w:rPr>
          <w:szCs w:val="18"/>
          <w:lang w:val="nl-NL"/>
        </w:rPr>
        <w:t xml:space="preserve">paper dat de Benelux heeft opgesteld </w:t>
      </w:r>
      <w:r w:rsidR="009D54AB">
        <w:rPr>
          <w:szCs w:val="18"/>
          <w:lang w:val="nl-NL"/>
        </w:rPr>
        <w:t xml:space="preserve">over </w:t>
      </w:r>
      <w:r w:rsidR="006C2DEF">
        <w:rPr>
          <w:szCs w:val="18"/>
          <w:lang w:val="nl-NL"/>
        </w:rPr>
        <w:t>het functioneren van</w:t>
      </w:r>
      <w:r w:rsidR="00EA500D">
        <w:rPr>
          <w:szCs w:val="18"/>
          <w:lang w:val="nl-NL"/>
        </w:rPr>
        <w:t xml:space="preserve"> de EU, met daarin onder andere</w:t>
      </w:r>
      <w:r w:rsidR="006C2DEF">
        <w:rPr>
          <w:szCs w:val="18"/>
          <w:lang w:val="nl-NL"/>
        </w:rPr>
        <w:t xml:space="preserve"> aandacht voor rechtsstatelijkheid en transparantie, werd tijdens de Raad door Luxemburg gepresenteerd en door Nederland gesteund.</w:t>
      </w:r>
      <w:r w:rsidR="008D219F">
        <w:rPr>
          <w:szCs w:val="18"/>
          <w:lang w:val="nl-NL"/>
        </w:rPr>
        <w:t xml:space="preserve"> </w:t>
      </w:r>
      <w:r w:rsidR="00B6285A">
        <w:rPr>
          <w:szCs w:val="18"/>
          <w:lang w:val="nl-NL"/>
        </w:rPr>
        <w:t>Het</w:t>
      </w:r>
      <w:r w:rsidR="008D219F">
        <w:rPr>
          <w:szCs w:val="18"/>
          <w:lang w:val="nl-NL"/>
        </w:rPr>
        <w:t xml:space="preserve"> paper van de Benelux </w:t>
      </w:r>
      <w:r w:rsidR="008E2DDE">
        <w:rPr>
          <w:szCs w:val="18"/>
          <w:lang w:val="nl-NL"/>
        </w:rPr>
        <w:t>is</w:t>
      </w:r>
      <w:r w:rsidR="008D219F">
        <w:rPr>
          <w:szCs w:val="18"/>
          <w:lang w:val="nl-NL"/>
        </w:rPr>
        <w:t xml:space="preserve"> </w:t>
      </w:r>
      <w:r w:rsidR="003369A7">
        <w:rPr>
          <w:szCs w:val="18"/>
          <w:lang w:val="nl-NL"/>
        </w:rPr>
        <w:t>toe</w:t>
      </w:r>
      <w:r w:rsidR="008D219F">
        <w:rPr>
          <w:szCs w:val="18"/>
          <w:lang w:val="nl-NL"/>
        </w:rPr>
        <w:t xml:space="preserve">gevoegd </w:t>
      </w:r>
      <w:r w:rsidR="005E0394">
        <w:rPr>
          <w:szCs w:val="18"/>
          <w:lang w:val="nl-NL"/>
        </w:rPr>
        <w:t xml:space="preserve">aan </w:t>
      </w:r>
      <w:r w:rsidR="008D219F">
        <w:rPr>
          <w:szCs w:val="18"/>
          <w:lang w:val="nl-NL"/>
        </w:rPr>
        <w:t xml:space="preserve">dit verslag. </w:t>
      </w:r>
    </w:p>
    <w:p w:rsidR="00236EA6" w:rsidP="00D46ADC" w:rsidRDefault="002E0AA4" w14:paraId="4522DB14" w14:textId="26918BE2">
      <w:pPr>
        <w:pStyle w:val="NormalWeb"/>
        <w:rPr>
          <w:rFonts w:ascii="Verdana" w:hAnsi="Verdana" w:cstheme="minorBidi"/>
          <w:sz w:val="18"/>
          <w:szCs w:val="18"/>
          <w:lang w:eastAsia="en-US"/>
        </w:rPr>
      </w:pPr>
      <w:r w:rsidRPr="00D46ADC">
        <w:rPr>
          <w:rFonts w:ascii="Verdana" w:hAnsi="Verdana" w:cstheme="minorBidi"/>
          <w:sz w:val="18"/>
          <w:szCs w:val="18"/>
          <w:lang w:eastAsia="en-US"/>
        </w:rPr>
        <w:t>De Raad besprak de conclusies ten aa</w:t>
      </w:r>
      <w:r w:rsidRPr="00D46ADC" w:rsidR="006622A8">
        <w:rPr>
          <w:rFonts w:ascii="Verdana" w:hAnsi="Verdana" w:cstheme="minorBidi"/>
          <w:sz w:val="18"/>
          <w:szCs w:val="18"/>
          <w:lang w:eastAsia="en-US"/>
        </w:rPr>
        <w:t xml:space="preserve">nzien van de lange termijn strategie voor klimaat die tevens richting geven aan de positie van de EU bij de klimaattop die SGVN </w:t>
      </w:r>
      <w:proofErr w:type="spellStart"/>
      <w:r w:rsidRPr="00D46ADC" w:rsidR="006622A8">
        <w:rPr>
          <w:rFonts w:ascii="Verdana" w:hAnsi="Verdana" w:cstheme="minorBidi"/>
          <w:sz w:val="18"/>
          <w:szCs w:val="18"/>
          <w:lang w:eastAsia="en-US"/>
        </w:rPr>
        <w:t>Gute</w:t>
      </w:r>
      <w:r w:rsidR="001C0679">
        <w:rPr>
          <w:rFonts w:ascii="Verdana" w:hAnsi="Verdana" w:cstheme="minorBidi"/>
          <w:sz w:val="18"/>
          <w:szCs w:val="18"/>
          <w:lang w:eastAsia="en-US"/>
        </w:rPr>
        <w:t>r</w:t>
      </w:r>
      <w:r w:rsidRPr="00D46ADC" w:rsidR="006622A8">
        <w:rPr>
          <w:rFonts w:ascii="Verdana" w:hAnsi="Verdana" w:cstheme="minorBidi"/>
          <w:sz w:val="18"/>
          <w:szCs w:val="18"/>
          <w:lang w:eastAsia="en-US"/>
        </w:rPr>
        <w:t>res</w:t>
      </w:r>
      <w:proofErr w:type="spellEnd"/>
      <w:r w:rsidRPr="00D46ADC" w:rsidR="006622A8">
        <w:rPr>
          <w:rFonts w:ascii="Verdana" w:hAnsi="Verdana" w:cstheme="minorBidi"/>
          <w:sz w:val="18"/>
          <w:szCs w:val="18"/>
          <w:lang w:eastAsia="en-US"/>
        </w:rPr>
        <w:t xml:space="preserve"> organiseert in New York in september dit jaar.</w:t>
      </w:r>
      <w:r w:rsidRPr="00D46ADC" w:rsidDel="00D658EB">
        <w:rPr>
          <w:rFonts w:ascii="Verdana" w:hAnsi="Verdana" w:cstheme="minorBidi"/>
          <w:sz w:val="18"/>
          <w:szCs w:val="18"/>
          <w:lang w:eastAsia="en-US"/>
        </w:rPr>
        <w:t xml:space="preserve"> </w:t>
      </w:r>
      <w:r w:rsidRPr="00D46ADC">
        <w:rPr>
          <w:rFonts w:ascii="Verdana" w:hAnsi="Verdana" w:cstheme="minorBidi"/>
          <w:sz w:val="18"/>
          <w:szCs w:val="18"/>
          <w:lang w:eastAsia="en-US"/>
        </w:rPr>
        <w:t>Een grote groep lidstaten</w:t>
      </w:r>
      <w:r w:rsidR="00D658EB">
        <w:rPr>
          <w:rFonts w:ascii="Verdana" w:hAnsi="Verdana" w:cstheme="minorBidi"/>
          <w:sz w:val="18"/>
          <w:szCs w:val="18"/>
          <w:lang w:eastAsia="en-US"/>
        </w:rPr>
        <w:t xml:space="preserve"> waaronder Nederland</w:t>
      </w:r>
      <w:r w:rsidRPr="00D46ADC">
        <w:rPr>
          <w:rFonts w:ascii="Verdana" w:hAnsi="Verdana" w:cstheme="minorBidi"/>
          <w:sz w:val="18"/>
          <w:szCs w:val="18"/>
          <w:lang w:eastAsia="en-US"/>
        </w:rPr>
        <w:t xml:space="preserve"> wil graag dat de EU zich committeert aan het bereiken van klimaatneutraliteit uiterlijk in 2050, dat er een goede koppeling wordt gelegd met het 1,5 graden doel van het Verdrag van Parijs en dat de EU bereidheid toont om </w:t>
      </w:r>
      <w:r w:rsidR="00D860D7">
        <w:rPr>
          <w:rFonts w:ascii="Verdana" w:hAnsi="Verdana" w:cstheme="minorBidi"/>
          <w:sz w:val="18"/>
          <w:szCs w:val="18"/>
          <w:lang w:eastAsia="en-US"/>
        </w:rPr>
        <w:t>haar</w:t>
      </w:r>
      <w:r w:rsidRPr="00D46ADC">
        <w:rPr>
          <w:rFonts w:ascii="Verdana" w:hAnsi="Verdana" w:cstheme="minorBidi"/>
          <w:sz w:val="18"/>
          <w:szCs w:val="18"/>
          <w:lang w:eastAsia="en-US"/>
        </w:rPr>
        <w:t xml:space="preserve"> </w:t>
      </w:r>
      <w:proofErr w:type="spellStart"/>
      <w:r w:rsidRPr="002B1421" w:rsidR="006622A8">
        <w:rPr>
          <w:rFonts w:ascii="Verdana" w:hAnsi="Verdana" w:cstheme="minorBidi"/>
          <w:i/>
          <w:sz w:val="18"/>
          <w:szCs w:val="18"/>
          <w:lang w:eastAsia="en-US"/>
        </w:rPr>
        <w:t>N</w:t>
      </w:r>
      <w:r w:rsidRPr="002B1421">
        <w:rPr>
          <w:rFonts w:ascii="Verdana" w:hAnsi="Verdana" w:cstheme="minorBidi"/>
          <w:i/>
          <w:sz w:val="18"/>
          <w:szCs w:val="18"/>
          <w:lang w:eastAsia="en-US"/>
        </w:rPr>
        <w:t>ationally</w:t>
      </w:r>
      <w:proofErr w:type="spellEnd"/>
      <w:r w:rsidRPr="002B1421">
        <w:rPr>
          <w:rFonts w:ascii="Verdana" w:hAnsi="Verdana" w:cstheme="minorBidi"/>
          <w:i/>
          <w:sz w:val="18"/>
          <w:szCs w:val="18"/>
          <w:lang w:eastAsia="en-US"/>
        </w:rPr>
        <w:t xml:space="preserve"> </w:t>
      </w:r>
      <w:proofErr w:type="spellStart"/>
      <w:r w:rsidRPr="002B1421" w:rsidR="006622A8">
        <w:rPr>
          <w:rFonts w:ascii="Verdana" w:hAnsi="Verdana" w:cstheme="minorBidi"/>
          <w:i/>
          <w:sz w:val="18"/>
          <w:szCs w:val="18"/>
          <w:lang w:eastAsia="en-US"/>
        </w:rPr>
        <w:t>D</w:t>
      </w:r>
      <w:r w:rsidRPr="002B1421">
        <w:rPr>
          <w:rFonts w:ascii="Verdana" w:hAnsi="Verdana" w:cstheme="minorBidi"/>
          <w:i/>
          <w:sz w:val="18"/>
          <w:szCs w:val="18"/>
          <w:lang w:eastAsia="en-US"/>
        </w:rPr>
        <w:t>etermined</w:t>
      </w:r>
      <w:proofErr w:type="spellEnd"/>
      <w:r w:rsidRPr="002B1421">
        <w:rPr>
          <w:rFonts w:ascii="Verdana" w:hAnsi="Verdana" w:cstheme="minorBidi"/>
          <w:i/>
          <w:sz w:val="18"/>
          <w:szCs w:val="18"/>
          <w:lang w:eastAsia="en-US"/>
        </w:rPr>
        <w:t xml:space="preserve"> </w:t>
      </w:r>
      <w:proofErr w:type="spellStart"/>
      <w:r w:rsidRPr="002B1421" w:rsidR="006622A8">
        <w:rPr>
          <w:rFonts w:ascii="Verdana" w:hAnsi="Verdana" w:cstheme="minorBidi"/>
          <w:i/>
          <w:sz w:val="18"/>
          <w:szCs w:val="18"/>
          <w:lang w:eastAsia="en-US"/>
        </w:rPr>
        <w:t>C</w:t>
      </w:r>
      <w:r w:rsidRPr="002B1421">
        <w:rPr>
          <w:rFonts w:ascii="Verdana" w:hAnsi="Verdana" w:cstheme="minorBidi"/>
          <w:i/>
          <w:sz w:val="18"/>
          <w:szCs w:val="18"/>
          <w:lang w:eastAsia="en-US"/>
        </w:rPr>
        <w:t>ontribution</w:t>
      </w:r>
      <w:proofErr w:type="spellEnd"/>
      <w:r w:rsidRPr="00D46ADC" w:rsidR="006622A8">
        <w:rPr>
          <w:rFonts w:ascii="Verdana" w:hAnsi="Verdana" w:cstheme="minorBidi"/>
          <w:sz w:val="18"/>
          <w:szCs w:val="18"/>
          <w:lang w:eastAsia="en-US"/>
        </w:rPr>
        <w:t xml:space="preserve"> te verhogen. Er moet rekening worden gehouden met nationale omstandigheden, de transitie moet sociaal in balans zijn en de Europese Investering Bank (EIB) zou zijn klimaat-investeringen moeten opschroeven. Een andere groep lidstaten geeft aan dat het nog niet kan instemmen met de lange termijn strategie en het doel van klimaatneutraliteit in 2050. Zij stellen dat zij eerst hun nationale plannen willen afmaken, de </w:t>
      </w:r>
      <w:r w:rsidRPr="00D46ADC" w:rsidR="00D46ADC">
        <w:rPr>
          <w:rFonts w:ascii="Verdana" w:hAnsi="Verdana" w:cstheme="minorBidi"/>
          <w:sz w:val="18"/>
          <w:szCs w:val="18"/>
          <w:lang w:eastAsia="en-US"/>
        </w:rPr>
        <w:t xml:space="preserve">lastendeling van </w:t>
      </w:r>
      <w:r w:rsidRPr="00D46ADC" w:rsidR="006622A8">
        <w:rPr>
          <w:rFonts w:ascii="Verdana" w:hAnsi="Verdana" w:cstheme="minorBidi"/>
          <w:sz w:val="18"/>
          <w:szCs w:val="18"/>
          <w:lang w:eastAsia="en-US"/>
        </w:rPr>
        <w:t>de transitie eerlijk</w:t>
      </w:r>
      <w:r w:rsidRPr="00D46ADC" w:rsidR="00D46ADC">
        <w:rPr>
          <w:rFonts w:ascii="Verdana" w:hAnsi="Verdana" w:cstheme="minorBidi"/>
          <w:sz w:val="18"/>
          <w:szCs w:val="18"/>
          <w:lang w:eastAsia="en-US"/>
        </w:rPr>
        <w:t xml:space="preserve"> </w:t>
      </w:r>
      <w:r w:rsidR="00D658EB">
        <w:rPr>
          <w:rFonts w:ascii="Verdana" w:hAnsi="Verdana" w:cstheme="minorBidi"/>
          <w:sz w:val="18"/>
          <w:szCs w:val="18"/>
          <w:lang w:eastAsia="en-US"/>
        </w:rPr>
        <w:t xml:space="preserve">moet </w:t>
      </w:r>
      <w:r w:rsidRPr="00D46ADC" w:rsidR="00D46ADC">
        <w:rPr>
          <w:rFonts w:ascii="Verdana" w:hAnsi="Verdana" w:cstheme="minorBidi"/>
          <w:sz w:val="18"/>
          <w:szCs w:val="18"/>
          <w:lang w:eastAsia="en-US"/>
        </w:rPr>
        <w:t xml:space="preserve">zijn en </w:t>
      </w:r>
      <w:r w:rsidR="00D658EB">
        <w:rPr>
          <w:rFonts w:ascii="Verdana" w:hAnsi="Verdana" w:cstheme="minorBidi"/>
          <w:sz w:val="18"/>
          <w:szCs w:val="18"/>
          <w:lang w:eastAsia="en-US"/>
        </w:rPr>
        <w:t xml:space="preserve">er </w:t>
      </w:r>
      <w:r w:rsidRPr="00D46ADC" w:rsidR="00D46ADC">
        <w:rPr>
          <w:rFonts w:ascii="Verdana" w:hAnsi="Verdana" w:cstheme="minorBidi"/>
          <w:sz w:val="18"/>
          <w:szCs w:val="18"/>
          <w:lang w:eastAsia="en-US"/>
        </w:rPr>
        <w:t xml:space="preserve">een financieel compensatiemechanisme </w:t>
      </w:r>
      <w:r w:rsidR="00D658EB">
        <w:rPr>
          <w:rFonts w:ascii="Verdana" w:hAnsi="Verdana" w:cstheme="minorBidi"/>
          <w:sz w:val="18"/>
          <w:szCs w:val="18"/>
          <w:lang w:eastAsia="en-US"/>
        </w:rPr>
        <w:t>zou moeten komen</w:t>
      </w:r>
      <w:r w:rsidRPr="00D46ADC" w:rsidR="00D46ADC">
        <w:rPr>
          <w:rFonts w:ascii="Verdana" w:hAnsi="Verdana" w:cstheme="minorBidi"/>
          <w:sz w:val="18"/>
          <w:szCs w:val="18"/>
          <w:lang w:eastAsia="en-US"/>
        </w:rPr>
        <w:t>. Tevens is het belangrijk dat landen hun eigen energiemix kunnen blijven bepalen en nationaal concurrentievermogen mag niet lijden onder de klimaattransitie. De verschillende inzichten worden meegenomen in een nieuwe versie van de conclusies die voor z</w:t>
      </w:r>
      <w:r w:rsidR="002B1421">
        <w:rPr>
          <w:rFonts w:ascii="Verdana" w:hAnsi="Verdana" w:cstheme="minorBidi"/>
          <w:sz w:val="18"/>
          <w:szCs w:val="18"/>
          <w:lang w:eastAsia="en-US"/>
        </w:rPr>
        <w:t xml:space="preserve">al liggen voor bespreking door </w:t>
      </w:r>
      <w:r w:rsidRPr="00D46ADC" w:rsidR="00D46ADC">
        <w:rPr>
          <w:rFonts w:ascii="Verdana" w:hAnsi="Verdana" w:cstheme="minorBidi"/>
          <w:sz w:val="18"/>
          <w:szCs w:val="18"/>
          <w:lang w:eastAsia="en-US"/>
        </w:rPr>
        <w:t xml:space="preserve">de </w:t>
      </w:r>
      <w:r w:rsidR="002B1421">
        <w:rPr>
          <w:rFonts w:ascii="Verdana" w:hAnsi="Verdana" w:cstheme="minorBidi"/>
          <w:sz w:val="18"/>
          <w:szCs w:val="18"/>
          <w:lang w:eastAsia="en-US"/>
        </w:rPr>
        <w:t>ER</w:t>
      </w:r>
      <w:r w:rsidRPr="00D46ADC" w:rsidR="00D46ADC">
        <w:rPr>
          <w:rFonts w:ascii="Verdana" w:hAnsi="Verdana" w:cstheme="minorBidi"/>
          <w:sz w:val="18"/>
          <w:szCs w:val="18"/>
          <w:lang w:eastAsia="en-US"/>
        </w:rPr>
        <w:t xml:space="preserve">. </w:t>
      </w:r>
    </w:p>
    <w:p w:rsidRPr="00D46ADC" w:rsidR="00BB3CBF" w:rsidP="00D46ADC" w:rsidRDefault="00BB3CBF" w14:paraId="38B01BBE" w14:textId="10F1A1EF">
      <w:pPr>
        <w:pStyle w:val="NormalWeb"/>
        <w:rPr>
          <w:rFonts w:ascii="Verdana" w:hAnsi="Verdana" w:cstheme="minorBidi"/>
          <w:sz w:val="18"/>
          <w:szCs w:val="18"/>
          <w:lang w:eastAsia="en-US"/>
        </w:rPr>
      </w:pPr>
      <w:r>
        <w:rPr>
          <w:rFonts w:ascii="Verdana" w:hAnsi="Verdana" w:cstheme="minorBidi"/>
          <w:sz w:val="18"/>
          <w:szCs w:val="18"/>
          <w:lang w:eastAsia="en-US"/>
        </w:rPr>
        <w:t xml:space="preserve">Ten aanzien van het </w:t>
      </w:r>
      <w:r w:rsidRPr="00730705" w:rsidR="00730705">
        <w:rPr>
          <w:rFonts w:ascii="Verdana" w:hAnsi="Verdana" w:cstheme="minorBidi"/>
          <w:sz w:val="18"/>
          <w:szCs w:val="18"/>
          <w:lang w:eastAsia="en-US"/>
        </w:rPr>
        <w:t>EU Meerjarig Financieel Kader 2021-27 (MFK)</w:t>
      </w:r>
      <w:r w:rsidR="00730705">
        <w:rPr>
          <w:rFonts w:ascii="Verdana" w:hAnsi="Verdana" w:cstheme="minorBidi"/>
          <w:sz w:val="18"/>
          <w:szCs w:val="18"/>
          <w:lang w:eastAsia="en-US"/>
        </w:rPr>
        <w:t xml:space="preserve"> </w:t>
      </w:r>
      <w:r>
        <w:rPr>
          <w:rFonts w:ascii="Verdana" w:hAnsi="Verdana" w:cstheme="minorBidi"/>
          <w:sz w:val="18"/>
          <w:szCs w:val="18"/>
          <w:lang w:eastAsia="en-US"/>
        </w:rPr>
        <w:t>riep een groep lidstaten samen met de Commissie op tot een versnelling in het onderhandelingsproces. Nederland en een aantal andere lidstaten hebben aangegeven dat de huidige versie van het onderhandelingsdocument niet in evenwicht is (zie verder).</w:t>
      </w:r>
    </w:p>
    <w:p w:rsidR="00FD0721" w:rsidP="00FD0721" w:rsidRDefault="00FB7663" w14:paraId="6CE0342E" w14:textId="3FF754BE">
      <w:pPr>
        <w:rPr>
          <w:szCs w:val="18"/>
          <w:lang w:val="nl-NL"/>
        </w:rPr>
      </w:pPr>
      <w:r>
        <w:rPr>
          <w:szCs w:val="18"/>
          <w:lang w:val="nl-NL"/>
        </w:rPr>
        <w:t>Daarnaast vroegen m</w:t>
      </w:r>
      <w:r w:rsidR="004F7B79">
        <w:rPr>
          <w:szCs w:val="18"/>
          <w:lang w:val="nl-NL"/>
        </w:rPr>
        <w:t xml:space="preserve">eerdere lidstaten aandacht voor het bestrijden van desinformatie. Ook </w:t>
      </w:r>
      <w:r w:rsidR="007A1F51">
        <w:rPr>
          <w:szCs w:val="18"/>
          <w:lang w:val="nl-NL"/>
        </w:rPr>
        <w:t>onderstreepten</w:t>
      </w:r>
      <w:r w:rsidR="004F7B79">
        <w:rPr>
          <w:szCs w:val="18"/>
          <w:lang w:val="nl-NL"/>
        </w:rPr>
        <w:t xml:space="preserve"> meerdere lidstaten het belang van goede samenwerking bij de aanpak van desinformatie. </w:t>
      </w:r>
      <w:r w:rsidRPr="004F7B79" w:rsidR="004F7B79">
        <w:rPr>
          <w:lang w:val="nl-NL"/>
        </w:rPr>
        <w:t>Het kabinet verwelkomt de gecoördineerde aanpak van desinformatie, zoals beschreven in het BNC-fiche over het Actieplan Desinformatie (Kamerstuk 22 112, nr. 2760</w:t>
      </w:r>
      <w:r w:rsidR="004F7B79">
        <w:rPr>
          <w:lang w:val="nl-NL"/>
        </w:rPr>
        <w:t xml:space="preserve">). </w:t>
      </w:r>
      <w:r w:rsidRPr="004F7B79" w:rsidR="004F7B79">
        <w:rPr>
          <w:lang w:val="nl-NL"/>
        </w:rPr>
        <w:t xml:space="preserve"> </w:t>
      </w:r>
    </w:p>
    <w:p w:rsidR="002110BA" w:rsidP="0027727D" w:rsidRDefault="005E43C6" w14:paraId="11CD6708" w14:textId="72BAAFC9">
      <w:pPr>
        <w:rPr>
          <w:szCs w:val="18"/>
          <w:lang w:val="nl-NL"/>
        </w:rPr>
      </w:pPr>
      <w:r>
        <w:rPr>
          <w:szCs w:val="18"/>
          <w:lang w:val="nl-NL"/>
        </w:rPr>
        <w:t xml:space="preserve">Enkele </w:t>
      </w:r>
      <w:r w:rsidR="002B1421">
        <w:rPr>
          <w:szCs w:val="18"/>
          <w:lang w:val="nl-NL"/>
        </w:rPr>
        <w:t>l</w:t>
      </w:r>
      <w:r w:rsidR="002110BA">
        <w:rPr>
          <w:szCs w:val="18"/>
          <w:lang w:val="nl-NL"/>
        </w:rPr>
        <w:t xml:space="preserve">idstaten verwelkomden </w:t>
      </w:r>
      <w:r w:rsidR="00FB7663">
        <w:rPr>
          <w:szCs w:val="18"/>
          <w:lang w:val="nl-NL"/>
        </w:rPr>
        <w:t xml:space="preserve">vervolgens </w:t>
      </w:r>
      <w:r w:rsidR="002110BA">
        <w:rPr>
          <w:szCs w:val="18"/>
          <w:lang w:val="nl-NL"/>
        </w:rPr>
        <w:t xml:space="preserve">de aandacht in de </w:t>
      </w:r>
      <w:r w:rsidR="00FB7663">
        <w:rPr>
          <w:szCs w:val="18"/>
          <w:lang w:val="nl-NL"/>
        </w:rPr>
        <w:t>ontwerpconclusies</w:t>
      </w:r>
      <w:r w:rsidR="002110BA">
        <w:rPr>
          <w:szCs w:val="18"/>
          <w:lang w:val="nl-NL"/>
        </w:rPr>
        <w:t xml:space="preserve"> van </w:t>
      </w:r>
      <w:r w:rsidR="00FB7663">
        <w:rPr>
          <w:szCs w:val="18"/>
          <w:lang w:val="nl-NL"/>
        </w:rPr>
        <w:t>ER</w:t>
      </w:r>
      <w:r w:rsidR="002110BA">
        <w:rPr>
          <w:szCs w:val="18"/>
          <w:lang w:val="nl-NL"/>
        </w:rPr>
        <w:t xml:space="preserve"> voor</w:t>
      </w:r>
      <w:r w:rsidR="00E71BDF">
        <w:rPr>
          <w:szCs w:val="18"/>
          <w:lang w:val="nl-NL"/>
        </w:rPr>
        <w:t xml:space="preserve"> het Oostelijk Partnerschap, </w:t>
      </w:r>
      <w:r w:rsidR="00FB7663">
        <w:rPr>
          <w:szCs w:val="18"/>
          <w:lang w:val="nl-NL"/>
        </w:rPr>
        <w:t>Oekraïne</w:t>
      </w:r>
      <w:r w:rsidR="002110BA">
        <w:rPr>
          <w:szCs w:val="18"/>
          <w:lang w:val="nl-NL"/>
        </w:rPr>
        <w:t xml:space="preserve"> en Rusland. Nederland </w:t>
      </w:r>
      <w:r w:rsidR="00E71BDF">
        <w:rPr>
          <w:szCs w:val="18"/>
          <w:lang w:val="nl-NL"/>
        </w:rPr>
        <w:t xml:space="preserve">dankte voor de steun ten aanzien van MH17 en </w:t>
      </w:r>
      <w:r w:rsidR="002110BA">
        <w:rPr>
          <w:szCs w:val="18"/>
          <w:lang w:val="nl-NL"/>
        </w:rPr>
        <w:t xml:space="preserve">attendeerde de Raad </w:t>
      </w:r>
      <w:r w:rsidRPr="002110BA" w:rsidR="002110BA">
        <w:rPr>
          <w:szCs w:val="18"/>
          <w:lang w:val="nl-NL"/>
        </w:rPr>
        <w:t xml:space="preserve">op de aankondiging van het JIT op </w:t>
      </w:r>
      <w:r w:rsidR="002110BA">
        <w:rPr>
          <w:szCs w:val="18"/>
          <w:lang w:val="nl-NL"/>
        </w:rPr>
        <w:t>19 juni</w:t>
      </w:r>
      <w:r w:rsidR="00FB7663">
        <w:rPr>
          <w:szCs w:val="18"/>
          <w:lang w:val="nl-NL"/>
        </w:rPr>
        <w:t>. Verscheidene l</w:t>
      </w:r>
      <w:r w:rsidR="00E71BDF">
        <w:rPr>
          <w:szCs w:val="18"/>
          <w:lang w:val="nl-NL"/>
        </w:rPr>
        <w:t xml:space="preserve">idstaten onderstreepten het belang van aandacht voor Afrika en voor Noord-Afrika, </w:t>
      </w:r>
      <w:r w:rsidR="00117BCB">
        <w:rPr>
          <w:szCs w:val="18"/>
          <w:lang w:val="nl-NL"/>
        </w:rPr>
        <w:t xml:space="preserve">Marokko en </w:t>
      </w:r>
      <w:r w:rsidR="00FB7663">
        <w:rPr>
          <w:szCs w:val="18"/>
          <w:lang w:val="nl-NL"/>
        </w:rPr>
        <w:t>Libië</w:t>
      </w:r>
      <w:r w:rsidR="00E71BDF">
        <w:rPr>
          <w:szCs w:val="18"/>
          <w:lang w:val="nl-NL"/>
        </w:rPr>
        <w:t xml:space="preserve"> in het bijzonder. </w:t>
      </w:r>
    </w:p>
    <w:p w:rsidRPr="00FF3354" w:rsidR="0027727D" w:rsidP="002B1421" w:rsidRDefault="0027727D" w14:paraId="7D09C166" w14:textId="1C3F702C">
      <w:pPr>
        <w:spacing w:after="160" w:line="259" w:lineRule="auto"/>
        <w:rPr>
          <w:b/>
          <w:szCs w:val="18"/>
          <w:lang w:val="nl-NL"/>
        </w:rPr>
      </w:pPr>
      <w:r w:rsidRPr="00FF3354">
        <w:rPr>
          <w:b/>
          <w:szCs w:val="18"/>
          <w:lang w:val="nl-NL"/>
        </w:rPr>
        <w:t>Meerjarig Financieel Kader 2021-27 (MFK)</w:t>
      </w:r>
      <w:r>
        <w:rPr>
          <w:b/>
          <w:szCs w:val="18"/>
          <w:lang w:val="nl-NL"/>
        </w:rPr>
        <w:t xml:space="preserve"> </w:t>
      </w:r>
    </w:p>
    <w:p w:rsidRPr="00716666" w:rsidR="00C16346" w:rsidP="00C16346" w:rsidRDefault="00C16346" w14:paraId="0DDCE185" w14:textId="217D1898">
      <w:pPr>
        <w:rPr>
          <w:szCs w:val="18"/>
          <w:lang w:val="nl-NL"/>
        </w:rPr>
      </w:pPr>
      <w:r w:rsidRPr="00137E89">
        <w:rPr>
          <w:szCs w:val="18"/>
          <w:lang w:val="nl-NL"/>
        </w:rPr>
        <w:t xml:space="preserve">De Raad </w:t>
      </w:r>
      <w:r>
        <w:rPr>
          <w:szCs w:val="18"/>
          <w:lang w:val="nl-NL"/>
        </w:rPr>
        <w:t>voerde</w:t>
      </w:r>
      <w:r w:rsidRPr="00137E89">
        <w:rPr>
          <w:szCs w:val="18"/>
          <w:lang w:val="nl-NL"/>
        </w:rPr>
        <w:t xml:space="preserve"> een discussie over de stand van</w:t>
      </w:r>
      <w:r>
        <w:rPr>
          <w:szCs w:val="18"/>
          <w:lang w:val="nl-NL"/>
        </w:rPr>
        <w:t xml:space="preserve"> zaken in de onderhandelingen over het</w:t>
      </w:r>
      <w:r w:rsidR="00730705">
        <w:rPr>
          <w:szCs w:val="18"/>
          <w:lang w:val="nl-NL"/>
        </w:rPr>
        <w:t xml:space="preserve"> MFK</w:t>
      </w:r>
      <w:r>
        <w:rPr>
          <w:szCs w:val="18"/>
          <w:lang w:val="nl-NL"/>
        </w:rPr>
        <w:t>. Deze bespreking vond plaats aan de hand van een nieuwe versie van het onderhandelingsdocument (</w:t>
      </w:r>
      <w:proofErr w:type="spellStart"/>
      <w:r>
        <w:rPr>
          <w:i/>
          <w:szCs w:val="18"/>
          <w:lang w:val="nl-NL"/>
        </w:rPr>
        <w:t>negotiating</w:t>
      </w:r>
      <w:proofErr w:type="spellEnd"/>
      <w:r>
        <w:rPr>
          <w:i/>
          <w:szCs w:val="18"/>
          <w:lang w:val="nl-NL"/>
        </w:rPr>
        <w:t xml:space="preserve"> box</w:t>
      </w:r>
      <w:r>
        <w:rPr>
          <w:szCs w:val="18"/>
          <w:lang w:val="nl-NL"/>
        </w:rPr>
        <w:t>)</w:t>
      </w:r>
      <w:r>
        <w:rPr>
          <w:rStyle w:val="FootnoteReference"/>
          <w:szCs w:val="18"/>
          <w:lang w:val="nl-NL"/>
        </w:rPr>
        <w:footnoteReference w:id="2"/>
      </w:r>
      <w:r>
        <w:rPr>
          <w:szCs w:val="18"/>
          <w:lang w:val="nl-NL"/>
        </w:rPr>
        <w:t xml:space="preserve">. Dit is een voorzitterschapsdocument dat een integraal overzicht (alle uitgavencategorieën, horizontale elementen en de inkomstenzijde) geeft van de politieke beslispunten over het MFK. In het onderhandelingsdocument zijn verschillende opties opgenomen en/of passages tussen blokhaken gezet. Over veel punten in het </w:t>
      </w:r>
      <w:r>
        <w:rPr>
          <w:szCs w:val="18"/>
          <w:lang w:val="nl-NL"/>
        </w:rPr>
        <w:lastRenderedPageBreak/>
        <w:t>onderhandelingsdocument heeft de Raad dan ook nog geen consensus bereikt. De komende periode zal de Raad over dit document verder onderhandelen, in een poging het aantal openstaande punten te verminderen. Daarnaast is in deze fase nog niet onderhandeld over de totaalomvang van het MFK, de hoogte van de uitgavenplafonds van de begrotingscategorieën of de allocatiesleutel voor de fondsen onder gedeeld beheer, zoals de structuurfondsen. Deze cijfermatige el</w:t>
      </w:r>
      <w:r w:rsidR="00FB7663">
        <w:rPr>
          <w:szCs w:val="18"/>
          <w:lang w:val="nl-NL"/>
        </w:rPr>
        <w:t>ementen zullen onder het Finse V</w:t>
      </w:r>
      <w:r>
        <w:rPr>
          <w:szCs w:val="18"/>
          <w:lang w:val="nl-NL"/>
        </w:rPr>
        <w:t>oorzitterschap worden besproken. Het onderhandelingsdocument</w:t>
      </w:r>
      <w:r>
        <w:rPr>
          <w:i/>
          <w:szCs w:val="18"/>
          <w:lang w:val="nl-NL"/>
        </w:rPr>
        <w:t xml:space="preserve"> </w:t>
      </w:r>
      <w:r>
        <w:rPr>
          <w:szCs w:val="18"/>
          <w:lang w:val="nl-NL"/>
        </w:rPr>
        <w:t xml:space="preserve">is een dynamische tekst, die steeds de uitkomsten van de onderhandelingen moet weergeven. </w:t>
      </w:r>
    </w:p>
    <w:p w:rsidR="00C16346" w:rsidP="00C16346" w:rsidRDefault="00FB7663" w14:paraId="6DC45918" w14:textId="2B09AB18">
      <w:pPr>
        <w:rPr>
          <w:szCs w:val="18"/>
          <w:lang w:val="nl-NL"/>
        </w:rPr>
      </w:pPr>
      <w:r>
        <w:rPr>
          <w:szCs w:val="18"/>
          <w:lang w:val="nl-NL"/>
        </w:rPr>
        <w:t>Het V</w:t>
      </w:r>
      <w:r w:rsidR="00C16346">
        <w:rPr>
          <w:szCs w:val="18"/>
          <w:lang w:val="nl-NL"/>
        </w:rPr>
        <w:t xml:space="preserve">oorzitterschap gaf een korte toelichting op de nieuwe tekst en meende dat in zijn voorstel een goede balans gevonden was, gegeven de uiteenlopende prioriteiten binnen de Raad. Het voorzitterschap benadrukte dat voor dit document geldt dat </w:t>
      </w:r>
      <w:proofErr w:type="spellStart"/>
      <w:r w:rsidRPr="008359A8" w:rsidR="00C16346">
        <w:rPr>
          <w:i/>
          <w:szCs w:val="18"/>
          <w:lang w:val="nl-NL"/>
        </w:rPr>
        <w:t>nothing</w:t>
      </w:r>
      <w:proofErr w:type="spellEnd"/>
      <w:r w:rsidRPr="008359A8" w:rsidR="00C16346">
        <w:rPr>
          <w:i/>
          <w:szCs w:val="18"/>
          <w:lang w:val="nl-NL"/>
        </w:rPr>
        <w:t xml:space="preserve"> is </w:t>
      </w:r>
      <w:proofErr w:type="spellStart"/>
      <w:r w:rsidRPr="008359A8" w:rsidR="00C16346">
        <w:rPr>
          <w:i/>
          <w:szCs w:val="18"/>
          <w:lang w:val="nl-NL"/>
        </w:rPr>
        <w:t>agreed</w:t>
      </w:r>
      <w:proofErr w:type="spellEnd"/>
      <w:r w:rsidRPr="008359A8" w:rsidR="00C16346">
        <w:rPr>
          <w:i/>
          <w:szCs w:val="18"/>
          <w:lang w:val="nl-NL"/>
        </w:rPr>
        <w:t xml:space="preserve"> </w:t>
      </w:r>
      <w:proofErr w:type="spellStart"/>
      <w:r w:rsidRPr="008359A8" w:rsidR="00C16346">
        <w:rPr>
          <w:i/>
          <w:szCs w:val="18"/>
          <w:lang w:val="nl-NL"/>
        </w:rPr>
        <w:t>until</w:t>
      </w:r>
      <w:proofErr w:type="spellEnd"/>
      <w:r w:rsidRPr="008359A8" w:rsidR="00C16346">
        <w:rPr>
          <w:i/>
          <w:szCs w:val="18"/>
          <w:lang w:val="nl-NL"/>
        </w:rPr>
        <w:t xml:space="preserve"> </w:t>
      </w:r>
      <w:proofErr w:type="spellStart"/>
      <w:r w:rsidRPr="008359A8" w:rsidR="00C16346">
        <w:rPr>
          <w:i/>
          <w:szCs w:val="18"/>
          <w:lang w:val="nl-NL"/>
        </w:rPr>
        <w:t>everything</w:t>
      </w:r>
      <w:proofErr w:type="spellEnd"/>
      <w:r w:rsidRPr="008359A8" w:rsidR="00C16346">
        <w:rPr>
          <w:i/>
          <w:szCs w:val="18"/>
          <w:lang w:val="nl-NL"/>
        </w:rPr>
        <w:t xml:space="preserve"> is </w:t>
      </w:r>
      <w:proofErr w:type="spellStart"/>
      <w:r w:rsidRPr="008359A8" w:rsidR="00C16346">
        <w:rPr>
          <w:i/>
          <w:szCs w:val="18"/>
          <w:lang w:val="nl-NL"/>
        </w:rPr>
        <w:t>agreed</w:t>
      </w:r>
      <w:proofErr w:type="spellEnd"/>
      <w:r w:rsidR="00C16346">
        <w:rPr>
          <w:szCs w:val="18"/>
          <w:lang w:val="nl-NL"/>
        </w:rPr>
        <w:t xml:space="preserve">. Namens de Europese Commissie drong commissaris </w:t>
      </w:r>
      <w:proofErr w:type="spellStart"/>
      <w:r w:rsidR="00C16346">
        <w:rPr>
          <w:szCs w:val="18"/>
          <w:lang w:val="nl-NL"/>
        </w:rPr>
        <w:t>Oettinger</w:t>
      </w:r>
      <w:proofErr w:type="spellEnd"/>
      <w:r w:rsidR="00C16346">
        <w:rPr>
          <w:szCs w:val="18"/>
          <w:lang w:val="nl-NL"/>
        </w:rPr>
        <w:t xml:space="preserve"> aan op een versnelling in het onderhandelingsproces om nog dit jaar tot resultaat te komen. Hij stelde tevens dat duidelijke keuzes, alsook concessies, nodig zijn om het MFK op de gewenste prioriteiten te kunnen richten.</w:t>
      </w:r>
    </w:p>
    <w:p w:rsidR="00C16346" w:rsidP="00C16346" w:rsidRDefault="00C16346" w14:paraId="209AED40" w14:textId="5071CB6B">
      <w:pPr>
        <w:rPr>
          <w:szCs w:val="18"/>
          <w:lang w:val="nl-NL"/>
        </w:rPr>
      </w:pPr>
      <w:r w:rsidRPr="00315F3F">
        <w:rPr>
          <w:szCs w:val="18"/>
          <w:lang w:val="nl-NL"/>
        </w:rPr>
        <w:t>In de discussie</w:t>
      </w:r>
      <w:r w:rsidRPr="00753D9D">
        <w:rPr>
          <w:szCs w:val="18"/>
          <w:lang w:val="nl-NL"/>
        </w:rPr>
        <w:t xml:space="preserve"> bleek dat vrijwel alle lidstaten op elementen ontevreden zijn met de Roemeense</w:t>
      </w:r>
      <w:r>
        <w:rPr>
          <w:szCs w:val="18"/>
          <w:lang w:val="nl-NL"/>
        </w:rPr>
        <w:t xml:space="preserve"> tekstvoorst</w:t>
      </w:r>
      <w:r w:rsidR="000D218D">
        <w:rPr>
          <w:szCs w:val="18"/>
          <w:lang w:val="nl-NL"/>
        </w:rPr>
        <w:t>ellen. Daarop concludeerde het V</w:t>
      </w:r>
      <w:r>
        <w:rPr>
          <w:szCs w:val="18"/>
          <w:lang w:val="nl-NL"/>
        </w:rPr>
        <w:t>oorzitterschap dat dit bewijs was van een gebalanceerd voorstel. Samen met diverse andere lidstaten stelde Nederland echter dat de voorliggende tekst niet in evenwicht is, geen goede weergave geeft van de standpunten en de besproken onderwerpen</w:t>
      </w:r>
      <w:r w:rsidR="000D218D">
        <w:rPr>
          <w:szCs w:val="18"/>
          <w:lang w:val="nl-NL"/>
        </w:rPr>
        <w:t>,</w:t>
      </w:r>
      <w:r>
        <w:rPr>
          <w:szCs w:val="18"/>
          <w:lang w:val="nl-NL"/>
        </w:rPr>
        <w:t xml:space="preserve"> en daarom geen uitgangspunt kan zijn voor de komende onderhandelingen. Als concrete voorbeelden van waar het onderhandelingsdocument nadere politieke bespreking behoeft, noemde Nederland het excellentiecriterium dat leidend moet zijn op het gebied van onderzoek, innovatie en ontwikkeling (punt 22), geen verdere convergentie van hectaresteun onder de eerste pijler van het GLB (punt 75), flexibiliteit en thematische focus van structuurfondsen (o.a. 9, 61, 63), horizontale begrotingsflexibiliteit (115-118), allocatiecriteria voor structuurfondsen (o.a. 38) en de inkomstenkant van de begroting (deel II).</w:t>
      </w:r>
    </w:p>
    <w:p w:rsidR="00C16346" w:rsidP="00C16346" w:rsidRDefault="00C16346" w14:paraId="728C69B8" w14:textId="1C3A4CCF">
      <w:pPr>
        <w:rPr>
          <w:szCs w:val="18"/>
          <w:lang w:val="nl-NL"/>
        </w:rPr>
      </w:pPr>
      <w:r>
        <w:rPr>
          <w:szCs w:val="18"/>
          <w:lang w:val="nl-NL"/>
        </w:rPr>
        <w:t>Een grote groep andere lidstaten plaatste eveneens inhoudelijke kanttekeningen, maar kon niettemin het nieuwe onderhandelingsdocument verwelkomen als basis voor vervo</w:t>
      </w:r>
      <w:r w:rsidR="000D218D">
        <w:rPr>
          <w:szCs w:val="18"/>
          <w:lang w:val="nl-NL"/>
        </w:rPr>
        <w:t>lgbesprekingen onder het Finse V</w:t>
      </w:r>
      <w:r>
        <w:rPr>
          <w:szCs w:val="18"/>
          <w:lang w:val="nl-NL"/>
        </w:rPr>
        <w:t xml:space="preserve">oorzitterschap. </w:t>
      </w:r>
    </w:p>
    <w:p w:rsidR="00FF3354" w:rsidP="0027727D" w:rsidRDefault="000D218D" w14:paraId="7A4D58C4" w14:textId="48939679">
      <w:pPr>
        <w:rPr>
          <w:szCs w:val="18"/>
          <w:lang w:val="nl-NL"/>
        </w:rPr>
      </w:pPr>
      <w:r>
        <w:rPr>
          <w:szCs w:val="18"/>
          <w:lang w:val="nl-NL"/>
        </w:rPr>
        <w:t>Het V</w:t>
      </w:r>
      <w:r w:rsidR="00C16346">
        <w:rPr>
          <w:szCs w:val="18"/>
          <w:lang w:val="nl-NL"/>
        </w:rPr>
        <w:t xml:space="preserve">oorzitterschap nam nota van alle opmerkingen, sprak de bereidheid uit om de dialoog hierover voort te zetten </w:t>
      </w:r>
      <w:r w:rsidRPr="00464D45" w:rsidR="00C16346">
        <w:rPr>
          <w:bCs/>
          <w:szCs w:val="18"/>
          <w:lang w:val="nl-NL"/>
        </w:rPr>
        <w:t>en gaf aan deze tekst als startpunt te zien voor de volgende onderhandelingsfase</w:t>
      </w:r>
      <w:r>
        <w:rPr>
          <w:szCs w:val="18"/>
          <w:lang w:val="nl-NL"/>
        </w:rPr>
        <w:t>. Het inkomende Finse V</w:t>
      </w:r>
      <w:r w:rsidR="00C16346">
        <w:rPr>
          <w:szCs w:val="18"/>
          <w:lang w:val="nl-NL"/>
        </w:rPr>
        <w:t>oorzitterschap sprak de ambitie uit om nog dit jaar een akkoord binnen de Raad te bereiken.</w:t>
      </w:r>
    </w:p>
    <w:p w:rsidRPr="00FF3354" w:rsidR="0027727D" w:rsidP="0027727D" w:rsidRDefault="00B103D1" w14:paraId="04535B02" w14:textId="6E5DB49E">
      <w:pPr>
        <w:rPr>
          <w:b/>
          <w:szCs w:val="18"/>
          <w:lang w:val="nl-NL"/>
        </w:rPr>
      </w:pPr>
      <w:r>
        <w:rPr>
          <w:b/>
          <w:szCs w:val="18"/>
          <w:lang w:val="nl-NL"/>
        </w:rPr>
        <w:t>Uitbreiding</w:t>
      </w:r>
      <w:r w:rsidR="00FF3354">
        <w:rPr>
          <w:b/>
          <w:szCs w:val="18"/>
          <w:lang w:val="nl-NL"/>
        </w:rPr>
        <w:t xml:space="preserve"> </w:t>
      </w:r>
    </w:p>
    <w:p w:rsidR="00611D02" w:rsidP="0027727D" w:rsidRDefault="00154DF3" w14:paraId="398879DC" w14:textId="08E440FC">
      <w:pPr>
        <w:rPr>
          <w:szCs w:val="18"/>
          <w:lang w:val="nl-NL"/>
        </w:rPr>
      </w:pPr>
      <w:r w:rsidRPr="00154DF3">
        <w:rPr>
          <w:szCs w:val="18"/>
          <w:lang w:val="nl-NL"/>
        </w:rPr>
        <w:t xml:space="preserve">De Raad besprak het jaarlijkse uitbreidingspakket van de Commissie met </w:t>
      </w:r>
      <w:r w:rsidRPr="00683CC6" w:rsidR="00683CC6">
        <w:rPr>
          <w:szCs w:val="18"/>
          <w:lang w:val="nl-NL"/>
        </w:rPr>
        <w:t xml:space="preserve">voortgangsrapportages van Turkije, Montenegro, Servië, Noord-Macedonië, Albanië en Kosovo en het </w:t>
      </w:r>
      <w:r w:rsidRPr="00683CC6" w:rsidR="00683CC6">
        <w:rPr>
          <w:i/>
          <w:szCs w:val="18"/>
          <w:lang w:val="nl-NL"/>
        </w:rPr>
        <w:t>avis</w:t>
      </w:r>
      <w:r w:rsidRPr="00683CC6" w:rsidR="00683CC6">
        <w:rPr>
          <w:szCs w:val="18"/>
          <w:lang w:val="nl-NL"/>
        </w:rPr>
        <w:t xml:space="preserve"> over de lidmaatschapsaanvraag van Bosnië-Herzegovina</w:t>
      </w:r>
      <w:r w:rsidRPr="00154DF3">
        <w:rPr>
          <w:szCs w:val="18"/>
          <w:lang w:val="nl-NL"/>
        </w:rPr>
        <w:t xml:space="preserve"> (zie kabinetsappreciatie</w:t>
      </w:r>
      <w:r w:rsidR="00797FE4">
        <w:rPr>
          <w:szCs w:val="18"/>
          <w:lang w:val="nl-NL"/>
        </w:rPr>
        <w:t xml:space="preserve"> </w:t>
      </w:r>
      <w:r w:rsidR="009156DE">
        <w:rPr>
          <w:szCs w:val="18"/>
          <w:lang w:val="nl-NL"/>
        </w:rPr>
        <w:t xml:space="preserve">van 5 juni 2019 </w:t>
      </w:r>
      <w:r>
        <w:rPr>
          <w:szCs w:val="18"/>
          <w:lang w:val="nl-NL"/>
        </w:rPr>
        <w:t xml:space="preserve">en </w:t>
      </w:r>
      <w:r w:rsidR="00797FE4">
        <w:rPr>
          <w:szCs w:val="18"/>
          <w:lang w:val="nl-NL"/>
        </w:rPr>
        <w:t xml:space="preserve">de aanvullende </w:t>
      </w:r>
      <w:r>
        <w:rPr>
          <w:szCs w:val="18"/>
          <w:lang w:val="nl-NL"/>
        </w:rPr>
        <w:t>brief van</w:t>
      </w:r>
      <w:r w:rsidR="00797FE4">
        <w:rPr>
          <w:szCs w:val="18"/>
          <w:lang w:val="nl-NL"/>
        </w:rPr>
        <w:t xml:space="preserve"> 6 juni 2019</w:t>
      </w:r>
      <w:r>
        <w:rPr>
          <w:szCs w:val="18"/>
          <w:lang w:val="nl-NL"/>
        </w:rPr>
        <w:t xml:space="preserve">). </w:t>
      </w:r>
      <w:r w:rsidRPr="00611D02" w:rsidR="00611D02">
        <w:rPr>
          <w:szCs w:val="18"/>
          <w:lang w:val="nl-NL"/>
        </w:rPr>
        <w:t xml:space="preserve">De discussie van de Raad richtte zich </w:t>
      </w:r>
      <w:r>
        <w:rPr>
          <w:szCs w:val="18"/>
          <w:lang w:val="nl-NL"/>
        </w:rPr>
        <w:t>met name</w:t>
      </w:r>
      <w:r w:rsidRPr="00611D02" w:rsidR="00611D02">
        <w:rPr>
          <w:szCs w:val="18"/>
          <w:lang w:val="nl-NL"/>
        </w:rPr>
        <w:t xml:space="preserve"> op de aanbeveling</w:t>
      </w:r>
      <w:r>
        <w:rPr>
          <w:szCs w:val="18"/>
          <w:lang w:val="nl-NL"/>
        </w:rPr>
        <w:t>en</w:t>
      </w:r>
      <w:r w:rsidRPr="00611D02" w:rsidR="00611D02">
        <w:rPr>
          <w:szCs w:val="18"/>
          <w:lang w:val="nl-NL"/>
        </w:rPr>
        <w:t xml:space="preserve"> van de Commissie om de toetredingsonderhandelingen met Noord-Macedonië en Albanië te openen</w:t>
      </w:r>
      <w:r>
        <w:rPr>
          <w:szCs w:val="18"/>
          <w:lang w:val="nl-NL"/>
        </w:rPr>
        <w:t>,</w:t>
      </w:r>
      <w:r w:rsidRPr="00611D02" w:rsidR="00611D02">
        <w:rPr>
          <w:szCs w:val="18"/>
          <w:lang w:val="nl-NL"/>
        </w:rPr>
        <w:t xml:space="preserve"> en </w:t>
      </w:r>
      <w:r w:rsidR="00611D02">
        <w:rPr>
          <w:szCs w:val="18"/>
          <w:lang w:val="nl-NL"/>
        </w:rPr>
        <w:t>op Turkije.</w:t>
      </w:r>
    </w:p>
    <w:p w:rsidR="00891C30" w:rsidP="0027727D" w:rsidRDefault="00611D02" w14:paraId="61B38274" w14:textId="197C2F0F">
      <w:pPr>
        <w:rPr>
          <w:szCs w:val="18"/>
          <w:lang w:val="nl-NL"/>
        </w:rPr>
      </w:pPr>
      <w:r>
        <w:rPr>
          <w:szCs w:val="18"/>
          <w:lang w:val="nl-NL"/>
        </w:rPr>
        <w:t xml:space="preserve">Veel lidstaten </w:t>
      </w:r>
      <w:r w:rsidR="00891C30">
        <w:rPr>
          <w:szCs w:val="18"/>
          <w:lang w:val="nl-NL"/>
        </w:rPr>
        <w:t xml:space="preserve">stelden vaart te </w:t>
      </w:r>
      <w:r>
        <w:rPr>
          <w:szCs w:val="18"/>
          <w:lang w:val="nl-NL"/>
        </w:rPr>
        <w:t>willen</w:t>
      </w:r>
      <w:r w:rsidRPr="00611D02">
        <w:rPr>
          <w:szCs w:val="18"/>
          <w:lang w:val="nl-NL"/>
        </w:rPr>
        <w:t xml:space="preserve"> maken met het uitbreidingsproces zodat de EU haar waarden en normen kan projecteren op de </w:t>
      </w:r>
      <w:r w:rsidR="00692636">
        <w:rPr>
          <w:szCs w:val="18"/>
          <w:lang w:val="nl-NL"/>
        </w:rPr>
        <w:t>Westelijke Balkan</w:t>
      </w:r>
      <w:r w:rsidRPr="00611D02">
        <w:rPr>
          <w:szCs w:val="18"/>
          <w:lang w:val="nl-NL"/>
        </w:rPr>
        <w:t xml:space="preserve">landen. </w:t>
      </w:r>
      <w:r>
        <w:rPr>
          <w:szCs w:val="18"/>
          <w:lang w:val="nl-NL"/>
        </w:rPr>
        <w:t>Deze lidstaten</w:t>
      </w:r>
      <w:r w:rsidRPr="00611D02">
        <w:rPr>
          <w:szCs w:val="18"/>
          <w:lang w:val="nl-NL"/>
        </w:rPr>
        <w:t xml:space="preserve"> benadruk</w:t>
      </w:r>
      <w:r w:rsidR="00154DF3">
        <w:rPr>
          <w:szCs w:val="18"/>
          <w:lang w:val="nl-NL"/>
        </w:rPr>
        <w:t>t</w:t>
      </w:r>
      <w:r w:rsidRPr="00611D02">
        <w:rPr>
          <w:szCs w:val="18"/>
          <w:lang w:val="nl-NL"/>
        </w:rPr>
        <w:t xml:space="preserve">en </w:t>
      </w:r>
      <w:r w:rsidR="00692636">
        <w:rPr>
          <w:szCs w:val="18"/>
          <w:lang w:val="nl-NL"/>
        </w:rPr>
        <w:t xml:space="preserve">de transformerende kracht van het uitbreidingsproces. </w:t>
      </w:r>
      <w:r w:rsidRPr="00611D02">
        <w:rPr>
          <w:szCs w:val="18"/>
          <w:lang w:val="nl-NL"/>
        </w:rPr>
        <w:t>D</w:t>
      </w:r>
      <w:r>
        <w:rPr>
          <w:szCs w:val="18"/>
          <w:lang w:val="nl-NL"/>
        </w:rPr>
        <w:t>e</w:t>
      </w:r>
      <w:r w:rsidRPr="00611D02">
        <w:rPr>
          <w:szCs w:val="18"/>
          <w:lang w:val="nl-NL"/>
        </w:rPr>
        <w:t xml:space="preserve"> EU moet haar beloftes nakomen; dat doen </w:t>
      </w:r>
      <w:r>
        <w:rPr>
          <w:szCs w:val="18"/>
          <w:lang w:val="nl-NL"/>
        </w:rPr>
        <w:t>Noord-Macedonië en Albanië immers ook</w:t>
      </w:r>
      <w:r w:rsidR="00154DF3">
        <w:rPr>
          <w:szCs w:val="18"/>
          <w:lang w:val="nl-NL"/>
        </w:rPr>
        <w:t>, aldus deze lidstaten</w:t>
      </w:r>
      <w:r>
        <w:rPr>
          <w:szCs w:val="18"/>
          <w:lang w:val="nl-NL"/>
        </w:rPr>
        <w:t>. De</w:t>
      </w:r>
      <w:r w:rsidR="00692636">
        <w:rPr>
          <w:szCs w:val="18"/>
          <w:lang w:val="nl-NL"/>
        </w:rPr>
        <w:t>ze</w:t>
      </w:r>
      <w:r>
        <w:rPr>
          <w:szCs w:val="18"/>
          <w:lang w:val="nl-NL"/>
        </w:rPr>
        <w:t xml:space="preserve"> groep lidstaten </w:t>
      </w:r>
      <w:r w:rsidR="00154DF3">
        <w:rPr>
          <w:szCs w:val="18"/>
          <w:lang w:val="nl-NL"/>
        </w:rPr>
        <w:t>is het daarom eens met de aanbevelingen van de Commissie ten aanzien van Noord-</w:t>
      </w:r>
      <w:r w:rsidR="0097618E">
        <w:rPr>
          <w:szCs w:val="18"/>
          <w:lang w:val="nl-NL"/>
        </w:rPr>
        <w:t>Macedonië</w:t>
      </w:r>
      <w:r w:rsidR="00154DF3">
        <w:rPr>
          <w:szCs w:val="18"/>
          <w:lang w:val="nl-NL"/>
        </w:rPr>
        <w:t xml:space="preserve"> en </w:t>
      </w:r>
      <w:r w:rsidR="0097618E">
        <w:rPr>
          <w:szCs w:val="18"/>
          <w:lang w:val="nl-NL"/>
        </w:rPr>
        <w:t>Albanië</w:t>
      </w:r>
      <w:r w:rsidR="00154DF3">
        <w:rPr>
          <w:szCs w:val="18"/>
          <w:lang w:val="nl-NL"/>
        </w:rPr>
        <w:t xml:space="preserve"> en wenst de toetredingsonderhandelingen met deze beide landen zo snel mogelijk te openen. Deze lidstaten onderstreepten</w:t>
      </w:r>
      <w:r>
        <w:rPr>
          <w:szCs w:val="18"/>
          <w:lang w:val="nl-NL"/>
        </w:rPr>
        <w:t xml:space="preserve"> dat het </w:t>
      </w:r>
      <w:r w:rsidRPr="00611D02">
        <w:rPr>
          <w:szCs w:val="18"/>
          <w:lang w:val="nl-NL"/>
        </w:rPr>
        <w:t>slechts gaat om de start van een lang proces – en niet om daadwerkelijke toetreding.</w:t>
      </w:r>
      <w:r>
        <w:rPr>
          <w:szCs w:val="18"/>
          <w:lang w:val="nl-NL"/>
        </w:rPr>
        <w:t xml:space="preserve"> </w:t>
      </w:r>
    </w:p>
    <w:p w:rsidRPr="00611D02" w:rsidR="00FF3354" w:rsidP="0027727D" w:rsidRDefault="00EE0C4E" w14:paraId="0CD6FC53" w14:textId="65E345C8">
      <w:pPr>
        <w:rPr>
          <w:szCs w:val="18"/>
          <w:lang w:val="nl-NL"/>
        </w:rPr>
      </w:pPr>
      <w:r>
        <w:rPr>
          <w:szCs w:val="18"/>
          <w:lang w:val="nl-NL"/>
        </w:rPr>
        <w:t xml:space="preserve">Daartegenover </w:t>
      </w:r>
      <w:r w:rsidR="00891C30">
        <w:rPr>
          <w:szCs w:val="18"/>
          <w:lang w:val="nl-NL"/>
        </w:rPr>
        <w:t>benadrukte</w:t>
      </w:r>
      <w:r w:rsidR="00692636">
        <w:rPr>
          <w:szCs w:val="18"/>
          <w:lang w:val="nl-NL"/>
        </w:rPr>
        <w:t xml:space="preserve"> Nederland</w:t>
      </w:r>
      <w:r>
        <w:rPr>
          <w:szCs w:val="18"/>
          <w:lang w:val="nl-NL"/>
        </w:rPr>
        <w:t>, met enkele andere Lidstaten,</w:t>
      </w:r>
      <w:r w:rsidR="00692636">
        <w:rPr>
          <w:szCs w:val="18"/>
          <w:lang w:val="nl-NL"/>
        </w:rPr>
        <w:t xml:space="preserve"> gecommitteerd te blijven aan het EU-uitbreidingsproces</w:t>
      </w:r>
      <w:r w:rsidR="00891C30">
        <w:rPr>
          <w:szCs w:val="18"/>
          <w:lang w:val="nl-NL"/>
        </w:rPr>
        <w:t xml:space="preserve"> voor de landen van de Westelijke-Balkan</w:t>
      </w:r>
      <w:r w:rsidR="00692636">
        <w:rPr>
          <w:szCs w:val="18"/>
          <w:lang w:val="nl-NL"/>
        </w:rPr>
        <w:t xml:space="preserve">, mits aan alle voorwaarden is voldaan. </w:t>
      </w:r>
      <w:r w:rsidR="00611D02">
        <w:rPr>
          <w:szCs w:val="18"/>
          <w:lang w:val="nl-NL"/>
        </w:rPr>
        <w:t>In lijn met de motie-Omtzigt [</w:t>
      </w:r>
      <w:r w:rsidR="0067598A">
        <w:rPr>
          <w:szCs w:val="18"/>
          <w:lang w:val="nl-NL"/>
        </w:rPr>
        <w:t>Kamerstuk 21501-02 nr. 2019</w:t>
      </w:r>
      <w:r w:rsidR="00611D02">
        <w:rPr>
          <w:szCs w:val="18"/>
          <w:lang w:val="nl-NL"/>
        </w:rPr>
        <w:t xml:space="preserve">] </w:t>
      </w:r>
      <w:r w:rsidR="00891C30">
        <w:rPr>
          <w:szCs w:val="18"/>
          <w:lang w:val="nl-NL"/>
        </w:rPr>
        <w:t>verwelkomde</w:t>
      </w:r>
      <w:r w:rsidR="00611D02">
        <w:rPr>
          <w:szCs w:val="18"/>
          <w:lang w:val="nl-NL"/>
        </w:rPr>
        <w:t xml:space="preserve"> Nederland </w:t>
      </w:r>
      <w:r w:rsidR="00891C30">
        <w:rPr>
          <w:szCs w:val="18"/>
          <w:lang w:val="nl-NL"/>
        </w:rPr>
        <w:t xml:space="preserve">weliswaar </w:t>
      </w:r>
      <w:r w:rsidR="00611D02">
        <w:rPr>
          <w:szCs w:val="18"/>
          <w:lang w:val="nl-NL"/>
        </w:rPr>
        <w:t xml:space="preserve">de door Albanië gezette stappen, maar </w:t>
      </w:r>
      <w:r w:rsidR="00891C30">
        <w:rPr>
          <w:szCs w:val="18"/>
          <w:lang w:val="nl-NL"/>
        </w:rPr>
        <w:t>onderstreepte dat</w:t>
      </w:r>
      <w:r w:rsidR="00611D02">
        <w:rPr>
          <w:szCs w:val="18"/>
          <w:lang w:val="nl-NL"/>
        </w:rPr>
        <w:t xml:space="preserve"> het </w:t>
      </w:r>
      <w:r w:rsidRPr="00611D02" w:rsidR="00611D02">
        <w:rPr>
          <w:szCs w:val="18"/>
          <w:lang w:val="nl-NL"/>
        </w:rPr>
        <w:t>openen van toetredingsonderhandelingen prematuur</w:t>
      </w:r>
      <w:r w:rsidR="00891C30">
        <w:rPr>
          <w:szCs w:val="18"/>
          <w:lang w:val="nl-NL"/>
        </w:rPr>
        <w:t xml:space="preserve"> zou zijn</w:t>
      </w:r>
      <w:r w:rsidR="00611D02">
        <w:rPr>
          <w:szCs w:val="18"/>
          <w:lang w:val="nl-NL"/>
        </w:rPr>
        <w:t>: Albanië</w:t>
      </w:r>
      <w:r w:rsidRPr="00611D02" w:rsidR="00611D02">
        <w:rPr>
          <w:szCs w:val="18"/>
          <w:lang w:val="nl-NL"/>
        </w:rPr>
        <w:t xml:space="preserve"> moet nog overtuigender resultaten boeken in de bestrijding van corruptie en georganiseerde misdaad. </w:t>
      </w:r>
      <w:r w:rsidR="00611D02">
        <w:rPr>
          <w:szCs w:val="18"/>
          <w:lang w:val="nl-NL"/>
        </w:rPr>
        <w:t xml:space="preserve">Nederland </w:t>
      </w:r>
      <w:r w:rsidR="00891C30">
        <w:rPr>
          <w:szCs w:val="18"/>
          <w:lang w:val="nl-NL"/>
        </w:rPr>
        <w:t>wees daarbij ook op de</w:t>
      </w:r>
      <w:r w:rsidRPr="00611D02" w:rsidR="00611D02">
        <w:rPr>
          <w:szCs w:val="18"/>
          <w:lang w:val="nl-NL"/>
        </w:rPr>
        <w:t xml:space="preserve"> problemen vanwege gewelddadige misdrijven gepleegd door Albanezen</w:t>
      </w:r>
      <w:r w:rsidR="00891C30">
        <w:rPr>
          <w:szCs w:val="18"/>
          <w:lang w:val="nl-NL"/>
        </w:rPr>
        <w:t xml:space="preserve"> in Nederland</w:t>
      </w:r>
      <w:r w:rsidRPr="00611D02" w:rsidR="00891C30">
        <w:rPr>
          <w:szCs w:val="18"/>
          <w:lang w:val="nl-NL"/>
        </w:rPr>
        <w:t>.</w:t>
      </w:r>
      <w:r w:rsidRPr="00611D02" w:rsidR="00611D02">
        <w:rPr>
          <w:szCs w:val="18"/>
          <w:lang w:val="nl-NL"/>
        </w:rPr>
        <w:t xml:space="preserve"> </w:t>
      </w:r>
      <w:r w:rsidR="00611D02">
        <w:rPr>
          <w:szCs w:val="18"/>
          <w:lang w:val="nl-NL"/>
        </w:rPr>
        <w:t xml:space="preserve">Ten aanzien van Noord-Macedonië </w:t>
      </w:r>
      <w:r w:rsidR="00891C30">
        <w:rPr>
          <w:szCs w:val="18"/>
          <w:lang w:val="nl-NL"/>
        </w:rPr>
        <w:t>noemde</w:t>
      </w:r>
      <w:r w:rsidR="00611D02">
        <w:rPr>
          <w:szCs w:val="18"/>
          <w:lang w:val="nl-NL"/>
        </w:rPr>
        <w:t xml:space="preserve"> Ned</w:t>
      </w:r>
      <w:r w:rsidR="000D218D">
        <w:rPr>
          <w:szCs w:val="18"/>
          <w:lang w:val="nl-NL"/>
        </w:rPr>
        <w:t xml:space="preserve">erland het </w:t>
      </w:r>
      <w:proofErr w:type="spellStart"/>
      <w:r w:rsidR="000D218D">
        <w:rPr>
          <w:szCs w:val="18"/>
          <w:lang w:val="nl-NL"/>
        </w:rPr>
        <w:t>Prespa</w:t>
      </w:r>
      <w:proofErr w:type="spellEnd"/>
      <w:r w:rsidR="000D218D">
        <w:rPr>
          <w:szCs w:val="18"/>
          <w:lang w:val="nl-NL"/>
        </w:rPr>
        <w:t>-</w:t>
      </w:r>
      <w:r w:rsidR="00611D02">
        <w:rPr>
          <w:szCs w:val="18"/>
          <w:lang w:val="nl-NL"/>
        </w:rPr>
        <w:t>akkoord over de naamkwestie een mijlpaal en de geboekte voortgang ten aanzien van de rechtsstaatshervormingen bemoedigend</w:t>
      </w:r>
      <w:r w:rsidR="00891C30">
        <w:rPr>
          <w:szCs w:val="18"/>
          <w:lang w:val="nl-NL"/>
        </w:rPr>
        <w:t xml:space="preserve">. </w:t>
      </w:r>
      <w:r w:rsidR="00891C30">
        <w:rPr>
          <w:szCs w:val="18"/>
          <w:lang w:val="nl-NL"/>
        </w:rPr>
        <w:lastRenderedPageBreak/>
        <w:t>Nederland stelde tevens dat Noord-Macedoni</w:t>
      </w:r>
      <w:r w:rsidR="0067598A">
        <w:rPr>
          <w:szCs w:val="18"/>
          <w:lang w:val="nl-NL"/>
        </w:rPr>
        <w:t>ë</w:t>
      </w:r>
      <w:r w:rsidR="00891C30">
        <w:rPr>
          <w:szCs w:val="18"/>
          <w:lang w:val="nl-NL"/>
        </w:rPr>
        <w:t xml:space="preserve"> nog enkele</w:t>
      </w:r>
      <w:r w:rsidRPr="00611D02" w:rsidR="00611D02">
        <w:rPr>
          <w:szCs w:val="18"/>
          <w:lang w:val="nl-NL"/>
        </w:rPr>
        <w:t xml:space="preserve"> stappen </w:t>
      </w:r>
      <w:r w:rsidR="00891C30">
        <w:rPr>
          <w:szCs w:val="18"/>
          <w:lang w:val="nl-NL"/>
        </w:rPr>
        <w:t xml:space="preserve">moet zetten, in het bijzonder </w:t>
      </w:r>
      <w:r w:rsidRPr="00797FE4" w:rsidR="00797FE4">
        <w:rPr>
          <w:szCs w:val="18"/>
          <w:lang w:val="nl-NL"/>
        </w:rPr>
        <w:t>aanname van de wetgeving omtrent de toekomstige status van de Speciale Aanklager</w:t>
      </w:r>
      <w:r w:rsidRPr="00611D02" w:rsidR="00891C30">
        <w:rPr>
          <w:szCs w:val="18"/>
          <w:lang w:val="nl-NL"/>
        </w:rPr>
        <w:t>.</w:t>
      </w:r>
      <w:r w:rsidR="00891C30">
        <w:rPr>
          <w:szCs w:val="18"/>
          <w:lang w:val="nl-NL"/>
        </w:rPr>
        <w:t xml:space="preserve"> </w:t>
      </w:r>
      <w:r w:rsidR="00402DEF">
        <w:rPr>
          <w:szCs w:val="18"/>
          <w:lang w:val="nl-NL"/>
        </w:rPr>
        <w:t xml:space="preserve">Na discussie verwelkomde de Raad de totstandkoming van het </w:t>
      </w:r>
      <w:proofErr w:type="spellStart"/>
      <w:r w:rsidR="00402DEF">
        <w:rPr>
          <w:szCs w:val="18"/>
          <w:lang w:val="nl-NL"/>
        </w:rPr>
        <w:t>Prespa</w:t>
      </w:r>
      <w:proofErr w:type="spellEnd"/>
      <w:r w:rsidR="00402DEF">
        <w:rPr>
          <w:szCs w:val="18"/>
          <w:lang w:val="nl-NL"/>
        </w:rPr>
        <w:t>-akkoord alsook van het verdrag tussen Noord-Macedoni</w:t>
      </w:r>
      <w:r w:rsidR="0067598A">
        <w:rPr>
          <w:szCs w:val="18"/>
          <w:lang w:val="nl-NL"/>
        </w:rPr>
        <w:t>ë</w:t>
      </w:r>
      <w:r w:rsidR="00402DEF">
        <w:rPr>
          <w:szCs w:val="18"/>
          <w:lang w:val="nl-NL"/>
        </w:rPr>
        <w:t xml:space="preserve"> en Bulgarije over goed nabuurschap.</w:t>
      </w:r>
      <w:r w:rsidR="00692636">
        <w:rPr>
          <w:szCs w:val="18"/>
          <w:lang w:val="nl-NL"/>
        </w:rPr>
        <w:t xml:space="preserve"> De Raad </w:t>
      </w:r>
      <w:r>
        <w:rPr>
          <w:szCs w:val="18"/>
          <w:lang w:val="nl-NL"/>
        </w:rPr>
        <w:t xml:space="preserve">concludeerde om </w:t>
      </w:r>
      <w:r w:rsidR="00891C30">
        <w:rPr>
          <w:szCs w:val="18"/>
          <w:lang w:val="nl-NL"/>
        </w:rPr>
        <w:t>uiterlijk</w:t>
      </w:r>
      <w:r w:rsidR="00692636">
        <w:rPr>
          <w:szCs w:val="18"/>
          <w:lang w:val="nl-NL"/>
        </w:rPr>
        <w:t xml:space="preserve"> in oktober </w:t>
      </w:r>
      <w:r w:rsidR="00891C30">
        <w:rPr>
          <w:szCs w:val="18"/>
          <w:lang w:val="nl-NL"/>
        </w:rPr>
        <w:t>duidelijke</w:t>
      </w:r>
      <w:r w:rsidR="00692636">
        <w:rPr>
          <w:szCs w:val="18"/>
          <w:lang w:val="nl-NL"/>
        </w:rPr>
        <w:t xml:space="preserve"> en </w:t>
      </w:r>
      <w:r w:rsidR="00891C30">
        <w:rPr>
          <w:szCs w:val="18"/>
          <w:lang w:val="nl-NL"/>
        </w:rPr>
        <w:t>inhoudelijke besluiten</w:t>
      </w:r>
      <w:r w:rsidR="00692636">
        <w:rPr>
          <w:szCs w:val="18"/>
          <w:lang w:val="nl-NL"/>
        </w:rPr>
        <w:t xml:space="preserve"> te nemen ten aanzien van </w:t>
      </w:r>
      <w:r w:rsidR="005120D2">
        <w:rPr>
          <w:szCs w:val="18"/>
          <w:lang w:val="nl-NL"/>
        </w:rPr>
        <w:t>de respectievelijke</w:t>
      </w:r>
      <w:r w:rsidR="00692636">
        <w:rPr>
          <w:szCs w:val="18"/>
          <w:lang w:val="nl-NL"/>
        </w:rPr>
        <w:t xml:space="preserve"> aanbevelingen van de Commissie.</w:t>
      </w:r>
      <w:r>
        <w:rPr>
          <w:szCs w:val="18"/>
          <w:lang w:val="nl-NL"/>
        </w:rPr>
        <w:t xml:space="preserve"> </w:t>
      </w:r>
    </w:p>
    <w:p w:rsidR="00325558" w:rsidP="0027727D" w:rsidRDefault="00692636" w14:paraId="65FD8601" w14:textId="6FE8A077">
      <w:pPr>
        <w:rPr>
          <w:b/>
          <w:szCs w:val="18"/>
          <w:lang w:val="nl-NL"/>
        </w:rPr>
      </w:pPr>
      <w:r>
        <w:rPr>
          <w:szCs w:val="18"/>
          <w:lang w:val="nl-NL"/>
        </w:rPr>
        <w:t xml:space="preserve">De zorgen van de Commissie ten aanzien van de situatie in Turkije </w:t>
      </w:r>
      <w:r w:rsidR="00EE0C4E">
        <w:rPr>
          <w:szCs w:val="18"/>
          <w:lang w:val="nl-NL"/>
        </w:rPr>
        <w:t>we</w:t>
      </w:r>
      <w:r>
        <w:rPr>
          <w:szCs w:val="18"/>
          <w:lang w:val="nl-NL"/>
        </w:rPr>
        <w:t xml:space="preserve">rden breed gedeeld in de Raad. Onder deze omstandigheden </w:t>
      </w:r>
      <w:r w:rsidR="00EE0C4E">
        <w:rPr>
          <w:szCs w:val="18"/>
          <w:lang w:val="nl-NL"/>
        </w:rPr>
        <w:t>ko</w:t>
      </w:r>
      <w:r>
        <w:rPr>
          <w:szCs w:val="18"/>
          <w:lang w:val="nl-NL"/>
        </w:rPr>
        <w:t xml:space="preserve">n geen sprake zijn van </w:t>
      </w:r>
      <w:r w:rsidRPr="00611D02" w:rsidR="00611D02">
        <w:rPr>
          <w:szCs w:val="18"/>
          <w:lang w:val="nl-NL"/>
        </w:rPr>
        <w:t xml:space="preserve">verdere voortgang in het </w:t>
      </w:r>
      <w:r>
        <w:rPr>
          <w:szCs w:val="18"/>
          <w:lang w:val="nl-NL"/>
        </w:rPr>
        <w:t xml:space="preserve">toetredingsproces </w:t>
      </w:r>
      <w:r w:rsidRPr="00611D02" w:rsidR="00611D02">
        <w:rPr>
          <w:szCs w:val="18"/>
          <w:lang w:val="nl-NL"/>
        </w:rPr>
        <w:t xml:space="preserve">met </w:t>
      </w:r>
      <w:r>
        <w:rPr>
          <w:szCs w:val="18"/>
          <w:lang w:val="nl-NL"/>
        </w:rPr>
        <w:t>Turkije</w:t>
      </w:r>
      <w:r w:rsidR="00EE0C4E">
        <w:rPr>
          <w:szCs w:val="18"/>
          <w:lang w:val="nl-NL"/>
        </w:rPr>
        <w:t>, zo onderstreepten vele lidstaten</w:t>
      </w:r>
      <w:r w:rsidRPr="00611D02" w:rsidR="00611D02">
        <w:rPr>
          <w:szCs w:val="18"/>
          <w:lang w:val="nl-NL"/>
        </w:rPr>
        <w:t>.</w:t>
      </w:r>
      <w:r w:rsidR="00EE0C4E">
        <w:rPr>
          <w:szCs w:val="18"/>
          <w:lang w:val="nl-NL"/>
        </w:rPr>
        <w:t xml:space="preserve"> De toetredingsonderhandelingen liggen daarom feitelijk stil.</w:t>
      </w:r>
      <w:r>
        <w:rPr>
          <w:szCs w:val="18"/>
          <w:lang w:val="nl-NL"/>
        </w:rPr>
        <w:t xml:space="preserve"> </w:t>
      </w:r>
      <w:r w:rsidR="00EE0C4E">
        <w:rPr>
          <w:szCs w:val="18"/>
          <w:lang w:val="nl-NL"/>
        </w:rPr>
        <w:t>Ook</w:t>
      </w:r>
      <w:r>
        <w:rPr>
          <w:szCs w:val="18"/>
          <w:lang w:val="nl-NL"/>
        </w:rPr>
        <w:t xml:space="preserve"> Nederland </w:t>
      </w:r>
      <w:r w:rsidR="00EE0C4E">
        <w:rPr>
          <w:szCs w:val="18"/>
          <w:lang w:val="nl-NL"/>
        </w:rPr>
        <w:t xml:space="preserve">stelde </w:t>
      </w:r>
      <w:r w:rsidRPr="00692636">
        <w:rPr>
          <w:szCs w:val="18"/>
          <w:lang w:val="nl-NL"/>
        </w:rPr>
        <w:t xml:space="preserve">de analyse dat </w:t>
      </w:r>
      <w:r>
        <w:rPr>
          <w:szCs w:val="18"/>
          <w:lang w:val="nl-NL"/>
        </w:rPr>
        <w:t xml:space="preserve">Turkije </w:t>
      </w:r>
      <w:r w:rsidRPr="00692636">
        <w:rPr>
          <w:szCs w:val="18"/>
          <w:lang w:val="nl-NL"/>
        </w:rPr>
        <w:t xml:space="preserve">zichzelf steeds verder verwijdert van de EU </w:t>
      </w:r>
      <w:r>
        <w:rPr>
          <w:szCs w:val="18"/>
          <w:lang w:val="nl-NL"/>
        </w:rPr>
        <w:t>te delen. In lijn met de motie-Omtzigt</w:t>
      </w:r>
      <w:r w:rsidR="0067598A">
        <w:rPr>
          <w:szCs w:val="18"/>
          <w:lang w:val="nl-NL"/>
        </w:rPr>
        <w:t>/Koopmans</w:t>
      </w:r>
      <w:r>
        <w:rPr>
          <w:szCs w:val="18"/>
          <w:lang w:val="nl-NL"/>
        </w:rPr>
        <w:t xml:space="preserve"> [</w:t>
      </w:r>
      <w:r w:rsidR="0067598A">
        <w:rPr>
          <w:szCs w:val="18"/>
          <w:lang w:val="nl-NL"/>
        </w:rPr>
        <w:t>Kamerstuk 32623 nr. 265</w:t>
      </w:r>
      <w:r>
        <w:rPr>
          <w:szCs w:val="18"/>
          <w:lang w:val="nl-NL"/>
        </w:rPr>
        <w:t>] en de mo</w:t>
      </w:r>
      <w:r w:rsidR="00EE0C4E">
        <w:rPr>
          <w:szCs w:val="18"/>
          <w:lang w:val="nl-NL"/>
        </w:rPr>
        <w:t>tie-</w:t>
      </w:r>
      <w:proofErr w:type="spellStart"/>
      <w:r w:rsidR="00EE0C4E">
        <w:rPr>
          <w:szCs w:val="18"/>
          <w:lang w:val="nl-NL"/>
        </w:rPr>
        <w:t>Karabulut</w:t>
      </w:r>
      <w:proofErr w:type="spellEnd"/>
      <w:r w:rsidR="00EE0C4E">
        <w:rPr>
          <w:szCs w:val="18"/>
          <w:lang w:val="nl-NL"/>
        </w:rPr>
        <w:t xml:space="preserve"> [</w:t>
      </w:r>
      <w:r w:rsidR="0067598A">
        <w:rPr>
          <w:szCs w:val="18"/>
          <w:lang w:val="nl-NL"/>
        </w:rPr>
        <w:t>Kamerstuk 32623 nr. 261</w:t>
      </w:r>
      <w:r w:rsidR="00EE0C4E">
        <w:rPr>
          <w:szCs w:val="18"/>
          <w:lang w:val="nl-NL"/>
        </w:rPr>
        <w:t xml:space="preserve">] bepleitte </w:t>
      </w:r>
      <w:r>
        <w:rPr>
          <w:szCs w:val="18"/>
          <w:lang w:val="nl-NL"/>
        </w:rPr>
        <w:t xml:space="preserve">Nederland de toetredingsonderhandelingen </w:t>
      </w:r>
      <w:r w:rsidR="00EE0C4E">
        <w:rPr>
          <w:szCs w:val="18"/>
          <w:lang w:val="nl-NL"/>
        </w:rPr>
        <w:t xml:space="preserve">dan ook </w:t>
      </w:r>
      <w:r w:rsidR="00325558">
        <w:rPr>
          <w:szCs w:val="18"/>
          <w:lang w:val="nl-NL"/>
        </w:rPr>
        <w:t xml:space="preserve">formeel </w:t>
      </w:r>
      <w:r>
        <w:rPr>
          <w:szCs w:val="18"/>
          <w:lang w:val="nl-NL"/>
        </w:rPr>
        <w:t xml:space="preserve">stop te zetten </w:t>
      </w:r>
      <w:r w:rsidRPr="00692636">
        <w:rPr>
          <w:szCs w:val="18"/>
          <w:lang w:val="nl-NL"/>
        </w:rPr>
        <w:t xml:space="preserve">en </w:t>
      </w:r>
      <w:r w:rsidR="005E3FA7">
        <w:rPr>
          <w:szCs w:val="18"/>
          <w:lang w:val="nl-NL"/>
        </w:rPr>
        <w:t>verzocht</w:t>
      </w:r>
      <w:r w:rsidR="00325558">
        <w:rPr>
          <w:szCs w:val="18"/>
          <w:lang w:val="nl-NL"/>
        </w:rPr>
        <w:t xml:space="preserve"> de Commissie om alternatieve vormen van samenwerking uit te werken</w:t>
      </w:r>
      <w:r w:rsidR="005E3FA7">
        <w:rPr>
          <w:szCs w:val="18"/>
          <w:lang w:val="nl-NL"/>
        </w:rPr>
        <w:t xml:space="preserve">. </w:t>
      </w:r>
      <w:r w:rsidR="00325558">
        <w:rPr>
          <w:szCs w:val="18"/>
          <w:lang w:val="nl-NL"/>
        </w:rPr>
        <w:t xml:space="preserve">Dit </w:t>
      </w:r>
      <w:r>
        <w:rPr>
          <w:szCs w:val="18"/>
          <w:lang w:val="nl-NL"/>
        </w:rPr>
        <w:t xml:space="preserve">pleidooi kreeg </w:t>
      </w:r>
      <w:r w:rsidR="00325558">
        <w:rPr>
          <w:szCs w:val="18"/>
          <w:lang w:val="nl-NL"/>
        </w:rPr>
        <w:t xml:space="preserve">evenwel </w:t>
      </w:r>
      <w:r>
        <w:rPr>
          <w:szCs w:val="18"/>
          <w:lang w:val="nl-NL"/>
        </w:rPr>
        <w:t xml:space="preserve">geen </w:t>
      </w:r>
      <w:r w:rsidR="00325558">
        <w:rPr>
          <w:szCs w:val="18"/>
          <w:lang w:val="nl-NL"/>
        </w:rPr>
        <w:t xml:space="preserve">bijval. De Raad sprak verder over </w:t>
      </w:r>
      <w:proofErr w:type="spellStart"/>
      <w:r w:rsidRPr="009156DE" w:rsidR="009156DE">
        <w:rPr>
          <w:szCs w:val="18"/>
          <w:lang w:val="nl-NL"/>
        </w:rPr>
        <w:t>Turk</w:t>
      </w:r>
      <w:r w:rsidR="009156DE">
        <w:rPr>
          <w:szCs w:val="18"/>
          <w:lang w:val="nl-NL"/>
        </w:rPr>
        <w:t>ije’s</w:t>
      </w:r>
      <w:proofErr w:type="spellEnd"/>
      <w:r w:rsidR="009156DE">
        <w:rPr>
          <w:szCs w:val="18"/>
          <w:lang w:val="nl-NL"/>
        </w:rPr>
        <w:t xml:space="preserve"> illegale booractiviteiten in de oostelijke </w:t>
      </w:r>
      <w:r w:rsidR="00325558">
        <w:rPr>
          <w:szCs w:val="18"/>
          <w:lang w:val="nl-NL"/>
        </w:rPr>
        <w:t xml:space="preserve">Middellandse Zee. Veel lidstaten spraken hun solidariteit met Cyprus uit. </w:t>
      </w:r>
      <w:r w:rsidR="005E3FA7">
        <w:rPr>
          <w:szCs w:val="18"/>
          <w:lang w:val="nl-NL"/>
        </w:rPr>
        <w:t>De Raad concludeerde</w:t>
      </w:r>
      <w:r w:rsidR="00325558">
        <w:rPr>
          <w:szCs w:val="18"/>
          <w:lang w:val="nl-NL"/>
        </w:rPr>
        <w:t xml:space="preserve"> de Commissie en de Europese Dienst voor Extern Optreden te verzoeken </w:t>
      </w:r>
      <w:r w:rsidRPr="00325558" w:rsidR="00325558">
        <w:rPr>
          <w:szCs w:val="18"/>
          <w:lang w:val="nl-NL"/>
        </w:rPr>
        <w:t xml:space="preserve">om zo spoedig mogelijk met voorstellen te komen </w:t>
      </w:r>
      <w:r w:rsidR="00325558">
        <w:rPr>
          <w:szCs w:val="18"/>
          <w:lang w:val="nl-NL"/>
        </w:rPr>
        <w:t xml:space="preserve">voor gepaste maatregelen tegen Turkije. Met dit verslag is aan </w:t>
      </w:r>
      <w:r w:rsidRPr="00325558" w:rsidR="00325558">
        <w:rPr>
          <w:szCs w:val="18"/>
          <w:lang w:val="nl-NL"/>
        </w:rPr>
        <w:t xml:space="preserve">het verzoek van het lid Omtzigt zoals dat is gedaan in het ordedebat van </w:t>
      </w:r>
      <w:r w:rsidR="00325558">
        <w:rPr>
          <w:szCs w:val="18"/>
          <w:lang w:val="nl-NL"/>
        </w:rPr>
        <w:t>11 juni 2019 [</w:t>
      </w:r>
      <w:r w:rsidR="00797FE4">
        <w:rPr>
          <w:szCs w:val="18"/>
          <w:lang w:val="nl-NL"/>
        </w:rPr>
        <w:t xml:space="preserve">zie brief van de voorzitter van de Tweede Kamer van 11 juni 2019 met kenmerk </w:t>
      </w:r>
      <w:r w:rsidRPr="00797FE4" w:rsidR="00797FE4">
        <w:rPr>
          <w:szCs w:val="18"/>
          <w:lang w:val="nl-NL"/>
        </w:rPr>
        <w:t>2019Z11402</w:t>
      </w:r>
      <w:r w:rsidR="00325558">
        <w:rPr>
          <w:szCs w:val="18"/>
          <w:lang w:val="nl-NL"/>
        </w:rPr>
        <w:t>] voldaan.</w:t>
      </w:r>
    </w:p>
    <w:p w:rsidR="0027727D" w:rsidP="0027727D" w:rsidRDefault="0027727D" w14:paraId="2E9AB027" w14:textId="1D798257">
      <w:pPr>
        <w:rPr>
          <w:b/>
          <w:szCs w:val="18"/>
          <w:lang w:val="nl-NL"/>
        </w:rPr>
      </w:pPr>
      <w:r w:rsidRPr="00FF3354">
        <w:rPr>
          <w:b/>
          <w:szCs w:val="18"/>
          <w:lang w:val="nl-NL"/>
        </w:rPr>
        <w:t>Europees Semester</w:t>
      </w:r>
      <w:r>
        <w:rPr>
          <w:b/>
          <w:szCs w:val="18"/>
          <w:lang w:val="nl-NL"/>
        </w:rPr>
        <w:t xml:space="preserve"> </w:t>
      </w:r>
    </w:p>
    <w:p w:rsidRPr="00DC6C4F" w:rsidR="009712ED" w:rsidP="009712ED" w:rsidRDefault="00DC6C4F" w14:paraId="1418FD8D" w14:textId="3024B0A8">
      <w:pPr>
        <w:rPr>
          <w:szCs w:val="18"/>
          <w:lang w:val="nl-NL"/>
        </w:rPr>
      </w:pPr>
      <w:r>
        <w:rPr>
          <w:szCs w:val="18"/>
          <w:lang w:val="nl-NL"/>
        </w:rPr>
        <w:t>O</w:t>
      </w:r>
      <w:r w:rsidRPr="00DC6C4F">
        <w:rPr>
          <w:szCs w:val="18"/>
          <w:lang w:val="nl-NL"/>
        </w:rPr>
        <w:t xml:space="preserve">p 5 juni jl. </w:t>
      </w:r>
      <w:r>
        <w:rPr>
          <w:szCs w:val="18"/>
          <w:lang w:val="nl-NL"/>
        </w:rPr>
        <w:t xml:space="preserve">heeft de Europese Commissie het </w:t>
      </w:r>
      <w:r w:rsidRPr="00DC6C4F">
        <w:rPr>
          <w:szCs w:val="18"/>
          <w:lang w:val="nl-NL"/>
        </w:rPr>
        <w:t xml:space="preserve">voorstel voor </w:t>
      </w:r>
      <w:proofErr w:type="spellStart"/>
      <w:r w:rsidRPr="00DC6C4F">
        <w:rPr>
          <w:szCs w:val="18"/>
          <w:lang w:val="nl-NL"/>
        </w:rPr>
        <w:t>landspecifieke</w:t>
      </w:r>
      <w:proofErr w:type="spellEnd"/>
      <w:r w:rsidRPr="00DC6C4F">
        <w:rPr>
          <w:szCs w:val="18"/>
          <w:lang w:val="nl-NL"/>
        </w:rPr>
        <w:t xml:space="preserve"> aanbevelingen in het kader van het Europees Semester gepresenteerd. Het Europees Semester is het jaarlijkse proces waarin EU-lidstaten hun economisch en budgettair beleid coördineren</w:t>
      </w:r>
      <w:r w:rsidR="009712ED">
        <w:rPr>
          <w:szCs w:val="18"/>
          <w:lang w:val="nl-NL"/>
        </w:rPr>
        <w:t xml:space="preserve">. </w:t>
      </w:r>
      <w:r w:rsidRPr="00DC6C4F" w:rsidR="009712ED">
        <w:rPr>
          <w:szCs w:val="18"/>
          <w:lang w:val="nl-NL"/>
        </w:rPr>
        <w:t xml:space="preserve">Uw Kamer heeft op 12 juni jl. een kabinetsappreciatie van de </w:t>
      </w:r>
      <w:proofErr w:type="spellStart"/>
      <w:r w:rsidRPr="00DC6C4F" w:rsidR="009712ED">
        <w:rPr>
          <w:szCs w:val="18"/>
          <w:lang w:val="nl-NL"/>
        </w:rPr>
        <w:t>landspecifieke</w:t>
      </w:r>
      <w:proofErr w:type="spellEnd"/>
      <w:r w:rsidRPr="00DC6C4F" w:rsidR="009712ED">
        <w:rPr>
          <w:szCs w:val="18"/>
          <w:lang w:val="nl-NL"/>
        </w:rPr>
        <w:t xml:space="preserve"> aanbevelinge</w:t>
      </w:r>
      <w:r w:rsidR="009712ED">
        <w:rPr>
          <w:szCs w:val="18"/>
          <w:lang w:val="nl-NL"/>
        </w:rPr>
        <w:t>n ontvange</w:t>
      </w:r>
      <w:r w:rsidRPr="00DC6C4F" w:rsidR="009712ED">
        <w:rPr>
          <w:szCs w:val="18"/>
          <w:lang w:val="nl-NL"/>
        </w:rPr>
        <w:t>n</w:t>
      </w:r>
      <w:r w:rsidR="009712ED">
        <w:rPr>
          <w:rStyle w:val="FootnoteReference"/>
          <w:i/>
          <w:iCs/>
          <w:szCs w:val="18"/>
          <w:lang w:val="nl-NL"/>
        </w:rPr>
        <w:footnoteReference w:id="3"/>
      </w:r>
      <w:r w:rsidR="009712ED">
        <w:rPr>
          <w:szCs w:val="18"/>
          <w:lang w:val="nl-NL"/>
        </w:rPr>
        <w:t>.</w:t>
      </w:r>
    </w:p>
    <w:p w:rsidR="009712ED" w:rsidP="00DC6C4F" w:rsidRDefault="009712ED" w14:paraId="33045ED5" w14:textId="3F16F740">
      <w:pPr>
        <w:rPr>
          <w:szCs w:val="18"/>
          <w:lang w:val="nl-NL"/>
        </w:rPr>
      </w:pPr>
      <w:r>
        <w:rPr>
          <w:szCs w:val="18"/>
          <w:lang w:val="nl-NL"/>
        </w:rPr>
        <w:t xml:space="preserve">Vanwege </w:t>
      </w:r>
      <w:r w:rsidRPr="00DC6C4F">
        <w:rPr>
          <w:szCs w:val="18"/>
          <w:lang w:val="nl-NL"/>
        </w:rPr>
        <w:t xml:space="preserve">de </w:t>
      </w:r>
      <w:r w:rsidRPr="000D218D" w:rsidR="000D218D">
        <w:rPr>
          <w:szCs w:val="18"/>
          <w:lang w:val="nl-NL"/>
        </w:rPr>
        <w:t xml:space="preserve">Europese Parlementsverkiezingen </w:t>
      </w:r>
      <w:r w:rsidRPr="00DC6C4F">
        <w:rPr>
          <w:szCs w:val="18"/>
          <w:lang w:val="nl-NL"/>
        </w:rPr>
        <w:t xml:space="preserve">is het </w:t>
      </w:r>
      <w:r>
        <w:rPr>
          <w:szCs w:val="18"/>
          <w:lang w:val="nl-NL"/>
        </w:rPr>
        <w:t>behandelings</w:t>
      </w:r>
      <w:r w:rsidRPr="00DC6C4F">
        <w:rPr>
          <w:szCs w:val="18"/>
          <w:lang w:val="nl-NL"/>
        </w:rPr>
        <w:t xml:space="preserve">proces </w:t>
      </w:r>
      <w:r>
        <w:rPr>
          <w:szCs w:val="18"/>
          <w:lang w:val="nl-NL"/>
        </w:rPr>
        <w:t xml:space="preserve">in de Raad dit jaar </w:t>
      </w:r>
      <w:r w:rsidRPr="00DC6C4F">
        <w:rPr>
          <w:szCs w:val="18"/>
          <w:lang w:val="nl-NL"/>
        </w:rPr>
        <w:t xml:space="preserve">opgesplitst in twee fasen. De eerste fase </w:t>
      </w:r>
      <w:r>
        <w:rPr>
          <w:szCs w:val="18"/>
          <w:lang w:val="nl-NL"/>
        </w:rPr>
        <w:t xml:space="preserve">bestaat uit een discussie van een </w:t>
      </w:r>
      <w:r w:rsidRPr="00DC6C4F">
        <w:rPr>
          <w:szCs w:val="18"/>
          <w:lang w:val="nl-NL"/>
        </w:rPr>
        <w:t>horizontal</w:t>
      </w:r>
      <w:r>
        <w:rPr>
          <w:szCs w:val="18"/>
          <w:lang w:val="nl-NL"/>
        </w:rPr>
        <w:t xml:space="preserve">e notitie over de </w:t>
      </w:r>
      <w:proofErr w:type="spellStart"/>
      <w:r>
        <w:rPr>
          <w:szCs w:val="18"/>
          <w:lang w:val="nl-NL"/>
        </w:rPr>
        <w:t>landspecifieke</w:t>
      </w:r>
      <w:proofErr w:type="spellEnd"/>
      <w:r>
        <w:rPr>
          <w:szCs w:val="18"/>
          <w:lang w:val="nl-NL"/>
        </w:rPr>
        <w:t xml:space="preserve"> aanbevelingen</w:t>
      </w:r>
      <w:r w:rsidRPr="00DC6C4F">
        <w:rPr>
          <w:szCs w:val="18"/>
          <w:lang w:val="nl-NL"/>
        </w:rPr>
        <w:t xml:space="preserve">. De tweede fase bestaat uit een discussie over de </w:t>
      </w:r>
      <w:proofErr w:type="spellStart"/>
      <w:r w:rsidRPr="00DC6C4F">
        <w:rPr>
          <w:szCs w:val="18"/>
          <w:lang w:val="nl-NL"/>
        </w:rPr>
        <w:t>landspecifieke</w:t>
      </w:r>
      <w:proofErr w:type="spellEnd"/>
      <w:r w:rsidRPr="00DC6C4F">
        <w:rPr>
          <w:szCs w:val="18"/>
          <w:lang w:val="nl-NL"/>
        </w:rPr>
        <w:t xml:space="preserve"> aanbevelingen zelf.</w:t>
      </w:r>
      <w:r>
        <w:rPr>
          <w:szCs w:val="18"/>
          <w:lang w:val="nl-NL"/>
        </w:rPr>
        <w:t xml:space="preserve"> </w:t>
      </w:r>
    </w:p>
    <w:p w:rsidRPr="00A57F66" w:rsidR="00A57F66" w:rsidP="0027727D" w:rsidRDefault="00DC6C4F" w14:paraId="4FD12C33" w14:textId="22372AB3">
      <w:pPr>
        <w:rPr>
          <w:szCs w:val="18"/>
          <w:lang w:val="nl-NL"/>
        </w:rPr>
      </w:pPr>
      <w:r>
        <w:rPr>
          <w:szCs w:val="18"/>
          <w:lang w:val="nl-NL"/>
        </w:rPr>
        <w:t xml:space="preserve">De Raad onderschreef het horizontale rapport </w:t>
      </w:r>
      <w:r w:rsidR="009712ED">
        <w:rPr>
          <w:szCs w:val="18"/>
          <w:lang w:val="nl-NL"/>
        </w:rPr>
        <w:t xml:space="preserve">dat is voorbereid door de EPSCO en </w:t>
      </w:r>
      <w:proofErr w:type="spellStart"/>
      <w:r w:rsidR="009712ED">
        <w:rPr>
          <w:szCs w:val="18"/>
          <w:lang w:val="nl-NL"/>
        </w:rPr>
        <w:t>Ecofin</w:t>
      </w:r>
      <w:proofErr w:type="spellEnd"/>
      <w:r w:rsidR="009712ED">
        <w:rPr>
          <w:szCs w:val="18"/>
          <w:lang w:val="nl-NL"/>
        </w:rPr>
        <w:t xml:space="preserve"> Raden </w:t>
      </w:r>
      <w:r>
        <w:rPr>
          <w:szCs w:val="18"/>
          <w:lang w:val="nl-NL"/>
        </w:rPr>
        <w:t xml:space="preserve">en geleidde deze door </w:t>
      </w:r>
      <w:r w:rsidR="00DA11AB">
        <w:rPr>
          <w:szCs w:val="18"/>
          <w:lang w:val="nl-NL"/>
        </w:rPr>
        <w:t xml:space="preserve">ten behoeve van de </w:t>
      </w:r>
      <w:r>
        <w:rPr>
          <w:szCs w:val="18"/>
          <w:lang w:val="nl-NL"/>
        </w:rPr>
        <w:t xml:space="preserve">discussie in de </w:t>
      </w:r>
      <w:r w:rsidR="000D218D">
        <w:rPr>
          <w:szCs w:val="18"/>
          <w:lang w:val="nl-NL"/>
        </w:rPr>
        <w:t>ER</w:t>
      </w:r>
      <w:r w:rsidRPr="00DC6C4F">
        <w:rPr>
          <w:szCs w:val="18"/>
          <w:lang w:val="nl-NL"/>
        </w:rPr>
        <w:t xml:space="preserve">. </w:t>
      </w:r>
      <w:r>
        <w:rPr>
          <w:szCs w:val="18"/>
          <w:lang w:val="nl-NL"/>
        </w:rPr>
        <w:t xml:space="preserve">Discussie </w:t>
      </w:r>
      <w:r w:rsidR="00DA11AB">
        <w:rPr>
          <w:szCs w:val="18"/>
          <w:lang w:val="nl-NL"/>
        </w:rPr>
        <w:t xml:space="preserve">en besluitvorming </w:t>
      </w:r>
      <w:r>
        <w:rPr>
          <w:szCs w:val="18"/>
          <w:lang w:val="nl-NL"/>
        </w:rPr>
        <w:t xml:space="preserve">over de </w:t>
      </w:r>
      <w:proofErr w:type="spellStart"/>
      <w:r>
        <w:rPr>
          <w:szCs w:val="18"/>
          <w:lang w:val="nl-NL"/>
        </w:rPr>
        <w:t>landspecifieke</w:t>
      </w:r>
      <w:proofErr w:type="spellEnd"/>
      <w:r>
        <w:rPr>
          <w:szCs w:val="18"/>
          <w:lang w:val="nl-NL"/>
        </w:rPr>
        <w:t xml:space="preserve"> aanbevelingen zelf zal plaatsvinden in de </w:t>
      </w:r>
      <w:proofErr w:type="spellStart"/>
      <w:r>
        <w:rPr>
          <w:szCs w:val="18"/>
          <w:lang w:val="nl-NL"/>
        </w:rPr>
        <w:t>Ecofin</w:t>
      </w:r>
      <w:proofErr w:type="spellEnd"/>
      <w:r>
        <w:rPr>
          <w:szCs w:val="18"/>
          <w:lang w:val="nl-NL"/>
        </w:rPr>
        <w:t xml:space="preserve"> Raad in juli a.s. </w:t>
      </w:r>
    </w:p>
    <w:p w:rsidRPr="00FF3354" w:rsidR="0027727D" w:rsidP="0027727D" w:rsidRDefault="0027727D" w14:paraId="52FE3485" w14:textId="4C540F06">
      <w:pPr>
        <w:rPr>
          <w:rFonts w:cstheme="minorHAnsi"/>
          <w:b/>
          <w:bCs/>
          <w:color w:val="FF0000"/>
          <w:lang w:val="nl-NL"/>
        </w:rPr>
      </w:pPr>
      <w:r w:rsidRPr="00FF3354">
        <w:rPr>
          <w:b/>
          <w:szCs w:val="18"/>
          <w:lang w:val="nl-NL"/>
        </w:rPr>
        <w:t>Transparantie</w:t>
      </w:r>
      <w:r w:rsidR="00FF3354">
        <w:rPr>
          <w:b/>
          <w:szCs w:val="18"/>
          <w:lang w:val="nl-NL"/>
        </w:rPr>
        <w:t xml:space="preserve"> </w:t>
      </w:r>
    </w:p>
    <w:p w:rsidRPr="00D267BB" w:rsidR="00A57F66" w:rsidP="00D267BB" w:rsidRDefault="000D218D" w14:paraId="134415E2" w14:textId="33DBA564">
      <w:pPr>
        <w:rPr>
          <w:lang w:val="nl-NL"/>
        </w:rPr>
      </w:pPr>
      <w:r>
        <w:rPr>
          <w:lang w:val="nl-NL"/>
        </w:rPr>
        <w:t>Nederland</w:t>
      </w:r>
      <w:r w:rsidRPr="00D267BB" w:rsidR="00D267BB">
        <w:rPr>
          <w:lang w:val="nl-NL"/>
        </w:rPr>
        <w:t xml:space="preserve"> </w:t>
      </w:r>
      <w:r w:rsidR="00D267BB">
        <w:rPr>
          <w:lang w:val="nl-NL"/>
        </w:rPr>
        <w:t xml:space="preserve">heeft namens de groep van gelijkgezinde lidstaten een nieuw non-paper </w:t>
      </w:r>
      <w:r w:rsidR="0052295B">
        <w:rPr>
          <w:lang w:val="nl-NL"/>
        </w:rPr>
        <w:t xml:space="preserve">(zie bijlage) </w:t>
      </w:r>
      <w:r w:rsidR="00D267BB">
        <w:rPr>
          <w:lang w:val="nl-NL"/>
        </w:rPr>
        <w:t xml:space="preserve">over transparantie gepresenteerd. </w:t>
      </w:r>
      <w:r w:rsidRPr="00D267BB" w:rsidR="00D267BB">
        <w:rPr>
          <w:lang w:val="nl-NL"/>
        </w:rPr>
        <w:t xml:space="preserve">Het </w:t>
      </w:r>
      <w:r w:rsidR="00D267BB">
        <w:rPr>
          <w:lang w:val="nl-NL"/>
        </w:rPr>
        <w:t>stuk</w:t>
      </w:r>
      <w:r w:rsidRPr="00D267BB" w:rsidR="00D267BB">
        <w:rPr>
          <w:lang w:val="nl-NL"/>
        </w:rPr>
        <w:t xml:space="preserve"> is een herziening van het non-paper uit 2015 en heeft als doel de agenda van de instellingen voor de komende vijf jaar te beïnvloeden. </w:t>
      </w:r>
      <w:r>
        <w:rPr>
          <w:lang w:val="nl-NL"/>
        </w:rPr>
        <w:t xml:space="preserve">Aan de hand van een zogenaamde </w:t>
      </w:r>
      <w:r w:rsidRPr="000D218D">
        <w:rPr>
          <w:i/>
          <w:lang w:val="nl-NL"/>
        </w:rPr>
        <w:t>triple track approach</w:t>
      </w:r>
      <w:r>
        <w:rPr>
          <w:lang w:val="nl-NL"/>
        </w:rPr>
        <w:t xml:space="preserve"> </w:t>
      </w:r>
      <w:r w:rsidR="00D267BB">
        <w:rPr>
          <w:lang w:val="nl-NL"/>
        </w:rPr>
        <w:t>worden er suggesties ter verbetering gedaan voor z</w:t>
      </w:r>
      <w:r w:rsidRPr="00D267BB" w:rsidR="00D267BB">
        <w:rPr>
          <w:lang w:val="nl-NL"/>
        </w:rPr>
        <w:t xml:space="preserve">owel de Raad, </w:t>
      </w:r>
      <w:r w:rsidR="00D267BB">
        <w:rPr>
          <w:lang w:val="nl-NL"/>
        </w:rPr>
        <w:t xml:space="preserve">Europese Commissie als het Europees </w:t>
      </w:r>
      <w:r w:rsidRPr="00D267BB" w:rsidR="00D267BB">
        <w:rPr>
          <w:lang w:val="nl-NL"/>
        </w:rPr>
        <w:t>P</w:t>
      </w:r>
      <w:r w:rsidR="00D267BB">
        <w:rPr>
          <w:lang w:val="nl-NL"/>
        </w:rPr>
        <w:t>arlement. Deze benadering omvat:</w:t>
      </w:r>
      <w:r w:rsidRPr="00D267BB" w:rsidR="00D267BB">
        <w:rPr>
          <w:lang w:val="nl-NL"/>
        </w:rPr>
        <w:t xml:space="preserve"> </w:t>
      </w:r>
    </w:p>
    <w:p w:rsidRPr="00D267BB" w:rsidR="00D267BB" w:rsidP="00D267BB" w:rsidRDefault="00D267BB" w14:paraId="20D721A0" w14:textId="61568618">
      <w:pPr>
        <w:rPr>
          <w:lang w:val="nl-NL"/>
        </w:rPr>
      </w:pPr>
      <w:r w:rsidRPr="00D267BB">
        <w:rPr>
          <w:lang w:val="nl-NL"/>
        </w:rPr>
        <w:t>1) Verankering transparantie in de S</w:t>
      </w:r>
      <w:r>
        <w:rPr>
          <w:lang w:val="nl-NL"/>
        </w:rPr>
        <w:t xml:space="preserve">trategische </w:t>
      </w:r>
      <w:r w:rsidRPr="00D267BB">
        <w:rPr>
          <w:lang w:val="nl-NL"/>
        </w:rPr>
        <w:t>A</w:t>
      </w:r>
      <w:r>
        <w:rPr>
          <w:lang w:val="nl-NL"/>
        </w:rPr>
        <w:t>genda</w:t>
      </w:r>
      <w:r w:rsidR="000D218D">
        <w:rPr>
          <w:lang w:val="nl-NL"/>
        </w:rPr>
        <w:t>;</w:t>
      </w:r>
      <w:r w:rsidRPr="00D267BB">
        <w:rPr>
          <w:lang w:val="nl-NL"/>
        </w:rPr>
        <w:t xml:space="preserve"> </w:t>
      </w:r>
    </w:p>
    <w:p w:rsidRPr="00D267BB" w:rsidR="00D267BB" w:rsidP="00D267BB" w:rsidRDefault="00D267BB" w14:paraId="7EE3C6D2" w14:textId="33C8CF5D">
      <w:pPr>
        <w:rPr>
          <w:lang w:val="nl-NL"/>
        </w:rPr>
      </w:pPr>
      <w:r w:rsidRPr="00D267BB">
        <w:rPr>
          <w:lang w:val="nl-NL"/>
        </w:rPr>
        <w:t>2) Opdracht aan de Raad om voortgang te maken en ambitie te blijven tonen met beleid dat ziet op uitgangspunt van proactieve openbaarmaking van documenten in h</w:t>
      </w:r>
      <w:r w:rsidR="000D218D">
        <w:rPr>
          <w:lang w:val="nl-NL"/>
        </w:rPr>
        <w:t>et wetgevingsproces, en</w:t>
      </w:r>
      <w:r>
        <w:rPr>
          <w:lang w:val="nl-NL"/>
        </w:rPr>
        <w:t xml:space="preserve"> </w:t>
      </w:r>
    </w:p>
    <w:p w:rsidRPr="000D218D" w:rsidR="0027727D" w:rsidP="0027727D" w:rsidRDefault="00D267BB" w14:paraId="7D31A329" w14:textId="32A46E79">
      <w:pPr>
        <w:rPr>
          <w:rFonts w:ascii="Calibri" w:hAnsi="Calibri"/>
          <w:sz w:val="22"/>
          <w:lang w:val="nl-NL"/>
        </w:rPr>
      </w:pPr>
      <w:r w:rsidRPr="00D267BB">
        <w:rPr>
          <w:lang w:val="nl-NL"/>
        </w:rPr>
        <w:t>3) Oproep tot snelle implementatie van de legislatieve database (</w:t>
      </w:r>
      <w:proofErr w:type="spellStart"/>
      <w:r w:rsidRPr="00D267BB">
        <w:rPr>
          <w:lang w:val="nl-NL"/>
        </w:rPr>
        <w:t>one</w:t>
      </w:r>
      <w:proofErr w:type="spellEnd"/>
      <w:r w:rsidRPr="00D267BB">
        <w:rPr>
          <w:lang w:val="nl-NL"/>
        </w:rPr>
        <w:t xml:space="preserve">-stop-shop-IT-portal), meer openheid in </w:t>
      </w:r>
      <w:proofErr w:type="spellStart"/>
      <w:r w:rsidRPr="00D267BB">
        <w:rPr>
          <w:lang w:val="nl-NL"/>
        </w:rPr>
        <w:t>triloogonderhandelingen</w:t>
      </w:r>
      <w:proofErr w:type="spellEnd"/>
      <w:r w:rsidRPr="00D267BB">
        <w:rPr>
          <w:lang w:val="nl-NL"/>
        </w:rPr>
        <w:t xml:space="preserve"> (geldt voor Raad, E</w:t>
      </w:r>
      <w:r>
        <w:rPr>
          <w:lang w:val="nl-NL"/>
        </w:rPr>
        <w:t xml:space="preserve">uropees </w:t>
      </w:r>
      <w:r w:rsidRPr="00D267BB">
        <w:rPr>
          <w:lang w:val="nl-NL"/>
        </w:rPr>
        <w:t>P</w:t>
      </w:r>
      <w:r>
        <w:rPr>
          <w:lang w:val="nl-NL"/>
        </w:rPr>
        <w:t>arlement</w:t>
      </w:r>
      <w:r w:rsidRPr="00D267BB">
        <w:rPr>
          <w:lang w:val="nl-NL"/>
        </w:rPr>
        <w:t xml:space="preserve"> en C</w:t>
      </w:r>
      <w:r>
        <w:rPr>
          <w:lang w:val="nl-NL"/>
        </w:rPr>
        <w:t xml:space="preserve">ommissie) en herziening van de zogenaamde </w:t>
      </w:r>
      <w:proofErr w:type="spellStart"/>
      <w:r>
        <w:rPr>
          <w:lang w:val="nl-NL"/>
        </w:rPr>
        <w:t>Eurowob</w:t>
      </w:r>
      <w:r w:rsidRPr="00D267BB">
        <w:rPr>
          <w:lang w:val="nl-NL"/>
        </w:rPr>
        <w:t>verordening</w:t>
      </w:r>
      <w:proofErr w:type="spellEnd"/>
      <w:r w:rsidRPr="00D267BB">
        <w:rPr>
          <w:lang w:val="nl-NL"/>
        </w:rPr>
        <w:t xml:space="preserve"> (</w:t>
      </w:r>
      <w:r>
        <w:rPr>
          <w:lang w:val="nl-NL"/>
        </w:rPr>
        <w:t>Vo 1049/2001</w:t>
      </w:r>
      <w:r w:rsidRPr="00D267BB">
        <w:rPr>
          <w:lang w:val="nl-NL"/>
        </w:rPr>
        <w:t xml:space="preserve">). </w:t>
      </w:r>
    </w:p>
    <w:sectPr w:rsidRPr="000D218D" w:rsidR="0027727D" w:rsidSect="00735109">
      <w:pgSz w:w="11906" w:h="16838"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F112F3" w14:textId="77777777" w:rsidR="00BE1D3C" w:rsidRDefault="00BE1D3C" w:rsidP="00DC6C4F">
      <w:pPr>
        <w:spacing w:after="0"/>
      </w:pPr>
      <w:r>
        <w:separator/>
      </w:r>
    </w:p>
  </w:endnote>
  <w:endnote w:type="continuationSeparator" w:id="0">
    <w:p w14:paraId="1F3CBBAB" w14:textId="77777777" w:rsidR="00BE1D3C" w:rsidRDefault="00BE1D3C" w:rsidP="00DC6C4F">
      <w:pPr>
        <w:spacing w:after="0"/>
      </w:pPr>
      <w:r>
        <w:continuationSeparator/>
      </w:r>
    </w:p>
  </w:endnote>
  <w:endnote w:type="continuationNotice" w:id="1">
    <w:p w14:paraId="0DFC8CC5" w14:textId="77777777" w:rsidR="00BE1D3C" w:rsidRDefault="00BE1D3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DBDE7B" w14:textId="77777777" w:rsidR="00BE1D3C" w:rsidRDefault="00BE1D3C" w:rsidP="00DC6C4F">
      <w:pPr>
        <w:spacing w:after="0"/>
      </w:pPr>
      <w:r>
        <w:separator/>
      </w:r>
    </w:p>
  </w:footnote>
  <w:footnote w:type="continuationSeparator" w:id="0">
    <w:p w14:paraId="1006B249" w14:textId="77777777" w:rsidR="00BE1D3C" w:rsidRDefault="00BE1D3C" w:rsidP="00DC6C4F">
      <w:pPr>
        <w:spacing w:after="0"/>
      </w:pPr>
      <w:r>
        <w:continuationSeparator/>
      </w:r>
    </w:p>
  </w:footnote>
  <w:footnote w:type="continuationNotice" w:id="1">
    <w:p w14:paraId="4867EFAA" w14:textId="77777777" w:rsidR="00BE1D3C" w:rsidRDefault="00BE1D3C">
      <w:pPr>
        <w:spacing w:after="0"/>
      </w:pPr>
    </w:p>
  </w:footnote>
  <w:footnote w:id="2">
    <w:p w14:paraId="4FA71798" w14:textId="501B6C7A" w:rsidR="00BE1D3C" w:rsidRDefault="00BE1D3C">
      <w:pPr>
        <w:pStyle w:val="FootnoteText"/>
      </w:pPr>
      <w:r>
        <w:rPr>
          <w:rStyle w:val="FootnoteReference"/>
        </w:rPr>
        <w:footnoteRef/>
      </w:r>
      <w:r>
        <w:t xml:space="preserve"> </w:t>
      </w:r>
      <w:hyperlink r:id="rId1" w:history="1">
        <w:r w:rsidRPr="00E34899">
          <w:rPr>
            <w:rStyle w:val="Hyperlink"/>
            <w:sz w:val="16"/>
            <w:szCs w:val="16"/>
            <w:u w:val="none"/>
          </w:rPr>
          <w:t>https://data.consilium.europa.eu/doc/document/ST-10010-2019-REV-1/nl/pdf</w:t>
        </w:r>
      </w:hyperlink>
    </w:p>
  </w:footnote>
  <w:footnote w:id="3">
    <w:p w14:paraId="1DC3C711" w14:textId="77777777" w:rsidR="00BE1D3C" w:rsidRDefault="00BE1D3C" w:rsidP="009712ED">
      <w:pPr>
        <w:pStyle w:val="FootnoteText"/>
      </w:pPr>
      <w:r>
        <w:rPr>
          <w:rStyle w:val="FootnoteReference"/>
        </w:rPr>
        <w:footnoteRef/>
      </w:r>
      <w:r>
        <w:t xml:space="preserve"> </w:t>
      </w:r>
      <w:r>
        <w:rPr>
          <w:color w:val="0462C1"/>
          <w:sz w:val="16"/>
          <w:szCs w:val="16"/>
        </w:rPr>
        <w:t xml:space="preserve">https://www.rijksoverheid.nl/documenten/kamerstukken/2019/06/12/kamerbrief-over-de-kabinetsreactie-lentepakket-europees-semester-2019 </w:t>
      </w:r>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27D"/>
    <w:rsid w:val="00000B59"/>
    <w:rsid w:val="00052171"/>
    <w:rsid w:val="0006783A"/>
    <w:rsid w:val="000B515E"/>
    <w:rsid w:val="000D218D"/>
    <w:rsid w:val="000E2488"/>
    <w:rsid w:val="00117BCB"/>
    <w:rsid w:val="00154DF3"/>
    <w:rsid w:val="001C0679"/>
    <w:rsid w:val="001C2E11"/>
    <w:rsid w:val="001D0E69"/>
    <w:rsid w:val="001D616B"/>
    <w:rsid w:val="001D6AF9"/>
    <w:rsid w:val="0020130A"/>
    <w:rsid w:val="002110BA"/>
    <w:rsid w:val="0021695C"/>
    <w:rsid w:val="00227F91"/>
    <w:rsid w:val="00236EA6"/>
    <w:rsid w:val="0027727D"/>
    <w:rsid w:val="00287C07"/>
    <w:rsid w:val="002B1421"/>
    <w:rsid w:val="002E0AA4"/>
    <w:rsid w:val="002F71B2"/>
    <w:rsid w:val="00325558"/>
    <w:rsid w:val="00334236"/>
    <w:rsid w:val="003369A7"/>
    <w:rsid w:val="00360E53"/>
    <w:rsid w:val="00363631"/>
    <w:rsid w:val="003C6C9C"/>
    <w:rsid w:val="00402DEF"/>
    <w:rsid w:val="004503A7"/>
    <w:rsid w:val="0045656E"/>
    <w:rsid w:val="004C7675"/>
    <w:rsid w:val="004F7B79"/>
    <w:rsid w:val="005120D2"/>
    <w:rsid w:val="00513C21"/>
    <w:rsid w:val="00521F0A"/>
    <w:rsid w:val="0052295B"/>
    <w:rsid w:val="00556DCB"/>
    <w:rsid w:val="00561D51"/>
    <w:rsid w:val="005969DC"/>
    <w:rsid w:val="005E0394"/>
    <w:rsid w:val="005E09EC"/>
    <w:rsid w:val="005E3FA7"/>
    <w:rsid w:val="005E43C6"/>
    <w:rsid w:val="00611D02"/>
    <w:rsid w:val="00615D67"/>
    <w:rsid w:val="006622A8"/>
    <w:rsid w:val="0067598A"/>
    <w:rsid w:val="00683CC6"/>
    <w:rsid w:val="00692636"/>
    <w:rsid w:val="00695A07"/>
    <w:rsid w:val="00696231"/>
    <w:rsid w:val="006C2DEF"/>
    <w:rsid w:val="006D04A0"/>
    <w:rsid w:val="00712807"/>
    <w:rsid w:val="00730705"/>
    <w:rsid w:val="00735109"/>
    <w:rsid w:val="00742FFC"/>
    <w:rsid w:val="00797FE4"/>
    <w:rsid w:val="007A104B"/>
    <w:rsid w:val="007A1F51"/>
    <w:rsid w:val="007B6C92"/>
    <w:rsid w:val="007B6F19"/>
    <w:rsid w:val="0080511F"/>
    <w:rsid w:val="00806AA0"/>
    <w:rsid w:val="00807D02"/>
    <w:rsid w:val="00860643"/>
    <w:rsid w:val="00881B3E"/>
    <w:rsid w:val="00891C30"/>
    <w:rsid w:val="00893AA2"/>
    <w:rsid w:val="00895661"/>
    <w:rsid w:val="008A0B17"/>
    <w:rsid w:val="008A5CCE"/>
    <w:rsid w:val="008D219F"/>
    <w:rsid w:val="008E14A6"/>
    <w:rsid w:val="008E2DDE"/>
    <w:rsid w:val="008F384A"/>
    <w:rsid w:val="009156DE"/>
    <w:rsid w:val="009712ED"/>
    <w:rsid w:val="0097618E"/>
    <w:rsid w:val="009A6E67"/>
    <w:rsid w:val="009B55B2"/>
    <w:rsid w:val="009D54AB"/>
    <w:rsid w:val="009E2D80"/>
    <w:rsid w:val="009E61E0"/>
    <w:rsid w:val="00A1511E"/>
    <w:rsid w:val="00A45DEB"/>
    <w:rsid w:val="00A57F66"/>
    <w:rsid w:val="00A66FCB"/>
    <w:rsid w:val="00B00B61"/>
    <w:rsid w:val="00B103D1"/>
    <w:rsid w:val="00B251F7"/>
    <w:rsid w:val="00B6285A"/>
    <w:rsid w:val="00B83A25"/>
    <w:rsid w:val="00B902C5"/>
    <w:rsid w:val="00BA797F"/>
    <w:rsid w:val="00BB28E1"/>
    <w:rsid w:val="00BB3CBF"/>
    <w:rsid w:val="00BD021C"/>
    <w:rsid w:val="00BD0D78"/>
    <w:rsid w:val="00BE1D3C"/>
    <w:rsid w:val="00BE4BB8"/>
    <w:rsid w:val="00BF58DD"/>
    <w:rsid w:val="00C16346"/>
    <w:rsid w:val="00C243E2"/>
    <w:rsid w:val="00C3707D"/>
    <w:rsid w:val="00CA4A69"/>
    <w:rsid w:val="00CA7399"/>
    <w:rsid w:val="00CB3E33"/>
    <w:rsid w:val="00CC103E"/>
    <w:rsid w:val="00CC2BA6"/>
    <w:rsid w:val="00CD3126"/>
    <w:rsid w:val="00CF4881"/>
    <w:rsid w:val="00CF4A29"/>
    <w:rsid w:val="00D10B7E"/>
    <w:rsid w:val="00D13A26"/>
    <w:rsid w:val="00D14D16"/>
    <w:rsid w:val="00D267BB"/>
    <w:rsid w:val="00D46ADC"/>
    <w:rsid w:val="00D658EB"/>
    <w:rsid w:val="00D80368"/>
    <w:rsid w:val="00D860D7"/>
    <w:rsid w:val="00DA11AB"/>
    <w:rsid w:val="00DC6C4F"/>
    <w:rsid w:val="00DC741E"/>
    <w:rsid w:val="00E208F4"/>
    <w:rsid w:val="00E34899"/>
    <w:rsid w:val="00E71BDF"/>
    <w:rsid w:val="00E83060"/>
    <w:rsid w:val="00EA500D"/>
    <w:rsid w:val="00EE0C4E"/>
    <w:rsid w:val="00F17E2C"/>
    <w:rsid w:val="00FB7663"/>
    <w:rsid w:val="00FD0721"/>
    <w:rsid w:val="00FF3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D12"/>
  <w15:chartTrackingRefBased/>
  <w15:docId w15:val="{B69DC562-2A9B-4931-A859-AB3765933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727D"/>
    <w:pPr>
      <w:spacing w:after="200" w:line="240" w:lineRule="auto"/>
    </w:pPr>
    <w:rPr>
      <w:rFonts w:ascii="Verdana" w:hAnsi="Verdana"/>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7727D"/>
    <w:pPr>
      <w:autoSpaceDE w:val="0"/>
      <w:autoSpaceDN w:val="0"/>
      <w:adjustRightInd w:val="0"/>
      <w:spacing w:after="0" w:line="240" w:lineRule="auto"/>
    </w:pPr>
    <w:rPr>
      <w:rFonts w:ascii="Verdana" w:hAnsi="Verdana" w:cs="Verdana"/>
      <w:color w:val="000000"/>
      <w:sz w:val="24"/>
      <w:szCs w:val="24"/>
      <w:lang w:val="nl-NL"/>
    </w:rPr>
  </w:style>
  <w:style w:type="paragraph" w:styleId="FootnoteText">
    <w:name w:val="footnote text"/>
    <w:basedOn w:val="Normal"/>
    <w:link w:val="FootnoteTextChar"/>
    <w:uiPriority w:val="99"/>
    <w:semiHidden/>
    <w:unhideWhenUsed/>
    <w:rsid w:val="00DC6C4F"/>
    <w:pPr>
      <w:spacing w:after="0"/>
    </w:pPr>
    <w:rPr>
      <w:sz w:val="20"/>
      <w:szCs w:val="20"/>
    </w:rPr>
  </w:style>
  <w:style w:type="character" w:customStyle="1" w:styleId="FootnoteTextChar">
    <w:name w:val="Footnote Text Char"/>
    <w:basedOn w:val="DefaultParagraphFont"/>
    <w:link w:val="FootnoteText"/>
    <w:uiPriority w:val="99"/>
    <w:semiHidden/>
    <w:rsid w:val="00DC6C4F"/>
    <w:rPr>
      <w:rFonts w:ascii="Verdana" w:hAnsi="Verdana"/>
      <w:sz w:val="20"/>
      <w:szCs w:val="20"/>
    </w:rPr>
  </w:style>
  <w:style w:type="character" w:styleId="FootnoteReference">
    <w:name w:val="footnote reference"/>
    <w:basedOn w:val="DefaultParagraphFont"/>
    <w:uiPriority w:val="99"/>
    <w:semiHidden/>
    <w:unhideWhenUsed/>
    <w:rsid w:val="00DC6C4F"/>
    <w:rPr>
      <w:vertAlign w:val="superscript"/>
    </w:rPr>
  </w:style>
  <w:style w:type="character" w:styleId="Hyperlink">
    <w:name w:val="Hyperlink"/>
    <w:basedOn w:val="DefaultParagraphFont"/>
    <w:uiPriority w:val="99"/>
    <w:unhideWhenUsed/>
    <w:rsid w:val="00BF58DD"/>
    <w:rPr>
      <w:color w:val="0563C1" w:themeColor="hyperlink"/>
      <w:u w:val="single"/>
    </w:rPr>
  </w:style>
  <w:style w:type="paragraph" w:styleId="Header">
    <w:name w:val="header"/>
    <w:basedOn w:val="Normal"/>
    <w:link w:val="HeaderChar"/>
    <w:uiPriority w:val="99"/>
    <w:semiHidden/>
    <w:unhideWhenUsed/>
    <w:rsid w:val="00CF4A29"/>
    <w:pPr>
      <w:tabs>
        <w:tab w:val="center" w:pos="4513"/>
        <w:tab w:val="right" w:pos="9026"/>
      </w:tabs>
      <w:spacing w:after="0"/>
    </w:pPr>
  </w:style>
  <w:style w:type="character" w:customStyle="1" w:styleId="HeaderChar">
    <w:name w:val="Header Char"/>
    <w:basedOn w:val="DefaultParagraphFont"/>
    <w:link w:val="Header"/>
    <w:uiPriority w:val="99"/>
    <w:semiHidden/>
    <w:rsid w:val="00CF4A29"/>
    <w:rPr>
      <w:rFonts w:ascii="Verdana" w:hAnsi="Verdana"/>
      <w:sz w:val="18"/>
    </w:rPr>
  </w:style>
  <w:style w:type="paragraph" w:styleId="Footer">
    <w:name w:val="footer"/>
    <w:basedOn w:val="Normal"/>
    <w:link w:val="FooterChar"/>
    <w:uiPriority w:val="99"/>
    <w:semiHidden/>
    <w:unhideWhenUsed/>
    <w:rsid w:val="00CF4A29"/>
    <w:pPr>
      <w:tabs>
        <w:tab w:val="center" w:pos="4513"/>
        <w:tab w:val="right" w:pos="9026"/>
      </w:tabs>
      <w:spacing w:after="0"/>
    </w:pPr>
  </w:style>
  <w:style w:type="character" w:customStyle="1" w:styleId="FooterChar">
    <w:name w:val="Footer Char"/>
    <w:basedOn w:val="DefaultParagraphFont"/>
    <w:link w:val="Footer"/>
    <w:uiPriority w:val="99"/>
    <w:semiHidden/>
    <w:rsid w:val="00CF4A29"/>
    <w:rPr>
      <w:rFonts w:ascii="Verdana" w:hAnsi="Verdana"/>
      <w:sz w:val="18"/>
    </w:rPr>
  </w:style>
  <w:style w:type="paragraph" w:styleId="NormalWeb">
    <w:name w:val="Normal (Web)"/>
    <w:basedOn w:val="Normal"/>
    <w:uiPriority w:val="99"/>
    <w:unhideWhenUsed/>
    <w:rsid w:val="00BD0D78"/>
    <w:pPr>
      <w:spacing w:before="100" w:beforeAutospacing="1" w:after="100" w:afterAutospacing="1"/>
    </w:pPr>
    <w:rPr>
      <w:rFonts w:ascii="Times New Roman" w:hAnsi="Times New Roman" w:cs="Times New Roman"/>
      <w:sz w:val="24"/>
      <w:szCs w:val="24"/>
      <w:lang w:val="nl-NL" w:eastAsia="nl-NL"/>
    </w:rPr>
  </w:style>
  <w:style w:type="character" w:styleId="CommentReference">
    <w:name w:val="annotation reference"/>
    <w:basedOn w:val="DefaultParagraphFont"/>
    <w:uiPriority w:val="99"/>
    <w:semiHidden/>
    <w:unhideWhenUsed/>
    <w:rsid w:val="00C243E2"/>
    <w:rPr>
      <w:sz w:val="16"/>
      <w:szCs w:val="16"/>
    </w:rPr>
  </w:style>
  <w:style w:type="paragraph" w:styleId="CommentText">
    <w:name w:val="annotation text"/>
    <w:basedOn w:val="Normal"/>
    <w:link w:val="CommentTextChar"/>
    <w:uiPriority w:val="99"/>
    <w:semiHidden/>
    <w:unhideWhenUsed/>
    <w:rsid w:val="00C243E2"/>
    <w:rPr>
      <w:sz w:val="20"/>
      <w:szCs w:val="20"/>
    </w:rPr>
  </w:style>
  <w:style w:type="character" w:customStyle="1" w:styleId="CommentTextChar">
    <w:name w:val="Comment Text Char"/>
    <w:basedOn w:val="DefaultParagraphFont"/>
    <w:link w:val="CommentText"/>
    <w:uiPriority w:val="99"/>
    <w:semiHidden/>
    <w:rsid w:val="00C243E2"/>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C243E2"/>
    <w:rPr>
      <w:b/>
      <w:bCs/>
    </w:rPr>
  </w:style>
  <w:style w:type="character" w:customStyle="1" w:styleId="CommentSubjectChar">
    <w:name w:val="Comment Subject Char"/>
    <w:basedOn w:val="CommentTextChar"/>
    <w:link w:val="CommentSubject"/>
    <w:uiPriority w:val="99"/>
    <w:semiHidden/>
    <w:rsid w:val="00C243E2"/>
    <w:rPr>
      <w:rFonts w:ascii="Verdana" w:hAnsi="Verdana"/>
      <w:b/>
      <w:bCs/>
      <w:sz w:val="20"/>
      <w:szCs w:val="20"/>
    </w:rPr>
  </w:style>
  <w:style w:type="paragraph" w:styleId="BalloonText">
    <w:name w:val="Balloon Text"/>
    <w:basedOn w:val="Normal"/>
    <w:link w:val="BalloonTextChar"/>
    <w:uiPriority w:val="99"/>
    <w:semiHidden/>
    <w:unhideWhenUsed/>
    <w:rsid w:val="00C243E2"/>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C243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881766">
      <w:bodyDiv w:val="1"/>
      <w:marLeft w:val="0"/>
      <w:marRight w:val="0"/>
      <w:marTop w:val="0"/>
      <w:marBottom w:val="0"/>
      <w:divBdr>
        <w:top w:val="none" w:sz="0" w:space="0" w:color="auto"/>
        <w:left w:val="none" w:sz="0" w:space="0" w:color="auto"/>
        <w:bottom w:val="none" w:sz="0" w:space="0" w:color="auto"/>
        <w:right w:val="none" w:sz="0" w:space="0" w:color="auto"/>
      </w:divBdr>
    </w:div>
    <w:div w:id="818964381">
      <w:bodyDiv w:val="1"/>
      <w:marLeft w:val="0"/>
      <w:marRight w:val="0"/>
      <w:marTop w:val="0"/>
      <w:marBottom w:val="0"/>
      <w:divBdr>
        <w:top w:val="none" w:sz="0" w:space="0" w:color="auto"/>
        <w:left w:val="none" w:sz="0" w:space="0" w:color="auto"/>
        <w:bottom w:val="none" w:sz="0" w:space="0" w:color="auto"/>
        <w:right w:val="none" w:sz="0" w:space="0" w:color="auto"/>
      </w:divBdr>
    </w:div>
    <w:div w:id="1245458885">
      <w:bodyDiv w:val="1"/>
      <w:marLeft w:val="0"/>
      <w:marRight w:val="0"/>
      <w:marTop w:val="0"/>
      <w:marBottom w:val="0"/>
      <w:divBdr>
        <w:top w:val="none" w:sz="0" w:space="0" w:color="auto"/>
        <w:left w:val="none" w:sz="0" w:space="0" w:color="auto"/>
        <w:bottom w:val="none" w:sz="0" w:space="0" w:color="auto"/>
        <w:right w:val="none" w:sz="0" w:space="0" w:color="auto"/>
      </w:divBdr>
    </w:div>
    <w:div w:id="1357927730">
      <w:bodyDiv w:val="1"/>
      <w:marLeft w:val="0"/>
      <w:marRight w:val="0"/>
      <w:marTop w:val="0"/>
      <w:marBottom w:val="0"/>
      <w:divBdr>
        <w:top w:val="none" w:sz="0" w:space="0" w:color="auto"/>
        <w:left w:val="none" w:sz="0" w:space="0" w:color="auto"/>
        <w:bottom w:val="none" w:sz="0" w:space="0" w:color="auto"/>
        <w:right w:val="none" w:sz="0" w:space="0" w:color="auto"/>
      </w:divBdr>
    </w:div>
    <w:div w:id="1497264685">
      <w:bodyDiv w:val="1"/>
      <w:marLeft w:val="0"/>
      <w:marRight w:val="0"/>
      <w:marTop w:val="0"/>
      <w:marBottom w:val="0"/>
      <w:divBdr>
        <w:top w:val="none" w:sz="0" w:space="0" w:color="auto"/>
        <w:left w:val="none" w:sz="0" w:space="0" w:color="auto"/>
        <w:bottom w:val="none" w:sz="0" w:space="0" w:color="auto"/>
        <w:right w:val="none" w:sz="0" w:space="0" w:color="auto"/>
      </w:divBdr>
    </w:div>
    <w:div w:id="1991203578">
      <w:bodyDiv w:val="1"/>
      <w:marLeft w:val="0"/>
      <w:marRight w:val="0"/>
      <w:marTop w:val="0"/>
      <w:marBottom w:val="0"/>
      <w:divBdr>
        <w:top w:val="none" w:sz="0" w:space="0" w:color="auto"/>
        <w:left w:val="none" w:sz="0" w:space="0" w:color="auto"/>
        <w:bottom w:val="none" w:sz="0" w:space="0" w:color="auto"/>
        <w:right w:val="none" w:sz="0" w:space="0" w:color="auto"/>
      </w:divBdr>
    </w:div>
    <w:div w:id="2021471415">
      <w:bodyDiv w:val="1"/>
      <w:marLeft w:val="0"/>
      <w:marRight w:val="0"/>
      <w:marTop w:val="0"/>
      <w:marBottom w:val="0"/>
      <w:divBdr>
        <w:top w:val="none" w:sz="0" w:space="0" w:color="auto"/>
        <w:left w:val="none" w:sz="0" w:space="0" w:color="auto"/>
        <w:bottom w:val="none" w:sz="0" w:space="0" w:color="auto"/>
        <w:right w:val="none" w:sz="0" w:space="0" w:color="auto"/>
      </w:divBdr>
    </w:div>
    <w:div w:id="212187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fontTable" Target="fontTable.xml" Id="rId11" /><Relationship Type="http://schemas.openxmlformats.org/officeDocument/2006/relationships/styles" Target="styles.xml" Id="rId6" /><Relationship Type="http://schemas.openxmlformats.org/officeDocument/2006/relationships/endnotes" Target="endnotes.xml" Id="rId10"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data.consilium.europa.eu/doc/document/ST-10010-2019-REV-1/n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885E86C-2C26-4456-81F4-AD971EF0F645}">
  <ds:schemaRefs>
    <ds:schemaRef ds:uri="http://schemas.microsoft.com/sharepoint/events"/>
  </ds:schemaRefs>
</ds:datastoreItem>
</file>

<file path=docProps/app.xml><?xml version="1.0" encoding="utf-8"?>
<ap:Properties xmlns:vt="http://schemas.openxmlformats.org/officeDocument/2006/docPropsVTypes" xmlns:ap="http://schemas.openxmlformats.org/officeDocument/2006/extended-properties">
  <ap:Pages>3</ap:Pages>
  <ap:Words>1981</ap:Words>
  <ap:Characters>10718</ap:Characters>
  <ap:DocSecurity>0</ap:DocSecurity>
  <ap:Lines>1339</ap:Lines>
  <ap:Paragraphs>437</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12262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2019-06-24T12:11:00.0000000Z</dcterms:created>
  <dcterms:modified xsi:type="dcterms:W3CDTF">2019-06-24T12:11:00.0000000Z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0x010100563E041DD587B64AAD7E56349D6A512D</vt:lpwstr>
  </property>
  <property fmtid="{D5CDD505-2E9C-101B-9397-08002B2CF9AE}" pid="3" name="_dlc_DocIdItemGuid">
    <vt:lpwstr>5a94fd5d-ef68-4165-9a99-bfd7817e7011</vt:lpwstr>
  </property>
  <property fmtid="{D5CDD505-2E9C-101B-9397-08002B2CF9AE}" pid="4" name="_docset_NoMedatataSyncRequired">
    <vt:lpwstr>False</vt:lpwstr>
  </property>
</Properties>
</file>