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566DD" w:rsidR="00B02DFB" w:rsidP="00B02DFB" w:rsidRDefault="00B02DFB">
      <w:pPr>
        <w:rPr>
          <w:rFonts w:asciiTheme="minorHAnsi" w:hAnsiTheme="minorHAnsi"/>
          <w:b/>
          <w:sz w:val="20"/>
          <w:szCs w:val="20"/>
        </w:rPr>
      </w:pPr>
      <w:bookmarkStart w:name="_GoBack" w:id="0"/>
      <w:bookmarkEnd w:id="0"/>
      <w:r w:rsidRPr="006566DD">
        <w:rPr>
          <w:rFonts w:asciiTheme="minorHAnsi" w:hAnsiTheme="minorHAnsi"/>
          <w:b/>
          <w:sz w:val="20"/>
          <w:szCs w:val="20"/>
        </w:rPr>
        <w:t xml:space="preserve">Overzicht nieuw gepubliceerde EU-voorstellen </w:t>
      </w:r>
    </w:p>
    <w:p w:rsidR="00B02DFB" w:rsidP="00B02DFB" w:rsidRDefault="00B02DFB">
      <w:pPr>
        <w:rPr>
          <w:rFonts w:asciiTheme="minorHAnsi" w:hAnsiTheme="minorHAnsi"/>
          <w:sz w:val="20"/>
          <w:szCs w:val="20"/>
          <w:u w:val="single"/>
        </w:rPr>
      </w:pPr>
      <w:r w:rsidRPr="006566DD">
        <w:rPr>
          <w:rFonts w:asciiTheme="minorHAnsi" w:hAnsiTheme="minorHAnsi"/>
          <w:sz w:val="20"/>
          <w:szCs w:val="20"/>
          <w:u w:val="single"/>
        </w:rPr>
        <w:t xml:space="preserve">Integraal overzicht met nieuw gepubliceerde EU-voorstellen van </w:t>
      </w:r>
      <w:r>
        <w:rPr>
          <w:rFonts w:asciiTheme="minorHAnsi" w:hAnsiTheme="minorHAnsi"/>
          <w:sz w:val="20"/>
          <w:szCs w:val="20"/>
          <w:u w:val="single"/>
        </w:rPr>
        <w:t xml:space="preserve">6 juni tot 27 juni 2019 </w:t>
      </w:r>
      <w:r w:rsidRPr="006566DD">
        <w:rPr>
          <w:rFonts w:asciiTheme="minorHAnsi" w:hAnsiTheme="minorHAnsi"/>
          <w:sz w:val="20"/>
          <w:szCs w:val="20"/>
          <w:u w:val="single"/>
        </w:rPr>
        <w:t xml:space="preserve">- d.d. </w:t>
      </w:r>
      <w:r>
        <w:rPr>
          <w:rFonts w:asciiTheme="minorHAnsi" w:hAnsiTheme="minorHAnsi"/>
          <w:sz w:val="20"/>
          <w:szCs w:val="20"/>
          <w:u w:val="single"/>
        </w:rPr>
        <w:t>27 juni 2019</w:t>
      </w:r>
    </w:p>
    <w:p w:rsidRPr="006566DD" w:rsidR="00B02DFB" w:rsidP="00B02DFB" w:rsidRDefault="00B02DFB">
      <w:pPr>
        <w:rPr>
          <w:rFonts w:asciiTheme="minorHAnsi" w:hAnsiTheme="minorHAnsi"/>
          <w:sz w:val="20"/>
          <w:szCs w:val="20"/>
          <w:u w:val="single"/>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433"/>
        <w:gridCol w:w="709"/>
        <w:gridCol w:w="1559"/>
        <w:gridCol w:w="5386"/>
        <w:gridCol w:w="851"/>
        <w:gridCol w:w="850"/>
        <w:gridCol w:w="3686"/>
      </w:tblGrid>
      <w:tr w:rsidRPr="006566DD" w:rsidR="00B02DFB" w:rsidTr="00132271">
        <w:trPr>
          <w:trHeight w:val="1550"/>
        </w:trPr>
        <w:tc>
          <w:tcPr>
            <w:tcW w:w="1433" w:type="dxa"/>
            <w:shd w:val="clear" w:color="auto" w:fill="auto"/>
            <w:textDirection w:val="btLr"/>
            <w:vAlign w:val="bottom"/>
            <w:hideMark/>
          </w:tcPr>
          <w:p w:rsidRPr="006566DD" w:rsidR="00B02DFB" w:rsidP="00132271" w:rsidRDefault="00B02DFB">
            <w:pPr>
              <w:rPr>
                <w:rFonts w:asciiTheme="minorHAnsi" w:hAnsiTheme="minorHAnsi"/>
                <w:b/>
                <w:bCs/>
                <w:color w:val="000000"/>
                <w:sz w:val="20"/>
                <w:szCs w:val="20"/>
              </w:rPr>
            </w:pPr>
            <w:r w:rsidRPr="006566DD">
              <w:rPr>
                <w:rFonts w:asciiTheme="minorHAnsi" w:hAnsiTheme="minorHAnsi"/>
                <w:b/>
                <w:bCs/>
                <w:color w:val="000000"/>
                <w:sz w:val="20"/>
                <w:szCs w:val="20"/>
              </w:rPr>
              <w:t>Publicatie-</w:t>
            </w:r>
          </w:p>
          <w:p w:rsidRPr="006566DD" w:rsidR="00B02DFB" w:rsidP="00132271" w:rsidRDefault="00B02DFB">
            <w:pPr>
              <w:rPr>
                <w:rFonts w:asciiTheme="minorHAnsi" w:hAnsiTheme="minorHAnsi"/>
                <w:b/>
                <w:bCs/>
                <w:color w:val="000000"/>
                <w:sz w:val="20"/>
                <w:szCs w:val="20"/>
              </w:rPr>
            </w:pPr>
            <w:r w:rsidRPr="006566DD">
              <w:rPr>
                <w:rFonts w:asciiTheme="minorHAnsi" w:hAnsiTheme="minorHAnsi"/>
                <w:b/>
                <w:bCs/>
                <w:color w:val="000000"/>
                <w:sz w:val="20"/>
                <w:szCs w:val="20"/>
              </w:rPr>
              <w:t>datum</w:t>
            </w:r>
          </w:p>
        </w:tc>
        <w:tc>
          <w:tcPr>
            <w:tcW w:w="709" w:type="dxa"/>
            <w:shd w:val="clear" w:color="auto" w:fill="auto"/>
            <w:textDirection w:val="btLr"/>
            <w:vAlign w:val="bottom"/>
            <w:hideMark/>
          </w:tcPr>
          <w:p w:rsidRPr="006566DD" w:rsidR="00B02DFB" w:rsidP="00132271" w:rsidRDefault="00B02DFB">
            <w:pPr>
              <w:rPr>
                <w:rFonts w:asciiTheme="minorHAnsi" w:hAnsiTheme="minorHAnsi"/>
                <w:b/>
                <w:bCs/>
                <w:color w:val="000000"/>
                <w:sz w:val="20"/>
                <w:szCs w:val="20"/>
              </w:rPr>
            </w:pPr>
            <w:proofErr w:type="gramStart"/>
            <w:r w:rsidRPr="006566DD">
              <w:rPr>
                <w:rFonts w:asciiTheme="minorHAnsi" w:hAnsiTheme="minorHAnsi"/>
                <w:b/>
                <w:bCs/>
                <w:color w:val="000000"/>
                <w:sz w:val="20"/>
                <w:szCs w:val="20"/>
              </w:rPr>
              <w:t>Voortouw</w:t>
            </w:r>
            <w:proofErr w:type="gramEnd"/>
          </w:p>
        </w:tc>
        <w:tc>
          <w:tcPr>
            <w:tcW w:w="1559" w:type="dxa"/>
            <w:shd w:val="clear" w:color="auto" w:fill="auto"/>
            <w:textDirection w:val="btLr"/>
            <w:vAlign w:val="bottom"/>
            <w:hideMark/>
          </w:tcPr>
          <w:p w:rsidRPr="006566DD" w:rsidR="00B02DFB" w:rsidP="00132271" w:rsidRDefault="00B02DFB">
            <w:pPr>
              <w:rPr>
                <w:rFonts w:asciiTheme="minorHAnsi" w:hAnsiTheme="minorHAnsi"/>
                <w:b/>
                <w:bCs/>
                <w:color w:val="000000"/>
                <w:sz w:val="20"/>
                <w:szCs w:val="20"/>
              </w:rPr>
            </w:pPr>
            <w:r w:rsidRPr="006566DD">
              <w:rPr>
                <w:rFonts w:asciiTheme="minorHAnsi" w:hAnsiTheme="minorHAnsi"/>
                <w:b/>
                <w:bCs/>
                <w:color w:val="000000"/>
                <w:sz w:val="20"/>
                <w:szCs w:val="20"/>
              </w:rPr>
              <w:t>Soort</w:t>
            </w:r>
          </w:p>
        </w:tc>
        <w:tc>
          <w:tcPr>
            <w:tcW w:w="5386" w:type="dxa"/>
            <w:shd w:val="clear" w:color="auto" w:fill="auto"/>
            <w:textDirection w:val="btLr"/>
            <w:vAlign w:val="bottom"/>
            <w:hideMark/>
          </w:tcPr>
          <w:p w:rsidRPr="006566DD" w:rsidR="00B02DFB" w:rsidP="00132271" w:rsidRDefault="00B02DFB">
            <w:pPr>
              <w:rPr>
                <w:rFonts w:asciiTheme="minorHAnsi" w:hAnsiTheme="minorHAnsi"/>
                <w:b/>
                <w:bCs/>
                <w:color w:val="000000"/>
                <w:sz w:val="20"/>
                <w:szCs w:val="20"/>
              </w:rPr>
            </w:pPr>
            <w:r w:rsidRPr="006566DD">
              <w:rPr>
                <w:rFonts w:asciiTheme="minorHAnsi" w:hAnsiTheme="minorHAnsi"/>
                <w:b/>
                <w:bCs/>
                <w:color w:val="000000"/>
                <w:sz w:val="20"/>
                <w:szCs w:val="20"/>
              </w:rPr>
              <w:t>Titel</w:t>
            </w:r>
          </w:p>
        </w:tc>
        <w:tc>
          <w:tcPr>
            <w:tcW w:w="851" w:type="dxa"/>
            <w:shd w:val="clear" w:color="auto" w:fill="auto"/>
            <w:textDirection w:val="btLr"/>
            <w:vAlign w:val="bottom"/>
            <w:hideMark/>
          </w:tcPr>
          <w:p w:rsidRPr="006566DD" w:rsidR="00B02DFB" w:rsidP="00132271" w:rsidRDefault="00B02DFB">
            <w:pPr>
              <w:rPr>
                <w:rFonts w:asciiTheme="minorHAnsi" w:hAnsiTheme="minorHAnsi"/>
                <w:b/>
                <w:bCs/>
                <w:color w:val="000000"/>
                <w:sz w:val="20"/>
                <w:szCs w:val="20"/>
              </w:rPr>
            </w:pPr>
            <w:r w:rsidRPr="006566DD">
              <w:rPr>
                <w:rFonts w:asciiTheme="minorHAnsi" w:hAnsiTheme="minorHAnsi"/>
                <w:b/>
                <w:bCs/>
                <w:color w:val="000000"/>
                <w:sz w:val="20"/>
                <w:szCs w:val="20"/>
              </w:rPr>
              <w:t>COM-nummer</w:t>
            </w:r>
          </w:p>
        </w:tc>
        <w:tc>
          <w:tcPr>
            <w:tcW w:w="850" w:type="dxa"/>
            <w:textDirection w:val="btLr"/>
          </w:tcPr>
          <w:p w:rsidRPr="006566DD" w:rsidR="00B02DFB" w:rsidP="00132271" w:rsidRDefault="00B02DFB">
            <w:pPr>
              <w:rPr>
                <w:rFonts w:asciiTheme="minorHAnsi" w:hAnsiTheme="minorHAnsi"/>
                <w:b/>
                <w:bCs/>
                <w:color w:val="000000"/>
                <w:sz w:val="20"/>
                <w:szCs w:val="20"/>
              </w:rPr>
            </w:pPr>
          </w:p>
          <w:p w:rsidRPr="006566DD" w:rsidR="00B02DFB" w:rsidP="00132271" w:rsidRDefault="00B02DFB">
            <w:pPr>
              <w:rPr>
                <w:rFonts w:asciiTheme="minorHAnsi" w:hAnsiTheme="minorHAnsi"/>
                <w:b/>
                <w:bCs/>
                <w:color w:val="000000"/>
                <w:sz w:val="20"/>
                <w:szCs w:val="20"/>
              </w:rPr>
            </w:pPr>
            <w:r w:rsidRPr="006566DD">
              <w:rPr>
                <w:rFonts w:asciiTheme="minorHAnsi" w:hAnsiTheme="minorHAnsi"/>
                <w:b/>
                <w:bCs/>
                <w:color w:val="000000"/>
                <w:sz w:val="20"/>
                <w:szCs w:val="20"/>
              </w:rPr>
              <w:t>Deadline</w:t>
            </w:r>
          </w:p>
          <w:p w:rsidRPr="006566DD" w:rsidR="00B02DFB" w:rsidP="00132271" w:rsidRDefault="00B02DFB">
            <w:pPr>
              <w:rPr>
                <w:rFonts w:asciiTheme="minorHAnsi" w:hAnsiTheme="minorHAnsi"/>
                <w:b/>
                <w:bCs/>
                <w:color w:val="000000"/>
                <w:sz w:val="20"/>
                <w:szCs w:val="20"/>
              </w:rPr>
            </w:pPr>
            <w:proofErr w:type="spellStart"/>
            <w:r w:rsidRPr="006566DD">
              <w:rPr>
                <w:rFonts w:asciiTheme="minorHAnsi" w:hAnsiTheme="minorHAnsi"/>
                <w:b/>
                <w:bCs/>
                <w:color w:val="000000"/>
                <w:sz w:val="20"/>
                <w:szCs w:val="20"/>
              </w:rPr>
              <w:t>Sub.toets</w:t>
            </w:r>
            <w:proofErr w:type="spellEnd"/>
          </w:p>
        </w:tc>
        <w:tc>
          <w:tcPr>
            <w:tcW w:w="3686" w:type="dxa"/>
            <w:shd w:val="clear" w:color="auto" w:fill="auto"/>
            <w:textDirection w:val="btLr"/>
            <w:vAlign w:val="bottom"/>
            <w:hideMark/>
          </w:tcPr>
          <w:p w:rsidRPr="006566DD" w:rsidR="00B02DFB" w:rsidP="00132271" w:rsidRDefault="00B02DFB">
            <w:pPr>
              <w:rPr>
                <w:rFonts w:asciiTheme="minorHAnsi" w:hAnsiTheme="minorHAnsi"/>
                <w:b/>
                <w:bCs/>
                <w:color w:val="000000"/>
                <w:sz w:val="20"/>
                <w:szCs w:val="20"/>
              </w:rPr>
            </w:pPr>
            <w:r w:rsidRPr="006566DD">
              <w:rPr>
                <w:rFonts w:asciiTheme="minorHAnsi" w:hAnsiTheme="minorHAnsi"/>
                <w:b/>
                <w:bCs/>
                <w:color w:val="000000"/>
                <w:sz w:val="20"/>
                <w:szCs w:val="20"/>
              </w:rPr>
              <w:t>Opmerking</w:t>
            </w:r>
          </w:p>
        </w:tc>
      </w:tr>
      <w:tr w:rsidRPr="00C66316" w:rsidR="00B02DFB" w:rsidTr="0013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02DFB" w:rsidR="00B02DFB" w:rsidP="00B02DFB" w:rsidRDefault="00B02DFB">
            <w:pPr>
              <w:rPr>
                <w:rFonts w:asciiTheme="minorHAnsi" w:hAnsiTheme="minorHAnsi"/>
                <w:color w:val="000000"/>
                <w:sz w:val="20"/>
                <w:szCs w:val="20"/>
              </w:rPr>
            </w:pPr>
            <w:r w:rsidRPr="00B02DFB">
              <w:rPr>
                <w:rFonts w:asciiTheme="minorHAnsi" w:hAnsiTheme="minorHAnsi"/>
                <w:color w:val="000000"/>
                <w:sz w:val="20"/>
                <w:szCs w:val="20"/>
              </w:rPr>
              <w:t>18 juni 2019</w:t>
            </w:r>
          </w:p>
        </w:tc>
        <w:tc>
          <w:tcPr>
            <w:tcW w:w="709" w:type="dxa"/>
            <w:tcBorders>
              <w:top w:val="single" w:color="auto" w:sz="4" w:space="0"/>
              <w:left w:val="single" w:color="auto" w:sz="4" w:space="0"/>
              <w:bottom w:val="single" w:color="auto" w:sz="4" w:space="0"/>
              <w:right w:val="single" w:color="auto" w:sz="4" w:space="0"/>
            </w:tcBorders>
            <w:shd w:val="clear" w:color="auto" w:fill="FFFFFF" w:themeFill="background1"/>
          </w:tcPr>
          <w:p w:rsidRPr="00B02DFB" w:rsidR="00B02DFB" w:rsidP="00132271" w:rsidRDefault="00B02DFB">
            <w:pPr>
              <w:rPr>
                <w:rFonts w:asciiTheme="minorHAnsi" w:hAnsiTheme="minorHAnsi"/>
                <w:color w:val="000000"/>
                <w:sz w:val="20"/>
                <w:szCs w:val="20"/>
              </w:rPr>
            </w:pPr>
            <w:r w:rsidRPr="00B02DFB">
              <w:rPr>
                <w:rFonts w:asciiTheme="minorHAnsi" w:hAnsiTheme="minorHAnsi"/>
                <w:color w:val="000000"/>
                <w:sz w:val="20"/>
                <w:szCs w:val="20"/>
              </w:rPr>
              <w:t>EZK</w:t>
            </w:r>
          </w:p>
        </w:tc>
        <w:tc>
          <w:tcPr>
            <w:tcW w:w="1559" w:type="dxa"/>
            <w:tcBorders>
              <w:top w:val="single" w:color="auto" w:sz="4" w:space="0"/>
              <w:left w:val="nil"/>
              <w:bottom w:val="single" w:color="auto" w:sz="4" w:space="0"/>
              <w:right w:val="single" w:color="auto" w:sz="4" w:space="0"/>
            </w:tcBorders>
            <w:shd w:val="clear" w:color="auto" w:fill="FFFFFF" w:themeFill="background1"/>
            <w:noWrap/>
          </w:tcPr>
          <w:p w:rsidRPr="00B02DFB" w:rsidR="00B02DFB" w:rsidP="00132271" w:rsidRDefault="00B02DFB">
            <w:pPr>
              <w:rPr>
                <w:rFonts w:asciiTheme="minorHAnsi" w:hAnsiTheme="minorHAnsi"/>
                <w:color w:val="000000"/>
                <w:sz w:val="20"/>
                <w:szCs w:val="20"/>
              </w:rPr>
            </w:pPr>
            <w:r w:rsidRPr="00B02DFB">
              <w:rPr>
                <w:rFonts w:asciiTheme="minorHAnsi" w:hAnsiTheme="minorHAnsi"/>
                <w:color w:val="000000"/>
                <w:sz w:val="20"/>
                <w:szCs w:val="20"/>
              </w:rPr>
              <w:t xml:space="preserve">Mededeling </w:t>
            </w:r>
          </w:p>
        </w:tc>
        <w:tc>
          <w:tcPr>
            <w:tcW w:w="5386" w:type="dxa"/>
            <w:tcBorders>
              <w:top w:val="single" w:color="auto" w:sz="4" w:space="0"/>
              <w:left w:val="nil"/>
              <w:bottom w:val="single" w:color="auto" w:sz="4" w:space="0"/>
              <w:right w:val="nil"/>
            </w:tcBorders>
            <w:shd w:val="clear" w:color="auto" w:fill="FFFFFF" w:themeFill="background1"/>
            <w:noWrap/>
          </w:tcPr>
          <w:p w:rsidRPr="00B02DFB" w:rsidR="00B02DFB" w:rsidP="00B02DFB" w:rsidRDefault="00B02DFB">
            <w:pPr>
              <w:pStyle w:val="typedudocumentcp1"/>
              <w:shd w:val="clear" w:color="auto" w:fill="FFFFFF"/>
              <w:jc w:val="left"/>
              <w:rPr>
                <w:rFonts w:asciiTheme="minorHAnsi" w:hAnsiTheme="minorHAnsi"/>
                <w:b w:val="0"/>
                <w:color w:val="444444"/>
                <w:sz w:val="20"/>
                <w:szCs w:val="20"/>
                <w:lang w:val="en"/>
              </w:rPr>
            </w:pPr>
            <w:r w:rsidRPr="00B02DFB">
              <w:rPr>
                <w:rFonts w:asciiTheme="minorHAnsi" w:hAnsiTheme="minorHAnsi"/>
                <w:b w:val="0"/>
                <w:color w:val="444444"/>
                <w:sz w:val="20"/>
                <w:szCs w:val="20"/>
                <w:lang w:val="en"/>
              </w:rPr>
              <w:t>COMMUNICATION FROM THE COMMISSION TO THE EUROPEAN PARLIAMENT, THE COUNCIL, THE EUROPEAN ECONOMIC AND SOCIAL COMMITTEE AND THE COMMITTEE OF THE REGIONS</w:t>
            </w:r>
          </w:p>
          <w:p w:rsidRPr="00B02DFB" w:rsidR="00B02DFB" w:rsidP="00B02DFB" w:rsidRDefault="00B02DFB">
            <w:pPr>
              <w:pStyle w:val="titreobjetcp1"/>
              <w:shd w:val="clear" w:color="auto" w:fill="FFFFFF"/>
              <w:jc w:val="left"/>
              <w:rPr>
                <w:color w:val="444444"/>
                <w:sz w:val="20"/>
                <w:szCs w:val="20"/>
                <w:lang w:val="en"/>
              </w:rPr>
            </w:pPr>
            <w:r w:rsidRPr="00B02DFB">
              <w:rPr>
                <w:rFonts w:asciiTheme="minorHAnsi" w:hAnsiTheme="minorHAnsi"/>
                <w:b w:val="0"/>
                <w:color w:val="444444"/>
                <w:sz w:val="20"/>
                <w:szCs w:val="20"/>
                <w:lang w:val="en"/>
              </w:rPr>
              <w:t>United in delivering the Energy Union and Climate Action - Setting the foundations for a successful clean energy transition</w:t>
            </w:r>
          </w:p>
          <w:p w:rsidRPr="00B02DFB" w:rsidR="00B02DFB" w:rsidP="00132271" w:rsidRDefault="00B02DFB">
            <w:pPr>
              <w:rPr>
                <w:rFonts w:asciiTheme="minorHAnsi" w:hAnsiTheme="minorHAnsi"/>
                <w:color w:val="000000"/>
                <w:sz w:val="20"/>
                <w:szCs w:val="20"/>
                <w:lang w:val="en"/>
              </w:rPr>
            </w:pPr>
          </w:p>
        </w:tc>
        <w:tc>
          <w:tcPr>
            <w:tcW w:w="851"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B02DFB" w:rsidR="00B02DFB" w:rsidP="00132271" w:rsidRDefault="002B415B">
            <w:pPr>
              <w:rPr>
                <w:rFonts w:asciiTheme="minorHAnsi" w:hAnsiTheme="minorHAnsi"/>
                <w:sz w:val="20"/>
                <w:szCs w:val="20"/>
              </w:rPr>
            </w:pPr>
            <w:hyperlink w:history="1" r:id="rId8">
              <w:r w:rsidRPr="00B02DFB" w:rsidR="00B02DFB">
                <w:rPr>
                  <w:rStyle w:val="Hyperlink"/>
                  <w:rFonts w:ascii="Calibri" w:hAnsi="Calibri"/>
                  <w:sz w:val="20"/>
                  <w:szCs w:val="20"/>
                </w:rPr>
                <w:t>COM (2019) 285</w:t>
              </w:r>
            </w:hyperlink>
          </w:p>
        </w:tc>
        <w:tc>
          <w:tcPr>
            <w:tcW w:w="850" w:type="dxa"/>
            <w:tcBorders>
              <w:top w:val="single" w:color="auto" w:sz="4" w:space="0"/>
              <w:left w:val="nil"/>
              <w:bottom w:val="single" w:color="auto" w:sz="4" w:space="0"/>
              <w:right w:val="single" w:color="auto" w:sz="4" w:space="0"/>
            </w:tcBorders>
            <w:shd w:val="clear" w:color="auto" w:fill="FFFFFF" w:themeFill="background1"/>
            <w:noWrap/>
          </w:tcPr>
          <w:p w:rsidRPr="00FF3D24" w:rsidR="00B02DFB" w:rsidP="00132271" w:rsidRDefault="00B02DFB">
            <w:pPr>
              <w:rPr>
                <w:rFonts w:cs="Arial" w:asciiTheme="minorHAnsi" w:hAnsiTheme="minorHAnsi"/>
                <w:sz w:val="20"/>
                <w:szCs w:val="20"/>
              </w:rPr>
            </w:pPr>
            <w:r w:rsidRPr="00FF3D24">
              <w:rPr>
                <w:rFonts w:cs="Arial" w:asciiTheme="minorHAnsi" w:hAnsiTheme="minorHAnsi"/>
                <w:sz w:val="20"/>
                <w:szCs w:val="20"/>
              </w:rPr>
              <w:t xml:space="preserve">N.v.t. </w:t>
            </w:r>
          </w:p>
        </w:tc>
        <w:tc>
          <w:tcPr>
            <w:tcW w:w="3686" w:type="dxa"/>
            <w:tcBorders>
              <w:top w:val="single" w:color="auto" w:sz="4" w:space="0"/>
              <w:left w:val="nil"/>
              <w:bottom w:val="single" w:color="auto" w:sz="4" w:space="0"/>
              <w:right w:val="single" w:color="auto" w:sz="4" w:space="0"/>
            </w:tcBorders>
            <w:shd w:val="clear" w:color="auto" w:fill="FFFFFF" w:themeFill="background1"/>
          </w:tcPr>
          <w:p w:rsidR="00FE1D9A" w:rsidP="00132271" w:rsidRDefault="00B02DFB">
            <w:pPr>
              <w:rPr>
                <w:rFonts w:asciiTheme="minorHAnsi" w:hAnsiTheme="minorHAnsi"/>
                <w:color w:val="000000"/>
                <w:sz w:val="20"/>
                <w:szCs w:val="20"/>
              </w:rPr>
            </w:pPr>
            <w:r w:rsidRPr="00FF3D24">
              <w:rPr>
                <w:rFonts w:asciiTheme="minorHAnsi" w:hAnsiTheme="minorHAnsi"/>
                <w:color w:val="000000"/>
                <w:sz w:val="20"/>
                <w:szCs w:val="20"/>
                <w:u w:val="single"/>
              </w:rPr>
              <w:t>Behandeladvies:</w:t>
            </w:r>
            <w:r w:rsidRPr="003D1714">
              <w:rPr>
                <w:rFonts w:asciiTheme="minorHAnsi" w:hAnsiTheme="minorHAnsi"/>
                <w:color w:val="000000"/>
                <w:sz w:val="20"/>
                <w:szCs w:val="20"/>
              </w:rPr>
              <w:t xml:space="preserve"> </w:t>
            </w:r>
          </w:p>
          <w:p w:rsidRPr="00FE1D9A" w:rsidR="00FE1D9A" w:rsidP="00FE1D9A" w:rsidRDefault="00FE1D9A">
            <w:pPr>
              <w:rPr>
                <w:rFonts w:asciiTheme="minorHAnsi" w:hAnsiTheme="minorHAnsi"/>
                <w:color w:val="000000"/>
                <w:sz w:val="20"/>
                <w:szCs w:val="20"/>
              </w:rPr>
            </w:pPr>
            <w:r w:rsidRPr="00FE1D9A">
              <w:rPr>
                <w:rFonts w:asciiTheme="minorHAnsi" w:hAnsiTheme="minorHAnsi"/>
                <w:color w:val="000000"/>
                <w:sz w:val="20"/>
                <w:szCs w:val="20"/>
              </w:rPr>
              <w:t xml:space="preserve">Vragen om een kabinetsreactie. </w:t>
            </w:r>
          </w:p>
          <w:p w:rsidRPr="00FE1D9A" w:rsidR="00B02DFB" w:rsidP="00FE1D9A" w:rsidRDefault="00FE1D9A">
            <w:pPr>
              <w:rPr>
                <w:rFonts w:asciiTheme="minorHAnsi" w:hAnsiTheme="minorHAnsi"/>
                <w:color w:val="000000"/>
                <w:sz w:val="20"/>
                <w:szCs w:val="20"/>
              </w:rPr>
            </w:pPr>
            <w:r w:rsidRPr="00FE1D9A">
              <w:rPr>
                <w:rFonts w:asciiTheme="minorHAnsi" w:hAnsiTheme="minorHAnsi"/>
                <w:color w:val="000000"/>
                <w:sz w:val="20"/>
                <w:szCs w:val="20"/>
              </w:rPr>
              <w:t>B</w:t>
            </w:r>
            <w:r w:rsidRPr="00FE1D9A" w:rsidR="00B02DFB">
              <w:rPr>
                <w:rFonts w:asciiTheme="minorHAnsi" w:hAnsiTheme="minorHAnsi"/>
                <w:color w:val="000000"/>
                <w:sz w:val="20"/>
                <w:szCs w:val="20"/>
              </w:rPr>
              <w:t xml:space="preserve">etrekken bij AO van 11 september 2019 over de formele Energieraad d.d. 24 september </w:t>
            </w:r>
            <w:proofErr w:type="gramStart"/>
            <w:r w:rsidRPr="00FE1D9A" w:rsidR="00B02DFB">
              <w:rPr>
                <w:rFonts w:asciiTheme="minorHAnsi" w:hAnsiTheme="minorHAnsi"/>
                <w:color w:val="000000"/>
                <w:sz w:val="20"/>
                <w:szCs w:val="20"/>
              </w:rPr>
              <w:t xml:space="preserve">2019.   </w:t>
            </w:r>
            <w:proofErr w:type="gramEnd"/>
          </w:p>
          <w:p w:rsidRPr="00FF3D24" w:rsidR="00B02DFB" w:rsidP="000522DF" w:rsidRDefault="00B02DFB">
            <w:pPr>
              <w:rPr>
                <w:rFonts w:asciiTheme="minorHAnsi" w:hAnsiTheme="minorHAnsi"/>
                <w:sz w:val="20"/>
                <w:szCs w:val="20"/>
              </w:rPr>
            </w:pPr>
            <w:r w:rsidRPr="00FF3D24">
              <w:rPr>
                <w:rFonts w:asciiTheme="minorHAnsi" w:hAnsiTheme="minorHAnsi"/>
                <w:color w:val="000000"/>
                <w:sz w:val="20"/>
                <w:szCs w:val="20"/>
                <w:u w:val="single"/>
              </w:rPr>
              <w:t>Noot:</w:t>
            </w:r>
            <w:r w:rsidRPr="00FF3D24">
              <w:rPr>
                <w:rFonts w:asciiTheme="minorHAnsi" w:hAnsiTheme="minorHAnsi"/>
                <w:color w:val="000000"/>
                <w:sz w:val="20"/>
                <w:szCs w:val="20"/>
              </w:rPr>
              <w:t xml:space="preserve"> </w:t>
            </w:r>
            <w:r w:rsidR="006C06DC">
              <w:rPr>
                <w:rFonts w:asciiTheme="minorHAnsi" w:hAnsiTheme="minorHAnsi"/>
                <w:color w:val="000000"/>
                <w:sz w:val="20"/>
                <w:szCs w:val="20"/>
              </w:rPr>
              <w:t xml:space="preserve">De mededeling van de Commissie vormt een evaluatie van de </w:t>
            </w:r>
            <w:r w:rsidR="000522DF">
              <w:rPr>
                <w:rFonts w:asciiTheme="minorHAnsi" w:hAnsiTheme="minorHAnsi"/>
                <w:color w:val="000000"/>
                <w:sz w:val="20"/>
                <w:szCs w:val="20"/>
              </w:rPr>
              <w:t xml:space="preserve">concept </w:t>
            </w:r>
            <w:r w:rsidR="006C06DC">
              <w:rPr>
                <w:rFonts w:asciiTheme="minorHAnsi" w:hAnsiTheme="minorHAnsi"/>
                <w:color w:val="000000"/>
                <w:sz w:val="20"/>
                <w:szCs w:val="20"/>
              </w:rPr>
              <w:t>geïntegreerde nationale energie- en klimaatplannen</w:t>
            </w:r>
            <w:r w:rsidR="000522DF">
              <w:rPr>
                <w:rFonts w:asciiTheme="minorHAnsi" w:hAnsiTheme="minorHAnsi"/>
                <w:color w:val="000000"/>
                <w:sz w:val="20"/>
                <w:szCs w:val="20"/>
              </w:rPr>
              <w:t xml:space="preserve"> (</w:t>
            </w:r>
            <w:proofErr w:type="spellStart"/>
            <w:r w:rsidR="000522DF">
              <w:rPr>
                <w:rFonts w:asciiTheme="minorHAnsi" w:hAnsiTheme="minorHAnsi"/>
                <w:color w:val="000000"/>
                <w:sz w:val="20"/>
                <w:szCs w:val="20"/>
              </w:rPr>
              <w:t>INEK’s</w:t>
            </w:r>
            <w:proofErr w:type="spellEnd"/>
            <w:r w:rsidR="000522DF">
              <w:rPr>
                <w:rFonts w:asciiTheme="minorHAnsi" w:hAnsiTheme="minorHAnsi"/>
                <w:color w:val="000000"/>
                <w:sz w:val="20"/>
                <w:szCs w:val="20"/>
              </w:rPr>
              <w:t>)</w:t>
            </w:r>
            <w:r w:rsidR="006C06DC">
              <w:rPr>
                <w:rFonts w:asciiTheme="minorHAnsi" w:hAnsiTheme="minorHAnsi"/>
                <w:color w:val="000000"/>
                <w:sz w:val="20"/>
                <w:szCs w:val="20"/>
              </w:rPr>
              <w:t xml:space="preserve"> en help</w:t>
            </w:r>
            <w:r w:rsidR="000522DF">
              <w:rPr>
                <w:rFonts w:asciiTheme="minorHAnsi" w:hAnsiTheme="minorHAnsi"/>
                <w:color w:val="000000"/>
                <w:sz w:val="20"/>
                <w:szCs w:val="20"/>
              </w:rPr>
              <w:t>t</w:t>
            </w:r>
            <w:r w:rsidR="006C06DC">
              <w:rPr>
                <w:rFonts w:asciiTheme="minorHAnsi" w:hAnsiTheme="minorHAnsi"/>
                <w:color w:val="000000"/>
                <w:sz w:val="20"/>
                <w:szCs w:val="20"/>
              </w:rPr>
              <w:t xml:space="preserve"> de lidstaten om d</w:t>
            </w:r>
            <w:r w:rsidR="000522DF">
              <w:rPr>
                <w:rFonts w:asciiTheme="minorHAnsi" w:hAnsiTheme="minorHAnsi"/>
                <w:color w:val="000000"/>
                <w:sz w:val="20"/>
                <w:szCs w:val="20"/>
              </w:rPr>
              <w:t xml:space="preserve">e definitieve plannen uiterlijk eind 2019 bij de Commissie in te dienen. </w:t>
            </w:r>
            <w:r w:rsidR="00FE1D9A">
              <w:rPr>
                <w:rFonts w:asciiTheme="minorHAnsi" w:hAnsiTheme="minorHAnsi"/>
                <w:color w:val="000000"/>
                <w:sz w:val="20"/>
                <w:szCs w:val="20"/>
              </w:rPr>
              <w:t xml:space="preserve">Het doel is de juiste planningsinstrumenten vast te stellen die de lidstaten ondersteunen en de EU als geheel in staat stellen de doelstellingen van de energie-unie in alle vijf dimensies te halen, met de energie- en klimaatdoelstellingen voor 2030. </w:t>
            </w:r>
            <w:r w:rsidR="006C06DC">
              <w:rPr>
                <w:rFonts w:asciiTheme="minorHAnsi" w:hAnsiTheme="minorHAnsi"/>
                <w:color w:val="000000"/>
                <w:sz w:val="20"/>
                <w:szCs w:val="20"/>
              </w:rPr>
              <w:t>In haar mededeling (en aanbevelingen) vraa</w:t>
            </w:r>
            <w:r w:rsidR="000522DF">
              <w:rPr>
                <w:rFonts w:asciiTheme="minorHAnsi" w:hAnsiTheme="minorHAnsi"/>
                <w:color w:val="000000"/>
                <w:sz w:val="20"/>
                <w:szCs w:val="20"/>
              </w:rPr>
              <w:t xml:space="preserve">gt de EC aan de lidstaten om de concept </w:t>
            </w:r>
            <w:r w:rsidR="006C06DC">
              <w:rPr>
                <w:rFonts w:asciiTheme="minorHAnsi" w:hAnsiTheme="minorHAnsi"/>
                <w:color w:val="000000"/>
                <w:sz w:val="20"/>
                <w:szCs w:val="20"/>
              </w:rPr>
              <w:t>nationale plannen in meerdere opzichten te verbeteren, onder meer op het gebied van</w:t>
            </w:r>
            <w:r w:rsidR="00FE1D9A">
              <w:rPr>
                <w:rFonts w:asciiTheme="minorHAnsi" w:hAnsiTheme="minorHAnsi"/>
                <w:color w:val="000000"/>
                <w:sz w:val="20"/>
                <w:szCs w:val="20"/>
              </w:rPr>
              <w:t xml:space="preserve"> energie efficiëntie en het aandeel hernieuwbare energie, en nadere toelichting hoe de lidstaten hun nationale doelstellingen en bijdragen zullen </w:t>
            </w:r>
            <w:proofErr w:type="gramStart"/>
            <w:r w:rsidR="00FE1D9A">
              <w:rPr>
                <w:rFonts w:asciiTheme="minorHAnsi" w:hAnsiTheme="minorHAnsi"/>
                <w:color w:val="000000"/>
                <w:sz w:val="20"/>
                <w:szCs w:val="20"/>
              </w:rPr>
              <w:t xml:space="preserve">halen. </w:t>
            </w:r>
            <w:r w:rsidR="006C06DC">
              <w:rPr>
                <w:rFonts w:asciiTheme="minorHAnsi" w:hAnsiTheme="minorHAnsi"/>
                <w:color w:val="000000"/>
                <w:sz w:val="20"/>
                <w:szCs w:val="20"/>
              </w:rPr>
              <w:t xml:space="preserve"> </w:t>
            </w:r>
            <w:proofErr w:type="gramEnd"/>
          </w:p>
        </w:tc>
      </w:tr>
    </w:tbl>
    <w:p w:rsidR="00B02DFB" w:rsidP="00B02DFB" w:rsidRDefault="00B02DFB">
      <w:pPr>
        <w:rPr>
          <w:rFonts w:asciiTheme="minorHAnsi" w:hAnsiTheme="minorHAnsi"/>
          <w:sz w:val="20"/>
          <w:szCs w:val="20"/>
        </w:rPr>
      </w:pPr>
    </w:p>
    <w:p w:rsidR="00B02DFB" w:rsidP="00B02DFB" w:rsidRDefault="00B02DFB">
      <w:pPr>
        <w:rPr>
          <w:rFonts w:asciiTheme="minorHAnsi" w:hAnsiTheme="minorHAnsi"/>
          <w:sz w:val="20"/>
          <w:szCs w:val="20"/>
        </w:rPr>
      </w:pPr>
    </w:p>
    <w:p w:rsidR="00B02DFB" w:rsidP="00B02DFB" w:rsidRDefault="00B02DFB">
      <w:pPr>
        <w:autoSpaceDE w:val="0"/>
        <w:autoSpaceDN w:val="0"/>
        <w:adjustRightInd w:val="0"/>
        <w:rPr>
          <w:rFonts w:asciiTheme="minorHAnsi" w:hAnsiTheme="minorHAnsi"/>
          <w:sz w:val="20"/>
          <w:szCs w:val="20"/>
        </w:rPr>
      </w:pPr>
    </w:p>
    <w:p w:rsidRPr="00DB45B6" w:rsidR="00B02DFB" w:rsidP="00B02DFB" w:rsidRDefault="00B02DFB">
      <w:pPr>
        <w:autoSpaceDE w:val="0"/>
        <w:autoSpaceDN w:val="0"/>
        <w:adjustRightInd w:val="0"/>
        <w:rPr>
          <w:rFonts w:asciiTheme="minorHAnsi" w:hAnsiTheme="minorHAnsi"/>
          <w:sz w:val="20"/>
          <w:szCs w:val="20"/>
        </w:rPr>
      </w:pPr>
      <w:proofErr w:type="gramStart"/>
      <w:r w:rsidRPr="00DB45B6">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00B02DFB" w:rsidP="00B02DFB" w:rsidRDefault="00B02DFB">
      <w:pPr>
        <w:rPr>
          <w:rFonts w:asciiTheme="minorHAnsi" w:hAnsiTheme="minorHAnsi"/>
          <w:sz w:val="20"/>
          <w:szCs w:val="20"/>
        </w:rPr>
      </w:pPr>
      <w:r w:rsidRPr="00DB45B6">
        <w:rPr>
          <w:rFonts w:asciiTheme="minorHAnsi" w:hAnsiTheme="minorHAnsi"/>
          <w:sz w:val="20"/>
          <w:szCs w:val="20"/>
        </w:rPr>
        <w:t xml:space="preserve">Indien de Europese Commissie een als </w:t>
      </w:r>
      <w:proofErr w:type="gramStart"/>
      <w:r w:rsidRPr="00DB45B6">
        <w:rPr>
          <w:rFonts w:asciiTheme="minorHAnsi" w:hAnsiTheme="minorHAnsi"/>
          <w:sz w:val="20"/>
          <w:szCs w:val="20"/>
        </w:rPr>
        <w:t>prioritair</w:t>
      </w:r>
      <w:proofErr w:type="gramEnd"/>
      <w:r w:rsidRPr="00DB45B6">
        <w:rPr>
          <w:rFonts w:asciiTheme="minorHAnsi" w:hAnsiTheme="minorHAnsi"/>
          <w:sz w:val="20"/>
          <w:szCs w:val="20"/>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00B02DFB" w:rsidP="00B02DFB" w:rsidRDefault="00B02DFB">
      <w:pPr>
        <w:rPr>
          <w:rFonts w:asciiTheme="minorHAnsi" w:hAnsiTheme="minorHAnsi"/>
          <w:sz w:val="20"/>
          <w:szCs w:val="20"/>
        </w:rPr>
      </w:pPr>
    </w:p>
    <w:tbl>
      <w:tblPr>
        <w:tblStyle w:val="Tabelraster"/>
        <w:tblW w:w="14142" w:type="dxa"/>
        <w:tblLayout w:type="fixed"/>
        <w:tblLook w:val="04A0" w:firstRow="1" w:lastRow="0" w:firstColumn="1" w:lastColumn="0" w:noHBand="0" w:noVBand="1"/>
      </w:tblPr>
      <w:tblGrid>
        <w:gridCol w:w="2093"/>
        <w:gridCol w:w="6946"/>
        <w:gridCol w:w="5103"/>
      </w:tblGrid>
      <w:tr w:rsidRPr="00DB45B6" w:rsidR="00B02DFB" w:rsidTr="00132271">
        <w:tc>
          <w:tcPr>
            <w:tcW w:w="2093" w:type="dxa"/>
          </w:tcPr>
          <w:p w:rsidRPr="00DB45B6" w:rsidR="00B02DFB" w:rsidP="00132271" w:rsidRDefault="00B02DFB">
            <w:pPr>
              <w:rPr>
                <w:rFonts w:asciiTheme="minorHAnsi" w:hAnsiTheme="minorHAnsi"/>
                <w:b/>
                <w:sz w:val="20"/>
                <w:szCs w:val="20"/>
              </w:rPr>
            </w:pPr>
            <w:r w:rsidRPr="00DB45B6">
              <w:rPr>
                <w:rFonts w:asciiTheme="minorHAnsi" w:hAnsiTheme="minorHAnsi"/>
                <w:b/>
                <w:sz w:val="20"/>
                <w:szCs w:val="20"/>
              </w:rPr>
              <w:t>Soort Instrument</w:t>
            </w:r>
          </w:p>
        </w:tc>
        <w:tc>
          <w:tcPr>
            <w:tcW w:w="6946" w:type="dxa"/>
          </w:tcPr>
          <w:p w:rsidRPr="00DB45B6" w:rsidR="00B02DFB" w:rsidP="00132271" w:rsidRDefault="00B02DFB">
            <w:pPr>
              <w:rPr>
                <w:rFonts w:asciiTheme="minorHAnsi" w:hAnsiTheme="minorHAnsi"/>
                <w:b/>
                <w:sz w:val="20"/>
                <w:szCs w:val="20"/>
              </w:rPr>
            </w:pPr>
            <w:r w:rsidRPr="00DB45B6">
              <w:rPr>
                <w:rFonts w:asciiTheme="minorHAnsi" w:hAnsiTheme="minorHAnsi"/>
                <w:b/>
                <w:sz w:val="20"/>
                <w:szCs w:val="20"/>
              </w:rPr>
              <w:t>Toelichting</w:t>
            </w:r>
          </w:p>
        </w:tc>
        <w:tc>
          <w:tcPr>
            <w:tcW w:w="5103" w:type="dxa"/>
          </w:tcPr>
          <w:p w:rsidRPr="00DB45B6" w:rsidR="00B02DFB" w:rsidP="00132271" w:rsidRDefault="00B02DFB">
            <w:pPr>
              <w:rPr>
                <w:rFonts w:asciiTheme="minorHAnsi" w:hAnsiTheme="minorHAnsi"/>
                <w:b/>
                <w:sz w:val="20"/>
                <w:szCs w:val="20"/>
              </w:rPr>
            </w:pPr>
            <w:r w:rsidRPr="00DB45B6">
              <w:rPr>
                <w:rFonts w:asciiTheme="minorHAnsi" w:hAnsiTheme="minorHAnsi"/>
                <w:b/>
                <w:sz w:val="20"/>
                <w:szCs w:val="20"/>
              </w:rPr>
              <w:t xml:space="preserve">Mogelijke beïnvloedingsmomenten </w:t>
            </w:r>
          </w:p>
        </w:tc>
      </w:tr>
      <w:tr w:rsidRPr="00DB45B6" w:rsidR="00B02DFB" w:rsidTr="00132271">
        <w:tc>
          <w:tcPr>
            <w:tcW w:w="14142" w:type="dxa"/>
            <w:gridSpan w:val="3"/>
          </w:tcPr>
          <w:p w:rsidRPr="00DB45B6" w:rsidR="00B02DFB" w:rsidP="00132271" w:rsidRDefault="00B02DFB">
            <w:pPr>
              <w:rPr>
                <w:rFonts w:asciiTheme="minorHAnsi" w:hAnsiTheme="minorHAnsi"/>
                <w:i/>
                <w:sz w:val="20"/>
                <w:szCs w:val="20"/>
              </w:rPr>
            </w:pPr>
          </w:p>
          <w:p w:rsidRPr="00DB45B6" w:rsidR="00B02DFB" w:rsidP="00132271" w:rsidRDefault="00B02DFB">
            <w:pPr>
              <w:rPr>
                <w:rFonts w:asciiTheme="minorHAnsi" w:hAnsiTheme="minorHAnsi"/>
                <w:i/>
                <w:sz w:val="20"/>
                <w:szCs w:val="20"/>
              </w:rPr>
            </w:pPr>
            <w:r w:rsidRPr="00DB45B6">
              <w:rPr>
                <w:rFonts w:asciiTheme="minorHAnsi" w:hAnsiTheme="minorHAnsi"/>
                <w:i/>
                <w:sz w:val="20"/>
                <w:szCs w:val="20"/>
              </w:rPr>
              <w:t>Wetgevende, bindende rechtshandelingen</w:t>
            </w:r>
            <w:r w:rsidRPr="00DB45B6">
              <w:rPr>
                <w:rFonts w:asciiTheme="minorHAnsi" w:hAnsiTheme="minorHAnsi"/>
                <w:i/>
                <w:sz w:val="20"/>
                <w:szCs w:val="20"/>
                <w:vertAlign w:val="superscript"/>
              </w:rPr>
              <w:footnoteReference w:id="1"/>
            </w:r>
            <w:r w:rsidRPr="00DB45B6">
              <w:rPr>
                <w:rFonts w:asciiTheme="minorHAnsi" w:hAnsiTheme="minorHAnsi"/>
                <w:i/>
                <w:sz w:val="20"/>
                <w:szCs w:val="20"/>
              </w:rPr>
              <w:t xml:space="preserve"> </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Verordening</w:t>
            </w:r>
          </w:p>
        </w:tc>
        <w:tc>
          <w:tcPr>
            <w:tcW w:w="6946"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ambtenaren of Commissaris Europese Commissie (de ‘auteurs’) uitnodigen voor briefing/gesprek, evt. via videoconferentie.</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 xml:space="preserve">subsidiariteitstoets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 xml:space="preserve">behandelvoorbehoud </w:t>
            </w:r>
            <w:proofErr w:type="gramStart"/>
            <w:r w:rsidRPr="00DB45B6">
              <w:rPr>
                <w:rFonts w:asciiTheme="minorHAnsi" w:hAnsiTheme="minorHAnsi"/>
                <w:sz w:val="20"/>
                <w:szCs w:val="20"/>
              </w:rPr>
              <w:t>overwegen</w:t>
            </w:r>
            <w:proofErr w:type="gramEnd"/>
            <w:r w:rsidRPr="00DB45B6">
              <w:rPr>
                <w:rFonts w:asciiTheme="minorHAnsi" w:hAnsiTheme="minorHAnsi"/>
                <w:sz w:val="20"/>
                <w:szCs w:val="20"/>
              </w:rPr>
              <w:t>: let op termijn (zie hieronder).</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ad-hoc rapporteur(s) binnen de commissie(s) benoemen.</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tijdens overleg met kabinet NL onderhandelingsinzet aan de orde stellen, evt. aan de hand van het “BNC-fiche”.</w:t>
            </w:r>
            <w:r w:rsidRPr="00DB45B6">
              <w:rPr>
                <w:rFonts w:asciiTheme="minorHAnsi" w:hAnsiTheme="minorHAnsi"/>
                <w:sz w:val="20"/>
                <w:szCs w:val="20"/>
                <w:vertAlign w:val="superscript"/>
              </w:rPr>
              <w:footnoteReference w:id="2"/>
            </w:r>
            <w:r w:rsidRPr="00DB45B6">
              <w:rPr>
                <w:rFonts w:asciiTheme="minorHAnsi" w:hAnsiTheme="minorHAnsi"/>
                <w:sz w:val="20"/>
                <w:szCs w:val="20"/>
              </w:rPr>
              <w:t xml:space="preserve"> </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EP-rapporteur uitnodigen, evt. via videoconferentie.</w:t>
            </w:r>
            <w:r w:rsidRPr="00DB45B6">
              <w:rPr>
                <w:rFonts w:asciiTheme="minorHAnsi" w:hAnsiTheme="minorHAnsi"/>
                <w:sz w:val="20"/>
                <w:szCs w:val="20"/>
              </w:rPr>
              <w:br/>
            </w:r>
            <w:r w:rsidRPr="00DB45B6">
              <w:rPr>
                <w:rFonts w:asciiTheme="minorHAnsi" w:hAnsiTheme="minorHAnsi"/>
                <w:sz w:val="20"/>
                <w:szCs w:val="20"/>
              </w:rPr>
              <w:br/>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NB: Pas na afronding van het onderhandelingstraject: nationale wetgevingstraject monitoren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naar nationale wetgeving).</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Richtlijn </w:t>
            </w:r>
          </w:p>
        </w:tc>
        <w:tc>
          <w:tcPr>
            <w:tcW w:w="6946"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DB45B6" w:rsidR="00B02DFB" w:rsidP="00132271" w:rsidRDefault="00B02DFB">
            <w:pPr>
              <w:numPr>
                <w:ilvl w:val="0"/>
                <w:numId w:val="2"/>
              </w:numPr>
              <w:ind w:left="317" w:hanging="283"/>
              <w:rPr>
                <w:rFonts w:asciiTheme="minorHAnsi" w:hAnsiTheme="minorHAnsi"/>
                <w:sz w:val="20"/>
                <w:szCs w:val="20"/>
              </w:rPr>
            </w:pP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(Besluit)</w:t>
            </w:r>
          </w:p>
        </w:tc>
        <w:tc>
          <w:tcPr>
            <w:tcW w:w="6946"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Een besluit is verbindend in al zijn onderdelen. Indien de adressanten worden vermeld, is zij alleen voor hen verbindend. Met besluiten kunnen algemeen </w:t>
            </w:r>
            <w:r w:rsidRPr="00DB45B6">
              <w:rPr>
                <w:rFonts w:asciiTheme="minorHAnsi" w:hAnsiTheme="minorHAnsi"/>
                <w:sz w:val="20"/>
                <w:szCs w:val="20"/>
              </w:rPr>
              <w:lastRenderedPageBreak/>
              <w:t xml:space="preserve">verbindende voorschriften worden toegepast op een concreet geval. Daarnaast kunnen besluiten ook algemeen verbindende voorschriften bevatten. In dat laatste geval is sprake van een wetgevende handeling, in dat eerste geval niet. </w:t>
            </w:r>
            <w:r w:rsidRPr="00DB45B6">
              <w:rPr>
                <w:rFonts w:asciiTheme="minorHAnsi" w:hAnsiTheme="minorHAnsi"/>
                <w:sz w:val="20"/>
                <w:szCs w:val="20"/>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DB45B6">
              <w:rPr>
                <w:rFonts w:asciiTheme="minorHAnsi" w:hAnsiTheme="minorHAnsi"/>
                <w:sz w:val="20"/>
                <w:szCs w:val="20"/>
              </w:rPr>
              <w:t>staatssteun</w:t>
            </w:r>
            <w:proofErr w:type="gramEnd"/>
            <w:r w:rsidRPr="00DB45B6">
              <w:rPr>
                <w:rFonts w:asciiTheme="minorHAnsi" w:hAnsiTheme="minorHAnsi"/>
                <w:sz w:val="20"/>
                <w:szCs w:val="20"/>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DB45B6" w:rsidR="00B02DFB" w:rsidP="00132271" w:rsidRDefault="00B02DFB">
            <w:pPr>
              <w:numPr>
                <w:ilvl w:val="0"/>
                <w:numId w:val="2"/>
              </w:numPr>
              <w:ind w:left="317" w:hanging="283"/>
              <w:rPr>
                <w:rFonts w:asciiTheme="minorHAnsi" w:hAnsiTheme="minorHAnsi"/>
                <w:sz w:val="20"/>
                <w:szCs w:val="20"/>
              </w:rPr>
            </w:pPr>
          </w:p>
        </w:tc>
      </w:tr>
      <w:tr w:rsidRPr="00DB45B6" w:rsidR="00B02DFB" w:rsidTr="00132271">
        <w:tc>
          <w:tcPr>
            <w:tcW w:w="14142" w:type="dxa"/>
            <w:gridSpan w:val="3"/>
          </w:tcPr>
          <w:p w:rsidRPr="00DB45B6" w:rsidR="00B02DFB" w:rsidP="00132271" w:rsidRDefault="00B02DFB">
            <w:pPr>
              <w:rPr>
                <w:rFonts w:asciiTheme="minorHAnsi" w:hAnsiTheme="minorHAnsi"/>
                <w:i/>
                <w:sz w:val="20"/>
                <w:szCs w:val="20"/>
              </w:rPr>
            </w:pPr>
            <w:r w:rsidRPr="00DB45B6">
              <w:rPr>
                <w:rFonts w:asciiTheme="minorHAnsi" w:hAnsiTheme="minorHAnsi"/>
                <w:i/>
                <w:sz w:val="20"/>
                <w:szCs w:val="20"/>
              </w:rPr>
              <w:lastRenderedPageBreak/>
              <w:t>Niet-wetgevende bindende rechtshandelingen</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Gedelegeerde handeling</w:t>
            </w:r>
          </w:p>
        </w:tc>
        <w:tc>
          <w:tcPr>
            <w:tcW w:w="6946"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DB45B6">
              <w:rPr>
                <w:rFonts w:asciiTheme="minorHAnsi" w:hAnsiTheme="minorHAnsi"/>
                <w:sz w:val="20"/>
                <w:szCs w:val="20"/>
              </w:rPr>
              <w:t>derhalve</w:t>
            </w:r>
            <w:proofErr w:type="gramEnd"/>
            <w:r w:rsidRPr="00DB45B6">
              <w:rPr>
                <w:rFonts w:asciiTheme="minorHAnsi" w:hAnsiTheme="minorHAnsi"/>
                <w:sz w:val="20"/>
                <w:szCs w:val="20"/>
              </w:rPr>
              <w:t xml:space="preser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 inclusief het voornemen van NL of andere lidstaten om binnen de Raad een bezwaarprocedure te initiëren of een procedure tot intrekking van de delegatie.</w:t>
            </w:r>
          </w:p>
          <w:p w:rsidRPr="00DB45B6" w:rsidR="00B02DFB" w:rsidP="00132271" w:rsidRDefault="00B02DFB">
            <w:pPr>
              <w:ind w:left="360"/>
              <w:rPr>
                <w:rFonts w:asciiTheme="minorHAnsi" w:hAnsiTheme="minorHAnsi"/>
                <w:sz w:val="20"/>
                <w:szCs w:val="20"/>
              </w:rPr>
            </w:pP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Uitvoeringshandeling</w:t>
            </w:r>
          </w:p>
        </w:tc>
        <w:tc>
          <w:tcPr>
            <w:tcW w:w="6946"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Indien de </w:t>
            </w:r>
            <w:proofErr w:type="gramStart"/>
            <w:r w:rsidRPr="00DB45B6">
              <w:rPr>
                <w:rFonts w:asciiTheme="minorHAnsi" w:hAnsiTheme="minorHAnsi"/>
                <w:sz w:val="20"/>
                <w:szCs w:val="20"/>
              </w:rPr>
              <w:t>implementatie</w:t>
            </w:r>
            <w:proofErr w:type="gramEnd"/>
            <w:r w:rsidRPr="00DB45B6">
              <w:rPr>
                <w:rFonts w:asciiTheme="minorHAnsi" w:hAnsiTheme="minorHAnsi"/>
                <w:sz w:val="20"/>
                <w:szCs w:val="20"/>
              </w:rPr>
              <w:t xml:space="preserv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 xml:space="preserve">kabinet per brief of tijdens algemeen overleg/debat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van zaken en appreciatie EU onderhandelingen en NL inzet.</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color w:val="000000"/>
                <w:sz w:val="20"/>
                <w:szCs w:val="20"/>
              </w:rPr>
              <w:t xml:space="preserve">op basis van </w:t>
            </w:r>
            <w:r w:rsidRPr="00DB45B6">
              <w:rPr>
                <w:rFonts w:asciiTheme="minorHAnsi" w:hAnsiTheme="minorHAnsi"/>
                <w:sz w:val="20"/>
                <w:szCs w:val="20"/>
              </w:rPr>
              <w:t xml:space="preserve">de </w:t>
            </w:r>
            <w:hyperlink w:history="1" r:id="rId9">
              <w:r w:rsidRPr="00DB45B6">
                <w:rPr>
                  <w:rFonts w:asciiTheme="minorHAnsi" w:hAnsiTheme="minorHAnsi"/>
                  <w:sz w:val="20"/>
                  <w:szCs w:val="20"/>
                  <w:u w:val="single"/>
                </w:rPr>
                <w:t>(gewijzigde) motie Van Gent</w:t>
              </w:r>
            </w:hyperlink>
            <w:r w:rsidRPr="00DB45B6">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Handelingen </w:t>
            </w:r>
            <w:r w:rsidRPr="00DB45B6">
              <w:rPr>
                <w:rFonts w:asciiTheme="minorHAnsi" w:hAnsiTheme="minorHAnsi"/>
                <w:sz w:val="20"/>
                <w:szCs w:val="20"/>
              </w:rPr>
              <w:lastRenderedPageBreak/>
              <w:t>vastgesteld volgens de regelgevingsprocedure met toetsing</w:t>
            </w:r>
          </w:p>
        </w:tc>
        <w:tc>
          <w:tcPr>
            <w:tcW w:w="6946"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lastRenderedPageBreak/>
              <w:t xml:space="preserve">Deze procedure komt nog voor in Europese wetgeving van voor 2009. Bij deze </w:t>
            </w:r>
            <w:r w:rsidRPr="00DB45B6">
              <w:rPr>
                <w:rFonts w:asciiTheme="minorHAnsi" w:hAnsiTheme="minorHAnsi"/>
                <w:sz w:val="20"/>
                <w:szCs w:val="20"/>
              </w:rPr>
              <w:lastRenderedPageBreak/>
              <w:t>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kabinet per brief of tijdens overleg </w:t>
            </w:r>
            <w:proofErr w:type="gramStart"/>
            <w:r w:rsidRPr="00DB45B6">
              <w:rPr>
                <w:rFonts w:asciiTheme="minorHAnsi" w:hAnsiTheme="minorHAnsi"/>
                <w:sz w:val="20"/>
                <w:szCs w:val="20"/>
              </w:rPr>
              <w:t>bevragen</w:t>
            </w:r>
            <w:proofErr w:type="gramEnd"/>
            <w:r w:rsidRPr="00DB45B6">
              <w:rPr>
                <w:rFonts w:asciiTheme="minorHAnsi" w:hAnsiTheme="minorHAnsi"/>
                <w:sz w:val="20"/>
                <w:szCs w:val="20"/>
              </w:rPr>
              <w:t xml:space="preserve"> over stand </w:t>
            </w:r>
            <w:r w:rsidRPr="00DB45B6">
              <w:rPr>
                <w:rFonts w:asciiTheme="minorHAnsi" w:hAnsiTheme="minorHAnsi"/>
                <w:sz w:val="20"/>
                <w:szCs w:val="20"/>
              </w:rPr>
              <w:lastRenderedPageBreak/>
              <w:t>van zaken en appreciatie EU onderhandelingen en NL inzet, inclusief het voornemen van NL of andere lidstaten om binnen de Raad een bezwaarprocedure te initiëren.</w:t>
            </w:r>
          </w:p>
          <w:p w:rsidRPr="00DB45B6" w:rsidR="00B02DFB" w:rsidP="00132271" w:rsidRDefault="00B02DFB">
            <w:pPr>
              <w:numPr>
                <w:ilvl w:val="0"/>
                <w:numId w:val="1"/>
              </w:numPr>
              <w:rPr>
                <w:rFonts w:asciiTheme="minorHAnsi" w:hAnsiTheme="minorHAnsi"/>
                <w:sz w:val="20"/>
                <w:szCs w:val="20"/>
              </w:rPr>
            </w:pP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lastRenderedPageBreak/>
              <w:t>Bijzondere rechtshandelingen</w:t>
            </w:r>
          </w:p>
        </w:tc>
        <w:tc>
          <w:tcPr>
            <w:tcW w:w="6946"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DB45B6" w:rsidR="00B02DFB" w:rsidP="00132271" w:rsidRDefault="00B02DFB">
            <w:pPr>
              <w:rPr>
                <w:rFonts w:asciiTheme="minorHAnsi" w:hAnsiTheme="minorHAnsi"/>
                <w:sz w:val="20"/>
                <w:szCs w:val="20"/>
              </w:rPr>
            </w:pPr>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kabinetsappreciatie (‘BNC-fiche’) vragen, bespreken.</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ambtenaren of Commissaris van Europese Commissie (de ‘auteurs’) uitnodigen voor briefing/gesprek, evt. via videoconferentie</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indien het Europees Parlement een rapporteur heeft aangesteld kan deze desgewenst worden uitgenodigd voor een gesprek.</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uw commissie kan op dit onderwerp een ad-hoc rapporteur benoemen</w:t>
            </w:r>
          </w:p>
          <w:p w:rsidRPr="00DB45B6" w:rsidR="00B02DFB" w:rsidP="00132271" w:rsidRDefault="00B02DFB">
            <w:pPr>
              <w:ind w:left="360"/>
              <w:rPr>
                <w:rFonts w:asciiTheme="minorHAnsi" w:hAnsiTheme="minorHAnsi"/>
                <w:sz w:val="20"/>
                <w:szCs w:val="20"/>
              </w:rPr>
            </w:pPr>
            <w:proofErr w:type="gramStart"/>
            <w:r w:rsidRPr="00DB45B6">
              <w:rPr>
                <w:rFonts w:asciiTheme="minorHAnsi" w:hAnsiTheme="minorHAnsi"/>
                <w:sz w:val="20"/>
                <w:szCs w:val="20"/>
              </w:rPr>
              <w:t>nationale</w:t>
            </w:r>
            <w:proofErr w:type="gramEnd"/>
            <w:r w:rsidRPr="00DB45B6">
              <w:rPr>
                <w:rFonts w:asciiTheme="minorHAnsi" w:hAnsiTheme="minorHAnsi"/>
                <w:sz w:val="20"/>
                <w:szCs w:val="20"/>
              </w:rPr>
              <w:t xml:space="preserve"> wetgevingstraject (</w:t>
            </w:r>
            <w:proofErr w:type="spellStart"/>
            <w:r w:rsidRPr="00DB45B6">
              <w:rPr>
                <w:rFonts w:asciiTheme="minorHAnsi" w:hAnsiTheme="minorHAnsi"/>
                <w:sz w:val="20"/>
                <w:szCs w:val="20"/>
              </w:rPr>
              <w:t>i.h.k.v</w:t>
            </w:r>
            <w:proofErr w:type="spellEnd"/>
            <w:r w:rsidRPr="00DB45B6">
              <w:rPr>
                <w:rFonts w:asciiTheme="minorHAnsi" w:hAnsiTheme="minorHAnsi"/>
                <w:sz w:val="20"/>
                <w:szCs w:val="20"/>
              </w:rPr>
              <w:t>. omzetting van richtlijn naar nationale wetgeving).</w:t>
            </w:r>
          </w:p>
        </w:tc>
      </w:tr>
      <w:tr w:rsidRPr="00DB45B6" w:rsidR="00B02DFB" w:rsidTr="00132271">
        <w:tc>
          <w:tcPr>
            <w:tcW w:w="14142" w:type="dxa"/>
            <w:gridSpan w:val="3"/>
          </w:tcPr>
          <w:p w:rsidRPr="00DB45B6" w:rsidR="00B02DFB" w:rsidP="00132271" w:rsidRDefault="00B02DFB">
            <w:pPr>
              <w:rPr>
                <w:rFonts w:asciiTheme="minorHAnsi" w:hAnsiTheme="minorHAnsi"/>
                <w:i/>
                <w:sz w:val="20"/>
                <w:szCs w:val="20"/>
              </w:rPr>
            </w:pPr>
            <w:r w:rsidRPr="00DB45B6">
              <w:rPr>
                <w:rFonts w:asciiTheme="minorHAnsi" w:hAnsiTheme="minorHAnsi"/>
                <w:i/>
                <w:sz w:val="20"/>
                <w:szCs w:val="20"/>
              </w:rPr>
              <w:t>Niet-bindende handelingen (soft-</w:t>
            </w:r>
            <w:proofErr w:type="spellStart"/>
            <w:r w:rsidRPr="00DB45B6">
              <w:rPr>
                <w:rFonts w:asciiTheme="minorHAnsi" w:hAnsiTheme="minorHAnsi"/>
                <w:i/>
                <w:sz w:val="20"/>
                <w:szCs w:val="20"/>
              </w:rPr>
              <w:t>law</w:t>
            </w:r>
            <w:proofErr w:type="spellEnd"/>
            <w:r w:rsidRPr="00DB45B6">
              <w:rPr>
                <w:rFonts w:asciiTheme="minorHAnsi" w:hAnsiTheme="minorHAnsi"/>
                <w:i/>
                <w:sz w:val="20"/>
                <w:szCs w:val="20"/>
              </w:rPr>
              <w:t>)</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Advies, aanbeveling, mededeling</w:t>
            </w:r>
          </w:p>
          <w:p w:rsidRPr="00DB45B6" w:rsidR="00B02DFB" w:rsidP="00132271" w:rsidRDefault="00B02DFB">
            <w:pPr>
              <w:jc w:val="right"/>
              <w:rPr>
                <w:rFonts w:asciiTheme="minorHAnsi" w:hAnsiTheme="minorHAnsi"/>
                <w:sz w:val="20"/>
                <w:szCs w:val="20"/>
              </w:rPr>
            </w:pPr>
          </w:p>
          <w:p w:rsidRPr="00DB45B6" w:rsidR="00B02DFB" w:rsidP="00132271" w:rsidRDefault="00B02DFB">
            <w:pPr>
              <w:jc w:val="right"/>
              <w:rPr>
                <w:rFonts w:asciiTheme="minorHAnsi" w:hAnsiTheme="minorHAnsi"/>
                <w:sz w:val="20"/>
                <w:szCs w:val="20"/>
              </w:rPr>
            </w:pPr>
          </w:p>
          <w:p w:rsidRPr="00DB45B6" w:rsidR="00B02DFB" w:rsidP="00132271" w:rsidRDefault="00B02DFB">
            <w:pPr>
              <w:jc w:val="right"/>
              <w:rPr>
                <w:rFonts w:asciiTheme="minorHAnsi" w:hAnsiTheme="minorHAnsi"/>
                <w:sz w:val="20"/>
                <w:szCs w:val="20"/>
              </w:rPr>
            </w:pPr>
          </w:p>
          <w:p w:rsidRPr="00DB45B6" w:rsidR="00B02DFB" w:rsidP="00132271" w:rsidRDefault="00B02DFB">
            <w:pPr>
              <w:jc w:val="right"/>
              <w:rPr>
                <w:rFonts w:asciiTheme="minorHAnsi" w:hAnsiTheme="minorHAnsi"/>
                <w:sz w:val="20"/>
                <w:szCs w:val="20"/>
              </w:rPr>
            </w:pPr>
          </w:p>
          <w:p w:rsidRPr="00DB45B6" w:rsidR="00B02DFB" w:rsidP="00132271" w:rsidRDefault="00B02DFB">
            <w:pPr>
              <w:jc w:val="right"/>
              <w:rPr>
                <w:rFonts w:asciiTheme="minorHAnsi" w:hAnsiTheme="minorHAnsi"/>
                <w:sz w:val="20"/>
                <w:szCs w:val="20"/>
              </w:rPr>
            </w:pPr>
          </w:p>
        </w:tc>
        <w:tc>
          <w:tcPr>
            <w:tcW w:w="6946" w:type="dxa"/>
          </w:tcPr>
          <w:p w:rsidRPr="00DB45B6" w:rsidR="00B02DFB" w:rsidP="00132271" w:rsidRDefault="00B02DFB">
            <w:pPr>
              <w:spacing w:before="100" w:beforeAutospacing="1" w:after="100" w:afterAutospacing="1"/>
              <w:rPr>
                <w:rFonts w:asciiTheme="minorHAnsi" w:hAnsiTheme="minorHAnsi"/>
                <w:sz w:val="20"/>
                <w:szCs w:val="20"/>
              </w:rPr>
            </w:pPr>
            <w:r w:rsidRPr="00DB45B6">
              <w:rPr>
                <w:rFonts w:asciiTheme="minorHAnsi" w:hAnsiTheme="minorHAnsi"/>
                <w:sz w:val="20"/>
                <w:szCs w:val="20"/>
              </w:rPr>
              <w:t>De EU kent een grote hoeveelheid uiteenlopende typen beleid (‘</w:t>
            </w:r>
            <w:proofErr w:type="gramStart"/>
            <w:r w:rsidRPr="00DB45B6">
              <w:rPr>
                <w:rFonts w:asciiTheme="minorHAnsi" w:hAnsiTheme="minorHAnsi"/>
                <w:sz w:val="20"/>
                <w:szCs w:val="20"/>
              </w:rPr>
              <w:t>soft</w:t>
            </w:r>
            <w:proofErr w:type="gramEnd"/>
            <w:r w:rsidRPr="00DB45B6">
              <w:rPr>
                <w:rFonts w:asciiTheme="minorHAnsi" w:hAnsiTheme="minorHAnsi"/>
                <w:sz w:val="20"/>
                <w:szCs w:val="20"/>
              </w:rPr>
              <w:t xml:space="preserve"> </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DB45B6">
              <w:rPr>
                <w:rFonts w:asciiTheme="minorHAnsi" w:hAnsiTheme="minorHAnsi"/>
                <w:sz w:val="20"/>
                <w:szCs w:val="20"/>
              </w:rPr>
              <w:t>law</w:t>
            </w:r>
            <w:proofErr w:type="spellEnd"/>
            <w:r w:rsidRPr="00DB45B6">
              <w:rPr>
                <w:rFonts w:asciiTheme="minorHAnsi" w:hAnsiTheme="minorHAnsi"/>
                <w:sz w:val="20"/>
                <w:szCs w:val="20"/>
              </w:rPr>
              <w:t xml:space="preserve">. </w:t>
            </w:r>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B02DFB" w:rsidP="00132271" w:rsidRDefault="00B02DFB">
            <w:pPr>
              <w:rPr>
                <w:rFonts w:asciiTheme="minorHAnsi" w:hAnsiTheme="minorHAnsi"/>
                <w:sz w:val="20"/>
                <w:szCs w:val="20"/>
              </w:rPr>
            </w:pPr>
          </w:p>
          <w:p w:rsidRPr="00DB45B6" w:rsidR="00B02DFB" w:rsidP="00132271" w:rsidRDefault="00B02DFB">
            <w:pPr>
              <w:rPr>
                <w:rFonts w:asciiTheme="minorHAnsi" w:hAnsiTheme="minorHAnsi"/>
                <w:sz w:val="20"/>
                <w:szCs w:val="20"/>
              </w:rPr>
            </w:pPr>
          </w:p>
          <w:p w:rsidRPr="00DB45B6" w:rsidR="00B02DFB" w:rsidP="00132271" w:rsidRDefault="00B02DFB">
            <w:pPr>
              <w:rPr>
                <w:rFonts w:asciiTheme="minorHAnsi" w:hAnsiTheme="minorHAnsi"/>
                <w:sz w:val="20"/>
                <w:szCs w:val="20"/>
              </w:rPr>
            </w:pPr>
          </w:p>
          <w:p w:rsidRPr="00DB45B6" w:rsidR="00B02DFB" w:rsidP="00132271" w:rsidRDefault="00B02DFB">
            <w:pPr>
              <w:rPr>
                <w:rFonts w:asciiTheme="minorHAnsi" w:hAnsiTheme="minorHAnsi"/>
                <w:sz w:val="20"/>
                <w:szCs w:val="20"/>
              </w:rPr>
            </w:pPr>
          </w:p>
          <w:p w:rsidRPr="00DB45B6" w:rsidR="00B02DFB" w:rsidP="00132271" w:rsidRDefault="00B02DFB">
            <w:pPr>
              <w:rPr>
                <w:rFonts w:asciiTheme="minorHAnsi" w:hAnsiTheme="minorHAnsi"/>
                <w:sz w:val="20"/>
                <w:szCs w:val="20"/>
              </w:rPr>
            </w:pPr>
          </w:p>
        </w:tc>
      </w:tr>
      <w:tr w:rsidRPr="00DB45B6" w:rsidR="00B02DFB" w:rsidTr="00132271">
        <w:tc>
          <w:tcPr>
            <w:tcW w:w="14142" w:type="dxa"/>
            <w:gridSpan w:val="3"/>
          </w:tcPr>
          <w:p w:rsidRPr="00DB45B6" w:rsidR="00B02DFB" w:rsidP="00132271" w:rsidRDefault="00B02DFB">
            <w:pPr>
              <w:rPr>
                <w:rFonts w:asciiTheme="minorHAnsi" w:hAnsiTheme="minorHAnsi"/>
                <w:i/>
                <w:sz w:val="20"/>
                <w:szCs w:val="20"/>
              </w:rPr>
            </w:pPr>
            <w:r w:rsidRPr="00DB45B6">
              <w:rPr>
                <w:rFonts w:asciiTheme="minorHAnsi" w:hAnsiTheme="minorHAnsi"/>
                <w:i/>
                <w:sz w:val="20"/>
                <w:szCs w:val="20"/>
              </w:rPr>
              <w:t xml:space="preserve">Overige handelingen en instrumenten </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Routekaart, actieplannen, strategie, agenda </w:t>
            </w:r>
          </w:p>
        </w:tc>
        <w:tc>
          <w:tcPr>
            <w:tcW w:w="6946" w:type="dxa"/>
          </w:tcPr>
          <w:p w:rsidRPr="00DB45B6" w:rsidR="00B02DFB" w:rsidP="00132271" w:rsidRDefault="00B02DFB">
            <w:pPr>
              <w:rPr>
                <w:rFonts w:asciiTheme="minorHAnsi" w:hAnsiTheme="minorHAnsi"/>
                <w:sz w:val="20"/>
                <w:szCs w:val="20"/>
              </w:rPr>
            </w:pPr>
            <w:r w:rsidRPr="00DB45B6">
              <w:rPr>
                <w:rFonts w:cs="Arial" w:asciiTheme="minorHAnsi" w:hAnsiTheme="minorHAnsi"/>
                <w:sz w:val="20"/>
                <w:szCs w:val="20"/>
              </w:rPr>
              <w:t xml:space="preserve">Via routekaarten, actieplannen, strategieën en agenda’s informeert de Europese Commissie belanghebbenden en burgers over nieuwe initiatieven, evaluaties en geschiktheidscontroles. In deze documenten </w:t>
            </w:r>
            <w:r w:rsidRPr="00DB45B6">
              <w:rPr>
                <w:rFonts w:cs="Arial" w:asciiTheme="minorHAnsi" w:hAnsiTheme="minorHAnsi"/>
                <w:bCs/>
                <w:sz w:val="20"/>
                <w:szCs w:val="20"/>
              </w:rPr>
              <w:t>voor nieuwe initiatieven</w:t>
            </w:r>
            <w:r w:rsidRPr="00DB45B6">
              <w:rPr>
                <w:rFonts w:cs="Arial" w:asciiTheme="minorHAnsi" w:hAnsiTheme="minorHAnsi"/>
                <w:sz w:val="20"/>
                <w:szCs w:val="20"/>
              </w:rPr>
              <w:t xml:space="preserve"> wordt uitgelegd wat het probleem is, wat de Commissie wil bereiken, waarom juist de EU maatregelen moet nemen, wat de toegevoegde waarde is en welke alternatieven er zijn. </w:t>
            </w:r>
            <w:proofErr w:type="gramStart"/>
            <w:r w:rsidRPr="00DB45B6">
              <w:rPr>
                <w:rFonts w:cs="Arial" w:asciiTheme="minorHAnsi" w:hAnsiTheme="minorHAnsi"/>
                <w:sz w:val="20"/>
                <w:szCs w:val="20"/>
              </w:rPr>
              <w:t>In deze documenten</w:t>
            </w:r>
            <w:r w:rsidRPr="00DB45B6">
              <w:rPr>
                <w:rFonts w:cs="Arial" w:asciiTheme="minorHAnsi" w:hAnsiTheme="minorHAnsi"/>
                <w:b/>
                <w:bCs/>
                <w:sz w:val="20"/>
                <w:szCs w:val="20"/>
              </w:rPr>
              <w:t xml:space="preserve"> </w:t>
            </w:r>
            <w:r w:rsidRPr="00DB45B6">
              <w:rPr>
                <w:rFonts w:cs="Arial" w:asciiTheme="minorHAnsi" w:hAnsiTheme="minorHAnsi"/>
                <w:bCs/>
                <w:sz w:val="20"/>
                <w:szCs w:val="20"/>
              </w:rPr>
              <w:t>voor evaluaties en geschiktheidscontroles</w:t>
            </w:r>
            <w:r w:rsidRPr="00DB45B6">
              <w:rPr>
                <w:rFonts w:cs="Arial" w:asciiTheme="minorHAnsi" w:hAnsiTheme="minorHAnsi"/>
                <w:sz w:val="20"/>
                <w:szCs w:val="20"/>
              </w:rPr>
              <w:t xml:space="preserve"> wordt bepaald wat er geëvalueerd moet worden en welke aspecten moeten worden onderzocht. </w:t>
            </w:r>
            <w:proofErr w:type="gramEnd"/>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kabinet om appreciatie in de vorm van BNC-fiche verzoeken aangezien over deze categorie niet standaard een fiche wordt gemaakt</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en/of kabinet vragen om NL inzet (per commissiebrief of tijdens algemeen overleg/debat).</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Groen- en witboek</w:t>
            </w:r>
          </w:p>
        </w:tc>
        <w:tc>
          <w:tcPr>
            <w:tcW w:w="6946"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Groenboek: een discussiestuk, waarmee de Europese Commissie de stand van zaken inventariseert </w:t>
            </w:r>
            <w:proofErr w:type="gramStart"/>
            <w:r w:rsidRPr="00DB45B6">
              <w:rPr>
                <w:rFonts w:asciiTheme="minorHAnsi" w:hAnsiTheme="minorHAnsi"/>
                <w:sz w:val="20"/>
                <w:szCs w:val="20"/>
              </w:rPr>
              <w:t>omtrent</w:t>
            </w:r>
            <w:proofErr w:type="gramEnd"/>
            <w:r w:rsidRPr="00DB45B6">
              <w:rPr>
                <w:rFonts w:asciiTheme="minorHAnsi" w:hAnsiTheme="minorHAnsi"/>
                <w:sz w:val="20"/>
                <w:szCs w:val="20"/>
              </w:rPr>
              <w:t xml:space="preserve"> een onderwerp. Ook doet ze aanbevelingen voor </w:t>
            </w:r>
            <w:r w:rsidRPr="00DB45B6">
              <w:rPr>
                <w:rFonts w:asciiTheme="minorHAnsi" w:hAnsiTheme="minorHAnsi"/>
                <w:sz w:val="20"/>
                <w:szCs w:val="20"/>
              </w:rPr>
              <w:lastRenderedPageBreak/>
              <w:t xml:space="preserve">nieuw beleid. </w:t>
            </w:r>
          </w:p>
          <w:p w:rsidRPr="00DB45B6" w:rsidR="00B02DFB" w:rsidP="00132271" w:rsidRDefault="00B02DFB">
            <w:pPr>
              <w:rPr>
                <w:rFonts w:asciiTheme="minorHAnsi" w:hAnsiTheme="minorHAnsi"/>
                <w:sz w:val="20"/>
                <w:szCs w:val="20"/>
              </w:rPr>
            </w:pPr>
          </w:p>
          <w:p w:rsidRPr="00DB45B6" w:rsidR="00B02DFB" w:rsidP="00132271" w:rsidRDefault="00B02DFB">
            <w:pPr>
              <w:rPr>
                <w:rFonts w:asciiTheme="minorHAnsi" w:hAnsiTheme="minorHAnsi"/>
                <w:sz w:val="20"/>
                <w:szCs w:val="20"/>
              </w:rPr>
            </w:pPr>
            <w:r w:rsidRPr="00DB45B6">
              <w:rPr>
                <w:rFonts w:asciiTheme="minorHAnsi" w:hAnsiTheme="minorHAnsi"/>
                <w:sz w:val="20"/>
                <w:szCs w:val="20"/>
              </w:rPr>
              <w:t>Witboek: hierin zet de Europese Commissie uiteen hoe zij bepaalde doelen wil bereiken. Vaak worden in een witboek al concrete voorstellen uitgewerkt en toegelicht.</w:t>
            </w:r>
          </w:p>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De Europese Commissie nodigt overheden, nationale parlementen en andere organisaties uit om binnen een bepaalde termijn op een Groen- of Witboek te reageren. </w:t>
            </w:r>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lastRenderedPageBreak/>
              <w:t>desgewenst ambtenaren EC of Europees Commissaris uitnodigen voor een toelichting.</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lastRenderedPageBreak/>
              <w:t>in commissieverband (via schriftelijke inbreng in de vorm van een politieke dialoog) of als lid, burger of via fracties een reactie sturen aan de Europese Commissie.</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 xml:space="preserve">kabinet stuurt de Kamer het concept van haar reactie op Groen- en Witboeken </w:t>
            </w:r>
            <w:proofErr w:type="gramStart"/>
            <w:r w:rsidRPr="00DB45B6">
              <w:rPr>
                <w:rFonts w:asciiTheme="minorHAnsi" w:hAnsiTheme="minorHAnsi"/>
                <w:sz w:val="20"/>
                <w:szCs w:val="20"/>
              </w:rPr>
              <w:t>tenminste</w:t>
            </w:r>
            <w:proofErr w:type="gramEnd"/>
            <w:r w:rsidRPr="00DB45B6">
              <w:rPr>
                <w:rFonts w:asciiTheme="minorHAnsi" w:hAnsiTheme="minorHAnsi"/>
                <w:sz w:val="20"/>
                <w:szCs w:val="20"/>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lastRenderedPageBreak/>
              <w:t>Openbare raadpleging (consultatie)</w:t>
            </w:r>
          </w:p>
        </w:tc>
        <w:tc>
          <w:tcPr>
            <w:tcW w:w="6946" w:type="dxa"/>
          </w:tcPr>
          <w:p w:rsidRPr="00DB45B6" w:rsidR="00B02DFB" w:rsidP="00132271" w:rsidRDefault="00B02DFB">
            <w:pPr>
              <w:spacing w:before="100" w:beforeAutospacing="1" w:after="100" w:afterAutospacing="1"/>
              <w:rPr>
                <w:rFonts w:asciiTheme="minorHAnsi" w:hAnsiTheme="minorHAnsi"/>
                <w:sz w:val="20"/>
                <w:szCs w:val="20"/>
              </w:rPr>
            </w:pPr>
            <w:r w:rsidRPr="00DB45B6">
              <w:rPr>
                <w:rFonts w:asciiTheme="minorHAnsi" w:hAnsiTheme="minorHAnsi"/>
                <w:sz w:val="20"/>
                <w:szCs w:val="20"/>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0">
              <w:r w:rsidRPr="00DB45B6">
                <w:rPr>
                  <w:rFonts w:asciiTheme="minorHAnsi" w:hAnsiTheme="minorHAnsi"/>
                  <w:color w:val="0000FF"/>
                  <w:sz w:val="20"/>
                  <w:szCs w:val="20"/>
                  <w:u w:val="single"/>
                </w:rPr>
                <w:t>Bekijk alle openbare raadplegingen op "Uw stem in Europa"</w:t>
              </w:r>
            </w:hyperlink>
            <w:r w:rsidRPr="00DB45B6">
              <w:rPr>
                <w:rFonts w:asciiTheme="minorHAnsi" w:hAnsiTheme="minorHAnsi"/>
                <w:sz w:val="20"/>
                <w:szCs w:val="20"/>
              </w:rPr>
              <w:t xml:space="preserve"> . </w:t>
            </w:r>
          </w:p>
        </w:tc>
        <w:tc>
          <w:tcPr>
            <w:tcW w:w="5103" w:type="dxa"/>
          </w:tcPr>
          <w:p w:rsidRPr="00DB45B6" w:rsidR="00B02DFB" w:rsidP="00132271" w:rsidRDefault="00B02DFB">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als burger, lid, fractie of in commissieverband (via schriftelijke inbreng in de vorm van een politieke dialoog). meedoen aan de openbare raadpleging.</w:t>
            </w:r>
          </w:p>
          <w:p w:rsidRPr="00DB45B6" w:rsidR="00B02DFB" w:rsidP="00132271" w:rsidRDefault="00B02DFB">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kabinet verzoeken om de concept-kabinetsreactie naar de Kamer te sturen voordat de definitieve versie naar de Europese Commissie wordt gestuurd, </w:t>
            </w:r>
            <w:proofErr w:type="gramStart"/>
            <w:r w:rsidRPr="00DB45B6">
              <w:rPr>
                <w:rFonts w:asciiTheme="minorHAnsi" w:hAnsiTheme="minorHAnsi"/>
                <w:sz w:val="20"/>
                <w:szCs w:val="20"/>
              </w:rPr>
              <w:t>teneinde</w:t>
            </w:r>
            <w:proofErr w:type="gramEnd"/>
            <w:r w:rsidRPr="00DB45B6">
              <w:rPr>
                <w:rFonts w:asciiTheme="minorHAnsi" w:hAnsiTheme="minorHAnsi"/>
                <w:sz w:val="20"/>
                <w:szCs w:val="20"/>
              </w:rPr>
              <w:t xml:space="preserve"> desgewenst hierover met de bewindspersoon in gesprek te treden.</w:t>
            </w:r>
          </w:p>
          <w:p w:rsidRPr="00DB45B6" w:rsidR="00B02DFB" w:rsidP="00132271" w:rsidRDefault="00B02DFB">
            <w:pPr>
              <w:numPr>
                <w:ilvl w:val="0"/>
                <w:numId w:val="1"/>
              </w:numPr>
              <w:autoSpaceDE w:val="0"/>
              <w:autoSpaceDN w:val="0"/>
              <w:rPr>
                <w:rFonts w:asciiTheme="minorHAnsi" w:hAnsiTheme="minorHAnsi"/>
                <w:sz w:val="20"/>
                <w:szCs w:val="20"/>
              </w:rPr>
            </w:pPr>
            <w:r w:rsidRPr="00DB45B6">
              <w:rPr>
                <w:rFonts w:asciiTheme="minorHAnsi" w:hAnsiTheme="minorHAnsi"/>
                <w:sz w:val="20"/>
                <w:szCs w:val="20"/>
              </w:rPr>
              <w:t xml:space="preserve">de Kamer ontvangt </w:t>
            </w:r>
            <w:proofErr w:type="gramStart"/>
            <w:r w:rsidRPr="00DB45B6">
              <w:rPr>
                <w:rFonts w:asciiTheme="minorHAnsi" w:hAnsiTheme="minorHAnsi"/>
                <w:sz w:val="20"/>
                <w:szCs w:val="20"/>
              </w:rPr>
              <w:t>krachtens</w:t>
            </w:r>
            <w:proofErr w:type="gramEnd"/>
            <w:r w:rsidRPr="00DB45B6">
              <w:rPr>
                <w:rFonts w:asciiTheme="minorHAnsi" w:hAnsiTheme="minorHAnsi"/>
                <w:sz w:val="20"/>
                <w:szCs w:val="20"/>
              </w:rPr>
              <w:t xml:space="preserve"> de standaard-informatieafspraken de definitieve kabinetsreactie op alle consultaties van de Europese Commissie waarop het kabinet reageert.</w:t>
            </w:r>
          </w:p>
        </w:tc>
      </w:tr>
      <w:tr w:rsidRPr="00DB45B6" w:rsidR="00B02DFB" w:rsidTr="00132271">
        <w:tc>
          <w:tcPr>
            <w:tcW w:w="14142" w:type="dxa"/>
            <w:gridSpan w:val="3"/>
          </w:tcPr>
          <w:p w:rsidRPr="00DB45B6" w:rsidR="00B02DFB" w:rsidP="00132271" w:rsidRDefault="00B02DFB">
            <w:pPr>
              <w:rPr>
                <w:rFonts w:asciiTheme="minorHAnsi" w:hAnsiTheme="minorHAnsi"/>
                <w:i/>
                <w:sz w:val="20"/>
                <w:szCs w:val="20"/>
              </w:rPr>
            </w:pPr>
            <w:r w:rsidRPr="00DB45B6">
              <w:rPr>
                <w:rFonts w:asciiTheme="minorHAnsi" w:hAnsiTheme="minorHAnsi"/>
                <w:i/>
                <w:sz w:val="20"/>
                <w:szCs w:val="20"/>
              </w:rPr>
              <w:t>Uitgelicht: twee specifieke parlementaire instrumenten bij nieuw gepubliceerde EU-voorstellen</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Subsidiariteitstoets </w:t>
            </w:r>
          </w:p>
          <w:p w:rsidRPr="00DB45B6" w:rsidR="00B02DFB" w:rsidP="00132271" w:rsidRDefault="00B02DFB">
            <w:pPr>
              <w:rPr>
                <w:rFonts w:asciiTheme="minorHAnsi" w:hAnsiTheme="minorHAnsi"/>
                <w:sz w:val="20"/>
                <w:szCs w:val="20"/>
              </w:rPr>
            </w:pPr>
            <w:r w:rsidRPr="00DB45B6">
              <w:rPr>
                <w:rFonts w:asciiTheme="minorHAnsi" w:hAnsiTheme="minorHAnsi"/>
                <w:sz w:val="20"/>
                <w:szCs w:val="20"/>
              </w:rPr>
              <w:t>(richting EU)</w:t>
            </w:r>
          </w:p>
        </w:tc>
        <w:tc>
          <w:tcPr>
            <w:tcW w:w="6946" w:type="dxa"/>
          </w:tcPr>
          <w:p w:rsidRPr="00DB45B6" w:rsidR="00B02DFB" w:rsidP="00132271" w:rsidRDefault="00B02DFB">
            <w:pPr>
              <w:rPr>
                <w:rFonts w:asciiTheme="minorHAnsi" w:hAnsiTheme="minorHAnsi" w:eastAsiaTheme="minorHAnsi"/>
                <w:sz w:val="20"/>
                <w:szCs w:val="20"/>
              </w:rPr>
            </w:pPr>
            <w:r w:rsidRPr="00DB45B6">
              <w:rPr>
                <w:rFonts w:asciiTheme="minorHAnsi" w:hAnsiTheme="minorHAnsi" w:eastAsia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DB45B6">
              <w:rPr>
                <w:rFonts w:asciiTheme="minorHAnsi" w:hAnsiTheme="minorHAnsi" w:eastAsiaTheme="minorHAnsi" w:cstheme="minorHAnsi"/>
                <w:color w:val="000000" w:themeColor="text1"/>
                <w:sz w:val="20"/>
                <w:szCs w:val="20"/>
              </w:rPr>
              <w:t xml:space="preserve">Elk parlement krijgt 2 stemmen, maar bij een </w:t>
            </w:r>
            <w:proofErr w:type="spellStart"/>
            <w:r w:rsidRPr="00DB45B6">
              <w:rPr>
                <w:rFonts w:asciiTheme="minorHAnsi" w:hAnsiTheme="minorHAnsi" w:eastAsiaTheme="minorHAnsi" w:cstheme="minorHAnsi"/>
                <w:color w:val="000000" w:themeColor="text1"/>
                <w:sz w:val="20"/>
                <w:szCs w:val="20"/>
              </w:rPr>
              <w:t>bicameraal</w:t>
            </w:r>
            <w:proofErr w:type="spellEnd"/>
            <w:r w:rsidRPr="00DB45B6">
              <w:rPr>
                <w:rFonts w:asciiTheme="minorHAnsi" w:hAnsiTheme="minorHAnsi" w:eastAsiaTheme="minorHAnsi" w:cstheme="minorHAnsi"/>
                <w:color w:val="000000" w:themeColor="text1"/>
                <w:sz w:val="20"/>
                <w:szCs w:val="20"/>
              </w:rPr>
              <w:t xml:space="preserve"> stelsel, zoals in Nederland, krijgt elke kamer 1 stem</w:t>
            </w:r>
            <w:r w:rsidRPr="00DB45B6">
              <w:rPr>
                <w:rFonts w:asciiTheme="minorHAnsi" w:hAnsiTheme="minorHAnsi" w:eastAsiaTheme="minorHAnsi"/>
                <w:sz w:val="20"/>
                <w:szCs w:val="20"/>
              </w:rPr>
              <w:t>.</w:t>
            </w:r>
            <w:r w:rsidRPr="00DB45B6">
              <w:rPr>
                <w:rFonts w:asciiTheme="minorHAnsi" w:hAnsiTheme="minorHAnsi" w:eastAsiaTheme="minorHAnsi" w:cstheme="minorHAnsi"/>
                <w:color w:val="000000" w:themeColor="text1"/>
                <w:sz w:val="20"/>
                <w:szCs w:val="20"/>
              </w:rPr>
              <w:t xml:space="preserve"> Om een gele kaart te trekken moeten er 19 stemmen worden gehaald.</w:t>
            </w:r>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bij wetgevende EU-voorstellen kan een Kamercommissie besluiten tot het uitvoeren van een subsidiariteitstoets. Let op: dit moet binnen acht weken na het uitkomen van alle taalversies van het voorstel.</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kabinetsappreciatie (‘BNC-fiche’) komt voor aangekondigde subsidiariteitstoetsen binnen drie weken t.b.v. een snelle behandeling.</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met andere parlementen in overleg treden t.b.v. behalen meerderheid voor ’gele kaart’ (</w:t>
            </w:r>
            <w:proofErr w:type="gramStart"/>
            <w:r w:rsidRPr="00DB45B6">
              <w:rPr>
                <w:rFonts w:asciiTheme="minorHAnsi" w:hAnsiTheme="minorHAnsi"/>
                <w:sz w:val="20"/>
                <w:szCs w:val="20"/>
              </w:rPr>
              <w:t>1</w:t>
            </w:r>
            <w:proofErr w:type="gramEnd"/>
            <w:r w:rsidRPr="00DB45B6">
              <w:rPr>
                <w:rFonts w:asciiTheme="minorHAnsi" w:hAnsiTheme="minorHAnsi"/>
                <w:sz w:val="20"/>
                <w:szCs w:val="20"/>
              </w:rPr>
              <w:t xml:space="preserve">/3 stemmen) via parlementaire vertegenwoordiging en/of fractielijnen. </w:t>
            </w:r>
          </w:p>
        </w:tc>
      </w:tr>
      <w:tr w:rsidRPr="00DB45B6" w:rsidR="00B02DFB" w:rsidTr="00132271">
        <w:tc>
          <w:tcPr>
            <w:tcW w:w="2093" w:type="dxa"/>
          </w:tcPr>
          <w:p w:rsidRPr="00DB45B6" w:rsidR="00B02DFB" w:rsidP="00132271" w:rsidRDefault="00B02DFB">
            <w:pPr>
              <w:rPr>
                <w:rFonts w:asciiTheme="minorHAnsi" w:hAnsiTheme="minorHAnsi"/>
                <w:sz w:val="20"/>
                <w:szCs w:val="20"/>
              </w:rPr>
            </w:pPr>
            <w:r w:rsidRPr="00DB45B6">
              <w:rPr>
                <w:rFonts w:asciiTheme="minorHAnsi" w:hAnsiTheme="minorHAnsi"/>
                <w:sz w:val="20"/>
                <w:szCs w:val="20"/>
              </w:rPr>
              <w:t xml:space="preserve">Behandel-voorbehoud </w:t>
            </w:r>
            <w:r w:rsidRPr="00DB45B6">
              <w:rPr>
                <w:rFonts w:asciiTheme="minorHAnsi" w:hAnsiTheme="minorHAnsi"/>
                <w:sz w:val="20"/>
                <w:szCs w:val="20"/>
              </w:rPr>
              <w:lastRenderedPageBreak/>
              <w:t>(richting regering)</w:t>
            </w:r>
          </w:p>
        </w:tc>
        <w:tc>
          <w:tcPr>
            <w:tcW w:w="6946" w:type="dxa"/>
          </w:tcPr>
          <w:p w:rsidRPr="00DB45B6" w:rsidR="00B02DFB" w:rsidP="00132271" w:rsidRDefault="00B02DFB">
            <w:pPr>
              <w:ind w:left="34"/>
              <w:rPr>
                <w:rFonts w:asciiTheme="minorHAnsi" w:hAnsiTheme="minorHAnsi" w:eastAsiaTheme="minorHAnsi"/>
                <w:sz w:val="20"/>
                <w:szCs w:val="20"/>
              </w:rPr>
            </w:pPr>
            <w:r w:rsidRPr="00DB45B6">
              <w:rPr>
                <w:rFonts w:asciiTheme="minorHAnsi" w:hAnsiTheme="minorHAnsi" w:eastAsiaTheme="minorHAnsi"/>
                <w:sz w:val="20"/>
                <w:szCs w:val="20"/>
              </w:rPr>
              <w:lastRenderedPageBreak/>
              <w:t xml:space="preserve">Zodra de Europese Commissie een wetgevend voorstel heeft gepresenteerd, kan </w:t>
            </w:r>
            <w:r w:rsidRPr="00DB45B6">
              <w:rPr>
                <w:rFonts w:asciiTheme="minorHAnsi" w:hAnsiTheme="minorHAnsi" w:eastAsiaTheme="minorHAnsi"/>
                <w:sz w:val="20"/>
                <w:szCs w:val="20"/>
              </w:rPr>
              <w:lastRenderedPageBreak/>
              <w:t xml:space="preserve">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DB45B6">
              <w:rPr>
                <w:rFonts w:asciiTheme="minorHAnsi" w:hAnsiTheme="minorHAnsi" w:eastAsiaTheme="minorHAnsi"/>
                <w:sz w:val="20"/>
                <w:szCs w:val="20"/>
              </w:rPr>
              <w:t>inzake</w:t>
            </w:r>
            <w:proofErr w:type="gramEnd"/>
            <w:r w:rsidRPr="00DB45B6">
              <w:rPr>
                <w:rFonts w:asciiTheme="minorHAnsi" w:hAnsiTheme="minorHAnsi" w:eastAsiaTheme="minorHAnsi"/>
                <w:sz w:val="20"/>
                <w:szCs w:val="20"/>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lastRenderedPageBreak/>
              <w:t xml:space="preserve">bij wetgevende EU-voorstellen kan een commissie </w:t>
            </w:r>
            <w:r w:rsidRPr="00DB45B6">
              <w:rPr>
                <w:rFonts w:asciiTheme="minorHAnsi" w:hAnsiTheme="minorHAnsi"/>
                <w:sz w:val="20"/>
                <w:szCs w:val="20"/>
              </w:rPr>
              <w:lastRenderedPageBreak/>
              <w:t xml:space="preserve">besluiten tot het uitvoeren van een zgn. ‘behandelvoorbehoud’. Over deze brief moet </w:t>
            </w:r>
            <w:proofErr w:type="gramStart"/>
            <w:r w:rsidRPr="00DB45B6">
              <w:rPr>
                <w:rFonts w:asciiTheme="minorHAnsi" w:hAnsiTheme="minorHAnsi"/>
                <w:sz w:val="20"/>
                <w:szCs w:val="20"/>
              </w:rPr>
              <w:t>plenair</w:t>
            </w:r>
            <w:proofErr w:type="gramEnd"/>
            <w:r w:rsidRPr="00DB45B6">
              <w:rPr>
                <w:rFonts w:asciiTheme="minorHAnsi" w:hAnsiTheme="minorHAnsi"/>
                <w:sz w:val="20"/>
                <w:szCs w:val="20"/>
              </w:rPr>
              <w:t xml:space="preserve"> gestemd worden (let op de termijnen).</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tijdens een speciaal overleg kan de commissie afspraken maken over informatieverstrekking (bv. in kwartaalrapportages) zolang het desbetreffende dossier in onderhandeling is.</w:t>
            </w:r>
          </w:p>
          <w:p w:rsidRPr="00DB45B6" w:rsidR="00B02DFB" w:rsidP="00132271" w:rsidRDefault="00B02DFB">
            <w:pPr>
              <w:numPr>
                <w:ilvl w:val="0"/>
                <w:numId w:val="1"/>
              </w:numPr>
              <w:rPr>
                <w:rFonts w:asciiTheme="minorHAnsi" w:hAnsiTheme="minorHAnsi"/>
                <w:sz w:val="20"/>
                <w:szCs w:val="20"/>
              </w:rPr>
            </w:pPr>
            <w:r w:rsidRPr="00DB45B6">
              <w:rPr>
                <w:rFonts w:asciiTheme="minorHAnsi" w:hAnsiTheme="minorHAnsi"/>
                <w:sz w:val="20"/>
                <w:szCs w:val="20"/>
              </w:rPr>
              <w:t xml:space="preserve">kabinetsappreciatie (‘BNC-fiche’) komt voor aangekondigde </w:t>
            </w:r>
            <w:proofErr w:type="spellStart"/>
            <w:r w:rsidRPr="00DB45B6">
              <w:rPr>
                <w:rFonts w:asciiTheme="minorHAnsi" w:hAnsiTheme="minorHAnsi"/>
                <w:sz w:val="20"/>
                <w:szCs w:val="20"/>
              </w:rPr>
              <w:t>behandelvoorbehouden</w:t>
            </w:r>
            <w:proofErr w:type="spellEnd"/>
            <w:r w:rsidRPr="00DB45B6">
              <w:rPr>
                <w:rFonts w:asciiTheme="minorHAnsi" w:hAnsiTheme="minorHAnsi"/>
                <w:sz w:val="20"/>
                <w:szCs w:val="20"/>
              </w:rPr>
              <w:t xml:space="preserve"> binnen drie weken t.b.v. een snelle behandeling.</w:t>
            </w:r>
          </w:p>
          <w:p w:rsidRPr="00DB45B6" w:rsidR="00B02DFB" w:rsidP="00132271" w:rsidRDefault="00B02DFB">
            <w:pPr>
              <w:rPr>
                <w:rFonts w:asciiTheme="minorHAnsi" w:hAnsiTheme="minorHAnsi"/>
                <w:sz w:val="20"/>
                <w:szCs w:val="20"/>
              </w:rPr>
            </w:pPr>
          </w:p>
        </w:tc>
      </w:tr>
    </w:tbl>
    <w:p w:rsidR="00B02DFB" w:rsidP="00B02DFB" w:rsidRDefault="00B02DFB"/>
    <w:p w:rsidR="00B02DFB" w:rsidP="00B02DFB" w:rsidRDefault="00B02DFB"/>
    <w:p w:rsidR="00B02DFB" w:rsidP="00B02DFB" w:rsidRDefault="00B02DFB"/>
    <w:p w:rsidR="00B02DFB" w:rsidP="00B02DFB" w:rsidRDefault="00B02DFB"/>
    <w:p w:rsidR="00B02DFB" w:rsidP="00B02DFB" w:rsidRDefault="00B02DFB"/>
    <w:p w:rsidR="00B02DFB" w:rsidP="00B02DFB" w:rsidRDefault="00B02DFB"/>
    <w:p w:rsidR="00B02DFB" w:rsidP="00B02DFB" w:rsidRDefault="00B02DFB"/>
    <w:p w:rsidR="00B02DFB" w:rsidP="00B02DFB" w:rsidRDefault="00B02DFB"/>
    <w:p w:rsidR="00B02DFB" w:rsidP="00B02DFB" w:rsidRDefault="00B02DFB"/>
    <w:p w:rsidR="00F618A7" w:rsidRDefault="00F618A7"/>
    <w:sectPr w:rsidR="00F618A7" w:rsidSect="00FF3D2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FB" w:rsidRDefault="00B02DFB" w:rsidP="00B02DFB">
      <w:r>
        <w:separator/>
      </w:r>
    </w:p>
  </w:endnote>
  <w:endnote w:type="continuationSeparator" w:id="0">
    <w:p w:rsidR="00B02DFB" w:rsidRDefault="00B02DFB" w:rsidP="00B0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FB" w:rsidRDefault="00B02DFB" w:rsidP="00B02DFB">
      <w:r>
        <w:separator/>
      </w:r>
    </w:p>
  </w:footnote>
  <w:footnote w:type="continuationSeparator" w:id="0">
    <w:p w:rsidR="00B02DFB" w:rsidRDefault="00B02DFB" w:rsidP="00B02DFB">
      <w:r>
        <w:continuationSeparator/>
      </w:r>
    </w:p>
  </w:footnote>
  <w:footnote w:id="1">
    <w:p w:rsidR="00B02DFB" w:rsidRDefault="00B02DFB" w:rsidP="00B02DFB">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B02DFB" w:rsidRPr="00B45904" w:rsidRDefault="00B02DFB" w:rsidP="00B02DFB">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8B7"/>
    <w:multiLevelType w:val="hybridMultilevel"/>
    <w:tmpl w:val="ECFAF120"/>
    <w:lvl w:ilvl="0" w:tplc="7056FBAE">
      <w:start w:val="1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734B1D"/>
    <w:multiLevelType w:val="hybridMultilevel"/>
    <w:tmpl w:val="9716A21C"/>
    <w:lvl w:ilvl="0" w:tplc="82C07308">
      <w:start w:val="14"/>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DFB"/>
    <w:rsid w:val="000522DF"/>
    <w:rsid w:val="002B415B"/>
    <w:rsid w:val="00433D6E"/>
    <w:rsid w:val="006C06DC"/>
    <w:rsid w:val="00B02DFB"/>
    <w:rsid w:val="00F618A7"/>
    <w:rsid w:val="00FE1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2DF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2DFB"/>
    <w:rPr>
      <w:color w:val="0000FF"/>
      <w:u w:val="single"/>
    </w:rPr>
  </w:style>
  <w:style w:type="paragraph" w:styleId="Voetnoottekst">
    <w:name w:val="footnote text"/>
    <w:basedOn w:val="Standaard"/>
    <w:link w:val="VoetnoottekstChar"/>
    <w:rsid w:val="00B02DFB"/>
    <w:rPr>
      <w:sz w:val="20"/>
      <w:szCs w:val="20"/>
    </w:rPr>
  </w:style>
  <w:style w:type="character" w:customStyle="1" w:styleId="VoetnoottekstChar">
    <w:name w:val="Voetnoottekst Char"/>
    <w:basedOn w:val="Standaardalinea-lettertype"/>
    <w:link w:val="Voetnoottekst"/>
    <w:rsid w:val="00B02DFB"/>
  </w:style>
  <w:style w:type="table" w:styleId="Tabelraster">
    <w:name w:val="Table Grid"/>
    <w:basedOn w:val="Standaardtabel"/>
    <w:rsid w:val="00B02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B02DFB"/>
    <w:rPr>
      <w:vertAlign w:val="superscript"/>
    </w:rPr>
  </w:style>
  <w:style w:type="paragraph" w:customStyle="1" w:styleId="typedudocumentcp1">
    <w:name w:val="typedudocument_cp1"/>
    <w:basedOn w:val="Standaard"/>
    <w:rsid w:val="00B02DFB"/>
    <w:pPr>
      <w:jc w:val="center"/>
    </w:pPr>
    <w:rPr>
      <w:b/>
      <w:bCs/>
    </w:rPr>
  </w:style>
  <w:style w:type="paragraph" w:customStyle="1" w:styleId="titreobjetcp1">
    <w:name w:val="titreobjet_cp1"/>
    <w:basedOn w:val="Standaard"/>
    <w:rsid w:val="00B02DFB"/>
    <w:pPr>
      <w:jc w:val="center"/>
    </w:pPr>
    <w:rPr>
      <w:b/>
      <w:bCs/>
    </w:rPr>
  </w:style>
  <w:style w:type="paragraph" w:styleId="Normaalweb">
    <w:name w:val="Normal (Web)"/>
    <w:basedOn w:val="Standaard"/>
    <w:uiPriority w:val="99"/>
    <w:unhideWhenUsed/>
    <w:rsid w:val="006C06DC"/>
    <w:pPr>
      <w:spacing w:before="100" w:beforeAutospacing="1" w:after="100" w:afterAutospacing="1"/>
    </w:pPr>
  </w:style>
  <w:style w:type="character" w:styleId="Zwaar">
    <w:name w:val="Strong"/>
    <w:basedOn w:val="Standaardalinea-lettertype"/>
    <w:uiPriority w:val="22"/>
    <w:qFormat/>
    <w:rsid w:val="006C06DC"/>
    <w:rPr>
      <w:b/>
      <w:bCs/>
    </w:rPr>
  </w:style>
  <w:style w:type="paragraph" w:styleId="Lijstalinea">
    <w:name w:val="List Paragraph"/>
    <w:basedOn w:val="Standaard"/>
    <w:uiPriority w:val="34"/>
    <w:qFormat/>
    <w:rsid w:val="006C06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B02DF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2DFB"/>
    <w:rPr>
      <w:color w:val="0000FF"/>
      <w:u w:val="single"/>
    </w:rPr>
  </w:style>
  <w:style w:type="paragraph" w:styleId="Voetnoottekst">
    <w:name w:val="footnote text"/>
    <w:basedOn w:val="Standaard"/>
    <w:link w:val="VoetnoottekstChar"/>
    <w:rsid w:val="00B02DFB"/>
    <w:rPr>
      <w:sz w:val="20"/>
      <w:szCs w:val="20"/>
    </w:rPr>
  </w:style>
  <w:style w:type="character" w:customStyle="1" w:styleId="VoetnoottekstChar">
    <w:name w:val="Voetnoottekst Char"/>
    <w:basedOn w:val="Standaardalinea-lettertype"/>
    <w:link w:val="Voetnoottekst"/>
    <w:rsid w:val="00B02DFB"/>
  </w:style>
  <w:style w:type="table" w:styleId="Tabelraster">
    <w:name w:val="Table Grid"/>
    <w:basedOn w:val="Standaardtabel"/>
    <w:rsid w:val="00B02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B02DFB"/>
    <w:rPr>
      <w:vertAlign w:val="superscript"/>
    </w:rPr>
  </w:style>
  <w:style w:type="paragraph" w:customStyle="1" w:styleId="typedudocumentcp1">
    <w:name w:val="typedudocument_cp1"/>
    <w:basedOn w:val="Standaard"/>
    <w:rsid w:val="00B02DFB"/>
    <w:pPr>
      <w:jc w:val="center"/>
    </w:pPr>
    <w:rPr>
      <w:b/>
      <w:bCs/>
    </w:rPr>
  </w:style>
  <w:style w:type="paragraph" w:customStyle="1" w:styleId="titreobjetcp1">
    <w:name w:val="titreobjet_cp1"/>
    <w:basedOn w:val="Standaard"/>
    <w:rsid w:val="00B02DFB"/>
    <w:pPr>
      <w:jc w:val="center"/>
    </w:pPr>
    <w:rPr>
      <w:b/>
      <w:bCs/>
    </w:rPr>
  </w:style>
  <w:style w:type="paragraph" w:styleId="Normaalweb">
    <w:name w:val="Normal (Web)"/>
    <w:basedOn w:val="Standaard"/>
    <w:uiPriority w:val="99"/>
    <w:unhideWhenUsed/>
    <w:rsid w:val="006C06DC"/>
    <w:pPr>
      <w:spacing w:before="100" w:beforeAutospacing="1" w:after="100" w:afterAutospacing="1"/>
    </w:pPr>
  </w:style>
  <w:style w:type="character" w:styleId="Zwaar">
    <w:name w:val="Strong"/>
    <w:basedOn w:val="Standaardalinea-lettertype"/>
    <w:uiPriority w:val="22"/>
    <w:qFormat/>
    <w:rsid w:val="006C06DC"/>
    <w:rPr>
      <w:b/>
      <w:bCs/>
    </w:rPr>
  </w:style>
  <w:style w:type="paragraph" w:styleId="Lijstalinea">
    <w:name w:val="List Paragraph"/>
    <w:basedOn w:val="Standaard"/>
    <w:uiPriority w:val="34"/>
    <w:qFormat/>
    <w:rsid w:val="006C0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924075">
      <w:bodyDiv w:val="1"/>
      <w:marLeft w:val="0"/>
      <w:marRight w:val="0"/>
      <w:marTop w:val="0"/>
      <w:marBottom w:val="0"/>
      <w:divBdr>
        <w:top w:val="none" w:sz="0" w:space="0" w:color="auto"/>
        <w:left w:val="none" w:sz="0" w:space="0" w:color="auto"/>
        <w:bottom w:val="none" w:sz="0" w:space="0" w:color="auto"/>
        <w:right w:val="none" w:sz="0" w:space="0" w:color="auto"/>
      </w:divBdr>
      <w:divsChild>
        <w:div w:id="1094085367">
          <w:marLeft w:val="0"/>
          <w:marRight w:val="0"/>
          <w:marTop w:val="0"/>
          <w:marBottom w:val="0"/>
          <w:divBdr>
            <w:top w:val="none" w:sz="0" w:space="0" w:color="auto"/>
            <w:left w:val="none" w:sz="0" w:space="0" w:color="auto"/>
            <w:bottom w:val="none" w:sz="0" w:space="0" w:color="auto"/>
            <w:right w:val="none" w:sz="0" w:space="0" w:color="auto"/>
          </w:divBdr>
          <w:divsChild>
            <w:div w:id="262231398">
              <w:marLeft w:val="0"/>
              <w:marRight w:val="0"/>
              <w:marTop w:val="0"/>
              <w:marBottom w:val="150"/>
              <w:divBdr>
                <w:top w:val="none" w:sz="0" w:space="0" w:color="auto"/>
                <w:left w:val="none" w:sz="0" w:space="0" w:color="auto"/>
                <w:bottom w:val="none" w:sz="0" w:space="0" w:color="auto"/>
                <w:right w:val="none" w:sz="0" w:space="0" w:color="auto"/>
              </w:divBdr>
              <w:divsChild>
                <w:div w:id="1928532623">
                  <w:marLeft w:val="0"/>
                  <w:marRight w:val="0"/>
                  <w:marTop w:val="0"/>
                  <w:marBottom w:val="0"/>
                  <w:divBdr>
                    <w:top w:val="none" w:sz="0" w:space="0" w:color="auto"/>
                    <w:left w:val="none" w:sz="0" w:space="0" w:color="auto"/>
                    <w:bottom w:val="none" w:sz="0" w:space="0" w:color="auto"/>
                    <w:right w:val="none" w:sz="0" w:space="0" w:color="auto"/>
                  </w:divBdr>
                  <w:divsChild>
                    <w:div w:id="1481539102">
                      <w:marLeft w:val="0"/>
                      <w:marRight w:val="0"/>
                      <w:marTop w:val="0"/>
                      <w:marBottom w:val="0"/>
                      <w:divBdr>
                        <w:top w:val="none" w:sz="0" w:space="0" w:color="auto"/>
                        <w:left w:val="none" w:sz="0" w:space="0" w:color="auto"/>
                        <w:bottom w:val="none" w:sz="0" w:space="0" w:color="auto"/>
                        <w:right w:val="none" w:sz="0" w:space="0" w:color="auto"/>
                      </w:divBdr>
                      <w:divsChild>
                        <w:div w:id="1001810210">
                          <w:marLeft w:val="0"/>
                          <w:marRight w:val="0"/>
                          <w:marTop w:val="0"/>
                          <w:marBottom w:val="0"/>
                          <w:divBdr>
                            <w:top w:val="none" w:sz="0" w:space="0" w:color="auto"/>
                            <w:left w:val="none" w:sz="0" w:space="0" w:color="auto"/>
                            <w:bottom w:val="none" w:sz="0" w:space="0" w:color="auto"/>
                            <w:right w:val="none" w:sz="0" w:space="0" w:color="auto"/>
                          </w:divBdr>
                          <w:divsChild>
                            <w:div w:id="1162890103">
                              <w:marLeft w:val="0"/>
                              <w:marRight w:val="0"/>
                              <w:marTop w:val="0"/>
                              <w:marBottom w:val="0"/>
                              <w:divBdr>
                                <w:top w:val="none" w:sz="0" w:space="0" w:color="auto"/>
                                <w:left w:val="none" w:sz="0" w:space="0" w:color="auto"/>
                                <w:bottom w:val="none" w:sz="0" w:space="0" w:color="auto"/>
                                <w:right w:val="none" w:sz="0" w:space="0" w:color="auto"/>
                              </w:divBdr>
                              <w:divsChild>
                                <w:div w:id="379399963">
                                  <w:marLeft w:val="0"/>
                                  <w:marRight w:val="-3600"/>
                                  <w:marTop w:val="150"/>
                                  <w:marBottom w:val="0"/>
                                  <w:divBdr>
                                    <w:top w:val="none" w:sz="0" w:space="0" w:color="auto"/>
                                    <w:left w:val="none" w:sz="0" w:space="0" w:color="auto"/>
                                    <w:bottom w:val="none" w:sz="0" w:space="0" w:color="auto"/>
                                    <w:right w:val="none" w:sz="0" w:space="0" w:color="auto"/>
                                  </w:divBdr>
                                  <w:divsChild>
                                    <w:div w:id="661130545">
                                      <w:marLeft w:val="0"/>
                                      <w:marRight w:val="3600"/>
                                      <w:marTop w:val="0"/>
                                      <w:marBottom w:val="0"/>
                                      <w:divBdr>
                                        <w:top w:val="none" w:sz="0" w:space="0" w:color="auto"/>
                                        <w:left w:val="none" w:sz="0" w:space="0" w:color="auto"/>
                                        <w:bottom w:val="none" w:sz="0" w:space="0" w:color="auto"/>
                                        <w:right w:val="none" w:sz="0" w:space="0" w:color="auto"/>
                                      </w:divBdr>
                                      <w:divsChild>
                                        <w:div w:id="438530651">
                                          <w:marLeft w:val="0"/>
                                          <w:marRight w:val="0"/>
                                          <w:marTop w:val="0"/>
                                          <w:marBottom w:val="0"/>
                                          <w:divBdr>
                                            <w:top w:val="none" w:sz="0" w:space="0" w:color="auto"/>
                                            <w:left w:val="none" w:sz="0" w:space="0" w:color="auto"/>
                                            <w:bottom w:val="none" w:sz="0" w:space="0" w:color="auto"/>
                                            <w:right w:val="none" w:sz="0" w:space="0" w:color="auto"/>
                                          </w:divBdr>
                                          <w:divsChild>
                                            <w:div w:id="1075854281">
                                              <w:marLeft w:val="0"/>
                                              <w:marRight w:val="0"/>
                                              <w:marTop w:val="0"/>
                                              <w:marBottom w:val="0"/>
                                              <w:divBdr>
                                                <w:top w:val="none" w:sz="0" w:space="0" w:color="auto"/>
                                                <w:left w:val="none" w:sz="0" w:space="0" w:color="auto"/>
                                                <w:bottom w:val="none" w:sz="0" w:space="0" w:color="auto"/>
                                                <w:right w:val="none" w:sz="0" w:space="0" w:color="auto"/>
                                              </w:divBdr>
                                              <w:divsChild>
                                                <w:div w:id="1536036516">
                                                  <w:marLeft w:val="0"/>
                                                  <w:marRight w:val="0"/>
                                                  <w:marTop w:val="0"/>
                                                  <w:marBottom w:val="0"/>
                                                  <w:divBdr>
                                                    <w:top w:val="none" w:sz="0" w:space="0" w:color="auto"/>
                                                    <w:left w:val="none" w:sz="0" w:space="0" w:color="auto"/>
                                                    <w:bottom w:val="none" w:sz="0" w:space="0" w:color="auto"/>
                                                    <w:right w:val="none" w:sz="0" w:space="0" w:color="auto"/>
                                                  </w:divBdr>
                                                  <w:divsChild>
                                                    <w:div w:id="765810403">
                                                      <w:marLeft w:val="0"/>
                                                      <w:marRight w:val="0"/>
                                                      <w:marTop w:val="0"/>
                                                      <w:marBottom w:val="0"/>
                                                      <w:divBdr>
                                                        <w:top w:val="none" w:sz="0" w:space="0" w:color="auto"/>
                                                        <w:left w:val="none" w:sz="0" w:space="0" w:color="auto"/>
                                                        <w:bottom w:val="none" w:sz="0" w:space="0" w:color="auto"/>
                                                        <w:right w:val="none" w:sz="0" w:space="0" w:color="auto"/>
                                                      </w:divBdr>
                                                      <w:divsChild>
                                                        <w:div w:id="1273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8166111">
      <w:bodyDiv w:val="1"/>
      <w:marLeft w:val="0"/>
      <w:marRight w:val="0"/>
      <w:marTop w:val="0"/>
      <w:marBottom w:val="0"/>
      <w:divBdr>
        <w:top w:val="none" w:sz="0" w:space="0" w:color="auto"/>
        <w:left w:val="none" w:sz="0" w:space="0" w:color="auto"/>
        <w:bottom w:val="none" w:sz="0" w:space="0" w:color="auto"/>
        <w:right w:val="none" w:sz="0" w:space="0" w:color="auto"/>
      </w:divBdr>
      <w:divsChild>
        <w:div w:id="1488746644">
          <w:marLeft w:val="0"/>
          <w:marRight w:val="0"/>
          <w:marTop w:val="0"/>
          <w:marBottom w:val="0"/>
          <w:divBdr>
            <w:top w:val="none" w:sz="0" w:space="0" w:color="auto"/>
            <w:left w:val="none" w:sz="0" w:space="0" w:color="auto"/>
            <w:bottom w:val="none" w:sz="0" w:space="0" w:color="auto"/>
            <w:right w:val="none" w:sz="0" w:space="0" w:color="auto"/>
          </w:divBdr>
          <w:divsChild>
            <w:div w:id="821696976">
              <w:marLeft w:val="0"/>
              <w:marRight w:val="0"/>
              <w:marTop w:val="0"/>
              <w:marBottom w:val="0"/>
              <w:divBdr>
                <w:top w:val="none" w:sz="0" w:space="0" w:color="auto"/>
                <w:left w:val="none" w:sz="0" w:space="0" w:color="auto"/>
                <w:bottom w:val="none" w:sz="0" w:space="0" w:color="auto"/>
                <w:right w:val="none" w:sz="0" w:space="0" w:color="auto"/>
              </w:divBdr>
              <w:divsChild>
                <w:div w:id="1122378579">
                  <w:marLeft w:val="0"/>
                  <w:marRight w:val="0"/>
                  <w:marTop w:val="0"/>
                  <w:marBottom w:val="0"/>
                  <w:divBdr>
                    <w:top w:val="none" w:sz="0" w:space="0" w:color="auto"/>
                    <w:left w:val="none" w:sz="0" w:space="0" w:color="auto"/>
                    <w:bottom w:val="none" w:sz="0" w:space="0" w:color="auto"/>
                    <w:right w:val="none" w:sz="0" w:space="0" w:color="auto"/>
                  </w:divBdr>
                  <w:divsChild>
                    <w:div w:id="1817255136">
                      <w:marLeft w:val="-150"/>
                      <w:marRight w:val="-150"/>
                      <w:marTop w:val="0"/>
                      <w:marBottom w:val="0"/>
                      <w:divBdr>
                        <w:top w:val="none" w:sz="0" w:space="0" w:color="auto"/>
                        <w:left w:val="none" w:sz="0" w:space="0" w:color="auto"/>
                        <w:bottom w:val="none" w:sz="0" w:space="0" w:color="auto"/>
                        <w:right w:val="none" w:sz="0" w:space="0" w:color="auto"/>
                      </w:divBdr>
                      <w:divsChild>
                        <w:div w:id="1236472476">
                          <w:marLeft w:val="0"/>
                          <w:marRight w:val="0"/>
                          <w:marTop w:val="0"/>
                          <w:marBottom w:val="0"/>
                          <w:divBdr>
                            <w:top w:val="none" w:sz="0" w:space="0" w:color="auto"/>
                            <w:left w:val="none" w:sz="0" w:space="0" w:color="auto"/>
                            <w:bottom w:val="none" w:sz="0" w:space="0" w:color="auto"/>
                            <w:right w:val="none" w:sz="0" w:space="0" w:color="auto"/>
                          </w:divBdr>
                          <w:divsChild>
                            <w:div w:id="440075246">
                              <w:marLeft w:val="0"/>
                              <w:marRight w:val="0"/>
                              <w:marTop w:val="0"/>
                              <w:marBottom w:val="0"/>
                              <w:divBdr>
                                <w:top w:val="none" w:sz="0" w:space="0" w:color="auto"/>
                                <w:left w:val="none" w:sz="0" w:space="0" w:color="auto"/>
                                <w:bottom w:val="none" w:sz="0" w:space="0" w:color="auto"/>
                                <w:right w:val="none" w:sz="0" w:space="0" w:color="auto"/>
                              </w:divBdr>
                              <w:divsChild>
                                <w:div w:id="282201543">
                                  <w:marLeft w:val="0"/>
                                  <w:marRight w:val="0"/>
                                  <w:marTop w:val="0"/>
                                  <w:marBottom w:val="300"/>
                                  <w:divBdr>
                                    <w:top w:val="none" w:sz="0" w:space="0" w:color="auto"/>
                                    <w:left w:val="none" w:sz="0" w:space="0" w:color="auto"/>
                                    <w:bottom w:val="none" w:sz="0" w:space="0" w:color="auto"/>
                                    <w:right w:val="none" w:sz="0" w:space="0" w:color="auto"/>
                                  </w:divBdr>
                                  <w:divsChild>
                                    <w:div w:id="776873223">
                                      <w:marLeft w:val="0"/>
                                      <w:marRight w:val="0"/>
                                      <w:marTop w:val="0"/>
                                      <w:marBottom w:val="0"/>
                                      <w:divBdr>
                                        <w:top w:val="none" w:sz="0" w:space="0" w:color="auto"/>
                                        <w:left w:val="none" w:sz="0" w:space="0" w:color="auto"/>
                                        <w:bottom w:val="none" w:sz="0" w:space="0" w:color="auto"/>
                                        <w:right w:val="none" w:sz="0" w:space="0" w:color="auto"/>
                                      </w:divBdr>
                                      <w:divsChild>
                                        <w:div w:id="2002076701">
                                          <w:marLeft w:val="0"/>
                                          <w:marRight w:val="0"/>
                                          <w:marTop w:val="0"/>
                                          <w:marBottom w:val="0"/>
                                          <w:divBdr>
                                            <w:top w:val="none" w:sz="0" w:space="0" w:color="auto"/>
                                            <w:left w:val="none" w:sz="0" w:space="0" w:color="auto"/>
                                            <w:bottom w:val="none" w:sz="0" w:space="0" w:color="auto"/>
                                            <w:right w:val="none" w:sz="0" w:space="0" w:color="auto"/>
                                          </w:divBdr>
                                          <w:divsChild>
                                            <w:div w:id="1086263640">
                                              <w:marLeft w:val="0"/>
                                              <w:marRight w:val="0"/>
                                              <w:marTop w:val="0"/>
                                              <w:marBottom w:val="0"/>
                                              <w:divBdr>
                                                <w:top w:val="none" w:sz="0" w:space="0" w:color="auto"/>
                                                <w:left w:val="none" w:sz="0" w:space="0" w:color="auto"/>
                                                <w:bottom w:val="none" w:sz="0" w:space="0" w:color="auto"/>
                                                <w:right w:val="none" w:sz="0" w:space="0" w:color="auto"/>
                                              </w:divBdr>
                                              <w:divsChild>
                                                <w:div w:id="1706828270">
                                                  <w:marLeft w:val="0"/>
                                                  <w:marRight w:val="0"/>
                                                  <w:marTop w:val="0"/>
                                                  <w:marBottom w:val="0"/>
                                                  <w:divBdr>
                                                    <w:top w:val="none" w:sz="0" w:space="0" w:color="auto"/>
                                                    <w:left w:val="none" w:sz="0" w:space="0" w:color="auto"/>
                                                    <w:bottom w:val="none" w:sz="0" w:space="0" w:color="auto"/>
                                                    <w:right w:val="none" w:sz="0" w:space="0" w:color="auto"/>
                                                  </w:divBdr>
                                                  <w:divsChild>
                                                    <w:div w:id="595022483">
                                                      <w:marLeft w:val="0"/>
                                                      <w:marRight w:val="0"/>
                                                      <w:marTop w:val="0"/>
                                                      <w:marBottom w:val="0"/>
                                                      <w:divBdr>
                                                        <w:top w:val="none" w:sz="0" w:space="0" w:color="auto"/>
                                                        <w:left w:val="none" w:sz="0" w:space="0" w:color="auto"/>
                                                        <w:bottom w:val="none" w:sz="0" w:space="0" w:color="auto"/>
                                                        <w:right w:val="none" w:sz="0" w:space="0" w:color="auto"/>
                                                      </w:divBdr>
                                                      <w:divsChild>
                                                        <w:div w:id="1841699336">
                                                          <w:marLeft w:val="0"/>
                                                          <w:marRight w:val="0"/>
                                                          <w:marTop w:val="0"/>
                                                          <w:marBottom w:val="0"/>
                                                          <w:divBdr>
                                                            <w:top w:val="none" w:sz="0" w:space="0" w:color="auto"/>
                                                            <w:left w:val="none" w:sz="0" w:space="0" w:color="auto"/>
                                                            <w:bottom w:val="none" w:sz="0" w:space="0" w:color="auto"/>
                                                            <w:right w:val="none" w:sz="0" w:space="0" w:color="auto"/>
                                                          </w:divBdr>
                                                          <w:divsChild>
                                                            <w:div w:id="899246450">
                                                              <w:marLeft w:val="0"/>
                                                              <w:marRight w:val="0"/>
                                                              <w:marTop w:val="0"/>
                                                              <w:marBottom w:val="0"/>
                                                              <w:divBdr>
                                                                <w:top w:val="none" w:sz="0" w:space="0" w:color="auto"/>
                                                                <w:left w:val="none" w:sz="0" w:space="0" w:color="auto"/>
                                                                <w:bottom w:val="none" w:sz="0" w:space="0" w:color="auto"/>
                                                                <w:right w:val="none" w:sz="0" w:space="0" w:color="auto"/>
                                                              </w:divBdr>
                                                              <w:divsChild>
                                                                <w:div w:id="425687637">
                                                                  <w:marLeft w:val="0"/>
                                                                  <w:marRight w:val="0"/>
                                                                  <w:marTop w:val="0"/>
                                                                  <w:marBottom w:val="0"/>
                                                                  <w:divBdr>
                                                                    <w:top w:val="none" w:sz="0" w:space="0" w:color="auto"/>
                                                                    <w:left w:val="none" w:sz="0" w:space="0" w:color="auto"/>
                                                                    <w:bottom w:val="none" w:sz="0" w:space="0" w:color="auto"/>
                                                                    <w:right w:val="none" w:sz="0" w:space="0" w:color="auto"/>
                                                                  </w:divBdr>
                                                                  <w:divsChild>
                                                                    <w:div w:id="13469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ur-lex.europa.eu/legal-content/NL/TXT/?qid=1561473694574&amp;uri=CELEX:52019DC0285"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ec.europa.eu/yourvoice/consultations/index_nl.htm" TargetMode="External" Id="rId10" /><Relationship Type="http://schemas.openxmlformats.org/officeDocument/2006/relationships/settings" Target="settings.xml" Id="rId4"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2500</ap:Words>
  <ap:Characters>13753</ap:Characters>
  <ap:DocSecurity>4</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2019-06-27T09:00:00.0000000Z</dcterms:created>
  <dcterms:modified xsi:type="dcterms:W3CDTF">2019-06-27T09:00:00.0000000Z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0x010100D664B5A6F7A9D34597B87370CA2E0C30</vt:lpwstr>
  </property>
</Properties>
</file>