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C00215" w:rsidP="00C00215" w:rsidRDefault="00C00215" w14:paraId="2C2D351C"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C00215" w:rsidP="00C00215" w:rsidRDefault="00C00215" w14:paraId="5D5B3F4C" w14:textId="77777777">
      <w:pPr>
        <w:rPr>
          <w:rFonts w:asciiTheme="minorHAnsi" w:hAnsiTheme="minorHAnsi"/>
          <w:sz w:val="20"/>
          <w:szCs w:val="20"/>
        </w:rPr>
      </w:pPr>
    </w:p>
    <w:p w:rsidRPr="00C00215" w:rsidR="00C00215" w:rsidP="00C00215" w:rsidRDefault="00C00215" w14:paraId="1098356E" w14:textId="77777777">
      <w:pPr>
        <w:rPr>
          <w:rFonts w:asciiTheme="minorHAnsi" w:hAnsiTheme="minorHAnsi"/>
          <w:color w:val="FF0000"/>
          <w:sz w:val="20"/>
          <w:szCs w:val="20"/>
          <w:u w:val="single"/>
        </w:rPr>
      </w:pPr>
      <w:r w:rsidRPr="0055500A">
        <w:rPr>
          <w:rFonts w:asciiTheme="minorHAnsi" w:hAnsiTheme="minorHAnsi"/>
          <w:sz w:val="20"/>
          <w:szCs w:val="20"/>
          <w:u w:val="single"/>
        </w:rPr>
        <w:t xml:space="preserve">Integraal overzicht met nieuw gepubliceerde EU-voorstellen van </w:t>
      </w:r>
      <w:r w:rsidR="00327119">
        <w:rPr>
          <w:rFonts w:asciiTheme="minorHAnsi" w:hAnsiTheme="minorHAnsi"/>
          <w:sz w:val="20"/>
          <w:szCs w:val="20"/>
          <w:u w:val="single"/>
        </w:rPr>
        <w:t xml:space="preserve">14 juni 2019 tot en met </w:t>
      </w:r>
      <w:r w:rsidR="00261F1F">
        <w:rPr>
          <w:rFonts w:asciiTheme="minorHAnsi" w:hAnsiTheme="minorHAnsi"/>
          <w:sz w:val="20"/>
          <w:szCs w:val="20"/>
          <w:u w:val="single"/>
        </w:rPr>
        <w:t>4 september 2019</w:t>
      </w:r>
      <w:r w:rsidRPr="0055500A">
        <w:rPr>
          <w:rFonts w:asciiTheme="minorHAnsi" w:hAnsiTheme="minorHAnsi"/>
          <w:sz w:val="20"/>
          <w:szCs w:val="20"/>
          <w:u w:val="single"/>
        </w:rPr>
        <w:t xml:space="preserve"> </w:t>
      </w:r>
    </w:p>
    <w:p w:rsidRPr="00221383" w:rsidR="00C00215" w:rsidP="00C00215" w:rsidRDefault="00C00215" w14:paraId="3A46893D"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4536"/>
        <w:gridCol w:w="1276"/>
        <w:gridCol w:w="708"/>
        <w:gridCol w:w="4820"/>
      </w:tblGrid>
      <w:tr w:rsidRPr="00221383" w:rsidR="00C00215" w:rsidTr="00614A1B" w14:paraId="2225CDCF" w14:textId="77777777">
        <w:trPr>
          <w:trHeight w:val="1550"/>
        </w:trPr>
        <w:tc>
          <w:tcPr>
            <w:tcW w:w="1149" w:type="dxa"/>
            <w:shd w:val="clear" w:color="auto" w:fill="auto"/>
            <w:textDirection w:val="btLr"/>
            <w:vAlign w:val="bottom"/>
            <w:hideMark/>
          </w:tcPr>
          <w:p w:rsidRPr="00221383" w:rsidR="00C00215" w:rsidP="00014FF3" w:rsidRDefault="00C00215" w14:paraId="3F0BBF8E" w14:textId="77777777">
            <w:pPr>
              <w:rPr>
                <w:rFonts w:asciiTheme="minorHAnsi" w:hAnsiTheme="minorHAnsi"/>
                <w:b/>
                <w:bCs/>
                <w:color w:val="000000"/>
                <w:sz w:val="20"/>
                <w:szCs w:val="20"/>
              </w:rPr>
            </w:pPr>
            <w:r w:rsidRPr="00221383">
              <w:rPr>
                <w:rFonts w:asciiTheme="minorHAnsi" w:hAnsiTheme="minorHAnsi"/>
                <w:b/>
                <w:bCs/>
                <w:color w:val="000000"/>
                <w:sz w:val="20"/>
                <w:szCs w:val="20"/>
              </w:rPr>
              <w:t>Publicatie-</w:t>
            </w:r>
          </w:p>
          <w:p w:rsidRPr="00221383" w:rsidR="00C00215" w:rsidP="00014FF3" w:rsidRDefault="00C00215" w14:paraId="40C06E9F" w14:textId="77777777">
            <w:pPr>
              <w:rPr>
                <w:rFonts w:asciiTheme="minorHAnsi" w:hAnsiTheme="minorHAnsi"/>
                <w:b/>
                <w:bCs/>
                <w:color w:val="000000"/>
                <w:sz w:val="20"/>
                <w:szCs w:val="20"/>
              </w:rPr>
            </w:pPr>
            <w:r w:rsidRPr="00221383">
              <w:rPr>
                <w:rFonts w:asciiTheme="minorHAnsi" w:hAnsiTheme="minorHAnsi"/>
                <w:b/>
                <w:bCs/>
                <w:color w:val="000000"/>
                <w:sz w:val="20"/>
                <w:szCs w:val="20"/>
              </w:rPr>
              <w:t>datum</w:t>
            </w:r>
          </w:p>
        </w:tc>
        <w:tc>
          <w:tcPr>
            <w:tcW w:w="567" w:type="dxa"/>
            <w:shd w:val="clear" w:color="auto" w:fill="auto"/>
            <w:textDirection w:val="btLr"/>
            <w:vAlign w:val="bottom"/>
            <w:hideMark/>
          </w:tcPr>
          <w:p w:rsidRPr="00221383" w:rsidR="00C00215" w:rsidP="00014FF3" w:rsidRDefault="00C00215" w14:paraId="3160A0E8" w14:textId="77777777">
            <w:pPr>
              <w:rPr>
                <w:rFonts w:asciiTheme="minorHAnsi" w:hAnsiTheme="minorHAnsi"/>
                <w:b/>
                <w:bCs/>
                <w:color w:val="000000"/>
                <w:sz w:val="20"/>
                <w:szCs w:val="20"/>
              </w:rPr>
            </w:pPr>
            <w:r w:rsidRPr="00221383">
              <w:rPr>
                <w:rFonts w:asciiTheme="minorHAnsi" w:hAnsiTheme="minorHAnsi"/>
                <w:b/>
                <w:bCs/>
                <w:color w:val="000000"/>
                <w:sz w:val="20"/>
                <w:szCs w:val="20"/>
              </w:rPr>
              <w:t>Voortouw</w:t>
            </w:r>
          </w:p>
        </w:tc>
        <w:tc>
          <w:tcPr>
            <w:tcW w:w="1418" w:type="dxa"/>
            <w:shd w:val="clear" w:color="auto" w:fill="auto"/>
            <w:textDirection w:val="btLr"/>
            <w:vAlign w:val="bottom"/>
            <w:hideMark/>
          </w:tcPr>
          <w:p w:rsidRPr="00221383" w:rsidR="00C00215" w:rsidP="00014FF3" w:rsidRDefault="00C00215" w14:paraId="6309A145" w14:textId="77777777">
            <w:pPr>
              <w:rPr>
                <w:rFonts w:asciiTheme="minorHAnsi" w:hAnsiTheme="minorHAnsi"/>
                <w:b/>
                <w:bCs/>
                <w:color w:val="000000"/>
                <w:sz w:val="20"/>
                <w:szCs w:val="20"/>
              </w:rPr>
            </w:pPr>
            <w:r w:rsidRPr="00221383">
              <w:rPr>
                <w:rFonts w:asciiTheme="minorHAnsi" w:hAnsiTheme="minorHAnsi"/>
                <w:b/>
                <w:bCs/>
                <w:color w:val="000000"/>
                <w:sz w:val="20"/>
                <w:szCs w:val="20"/>
              </w:rPr>
              <w:t>Soort</w:t>
            </w:r>
          </w:p>
        </w:tc>
        <w:tc>
          <w:tcPr>
            <w:tcW w:w="4536" w:type="dxa"/>
            <w:shd w:val="clear" w:color="auto" w:fill="auto"/>
            <w:textDirection w:val="btLr"/>
            <w:vAlign w:val="bottom"/>
            <w:hideMark/>
          </w:tcPr>
          <w:p w:rsidRPr="00221383" w:rsidR="00C00215" w:rsidP="00014FF3" w:rsidRDefault="00C00215" w14:paraId="037CCEBA" w14:textId="77777777">
            <w:pPr>
              <w:rPr>
                <w:rFonts w:asciiTheme="minorHAnsi" w:hAnsiTheme="minorHAnsi"/>
                <w:b/>
                <w:bCs/>
                <w:color w:val="000000"/>
                <w:sz w:val="20"/>
                <w:szCs w:val="20"/>
              </w:rPr>
            </w:pPr>
            <w:r w:rsidRPr="00221383">
              <w:rPr>
                <w:rFonts w:asciiTheme="minorHAnsi" w:hAnsiTheme="minorHAnsi"/>
                <w:b/>
                <w:bCs/>
                <w:color w:val="000000"/>
                <w:sz w:val="20"/>
                <w:szCs w:val="20"/>
              </w:rPr>
              <w:t>Titel</w:t>
            </w:r>
          </w:p>
        </w:tc>
        <w:tc>
          <w:tcPr>
            <w:tcW w:w="1276" w:type="dxa"/>
            <w:shd w:val="clear" w:color="auto" w:fill="auto"/>
            <w:textDirection w:val="btLr"/>
            <w:vAlign w:val="bottom"/>
            <w:hideMark/>
          </w:tcPr>
          <w:p w:rsidRPr="00221383" w:rsidR="00C00215" w:rsidP="00014FF3" w:rsidRDefault="00C00215" w14:paraId="6613764E" w14:textId="77777777">
            <w:pPr>
              <w:rPr>
                <w:rFonts w:asciiTheme="minorHAnsi" w:hAnsiTheme="minorHAnsi"/>
                <w:b/>
                <w:bCs/>
                <w:color w:val="000000"/>
                <w:sz w:val="20"/>
                <w:szCs w:val="20"/>
              </w:rPr>
            </w:pPr>
            <w:r w:rsidRPr="00221383">
              <w:rPr>
                <w:rFonts w:asciiTheme="minorHAnsi" w:hAnsiTheme="minorHAnsi"/>
                <w:b/>
                <w:bCs/>
                <w:color w:val="000000"/>
                <w:sz w:val="20"/>
                <w:szCs w:val="20"/>
              </w:rPr>
              <w:t>COM-nummer</w:t>
            </w:r>
          </w:p>
        </w:tc>
        <w:tc>
          <w:tcPr>
            <w:tcW w:w="708" w:type="dxa"/>
            <w:textDirection w:val="btLr"/>
          </w:tcPr>
          <w:p w:rsidRPr="00221383" w:rsidR="00C00215" w:rsidP="00014FF3" w:rsidRDefault="00C00215" w14:paraId="13AE8C25" w14:textId="77777777">
            <w:pPr>
              <w:rPr>
                <w:rFonts w:asciiTheme="minorHAnsi" w:hAnsiTheme="minorHAnsi"/>
                <w:b/>
                <w:bCs/>
                <w:color w:val="000000"/>
                <w:sz w:val="20"/>
                <w:szCs w:val="20"/>
              </w:rPr>
            </w:pPr>
            <w:r w:rsidRPr="00221383">
              <w:rPr>
                <w:rFonts w:asciiTheme="minorHAnsi" w:hAnsiTheme="minorHAnsi"/>
                <w:b/>
                <w:bCs/>
                <w:color w:val="000000"/>
                <w:sz w:val="20"/>
                <w:szCs w:val="20"/>
              </w:rPr>
              <w:t>Deadline</w:t>
            </w:r>
          </w:p>
          <w:p w:rsidRPr="00221383" w:rsidR="00C00215" w:rsidP="00014FF3" w:rsidRDefault="00C00215" w14:paraId="2A4319F2" w14:textId="77777777">
            <w:pPr>
              <w:rPr>
                <w:rFonts w:asciiTheme="minorHAnsi" w:hAnsiTheme="minorHAnsi"/>
                <w:b/>
                <w:bCs/>
                <w:color w:val="000000"/>
                <w:sz w:val="20"/>
                <w:szCs w:val="20"/>
              </w:rPr>
            </w:pPr>
            <w:r w:rsidRPr="00221383">
              <w:rPr>
                <w:rFonts w:asciiTheme="minorHAnsi" w:hAnsiTheme="minorHAnsi"/>
                <w:b/>
                <w:bCs/>
                <w:color w:val="000000"/>
                <w:sz w:val="20"/>
                <w:szCs w:val="20"/>
              </w:rPr>
              <w:t>Sub.toets</w:t>
            </w:r>
          </w:p>
        </w:tc>
        <w:tc>
          <w:tcPr>
            <w:tcW w:w="4820" w:type="dxa"/>
            <w:shd w:val="clear" w:color="auto" w:fill="auto"/>
            <w:textDirection w:val="btLr"/>
            <w:vAlign w:val="bottom"/>
            <w:hideMark/>
          </w:tcPr>
          <w:p w:rsidRPr="008505DB" w:rsidR="00C00215" w:rsidP="00014FF3" w:rsidRDefault="00C00215" w14:paraId="6B471CB9" w14:textId="77777777">
            <w:pPr>
              <w:rPr>
                <w:rFonts w:asciiTheme="minorHAnsi" w:hAnsiTheme="minorHAnsi"/>
                <w:b/>
                <w:bCs/>
                <w:color w:val="000000"/>
                <w:sz w:val="20"/>
                <w:szCs w:val="20"/>
              </w:rPr>
            </w:pPr>
            <w:r w:rsidRPr="008505DB">
              <w:rPr>
                <w:rFonts w:asciiTheme="minorHAnsi" w:hAnsiTheme="minorHAnsi"/>
                <w:b/>
                <w:bCs/>
                <w:color w:val="000000"/>
                <w:sz w:val="20"/>
                <w:szCs w:val="20"/>
              </w:rPr>
              <w:t>Opmerking</w:t>
            </w:r>
          </w:p>
        </w:tc>
      </w:tr>
      <w:tr w:rsidRPr="00221383" w:rsidR="00C00215" w:rsidTr="00614A1B" w14:paraId="5FA2E124" w14:textId="77777777">
        <w:trPr>
          <w:trHeight w:val="300"/>
        </w:trPr>
        <w:tc>
          <w:tcPr>
            <w:tcW w:w="1149" w:type="dxa"/>
            <w:tcBorders>
              <w:bottom w:val="single" w:color="auto" w:sz="4" w:space="0"/>
            </w:tcBorders>
            <w:shd w:val="clear" w:color="000000" w:fill="538DD5"/>
            <w:vAlign w:val="bottom"/>
            <w:hideMark/>
          </w:tcPr>
          <w:p w:rsidRPr="00221383" w:rsidR="00C00215" w:rsidP="00014FF3" w:rsidRDefault="00C00215" w14:paraId="1F55478E"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221383" w:rsidR="00C00215" w:rsidP="00014FF3" w:rsidRDefault="00C00215" w14:paraId="25A6E5C2"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221383" w:rsidR="00C00215" w:rsidP="00014FF3" w:rsidRDefault="00C00215" w14:paraId="0EC90EC8"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4536" w:type="dxa"/>
            <w:tcBorders>
              <w:bottom w:val="single" w:color="auto" w:sz="4" w:space="0"/>
            </w:tcBorders>
            <w:shd w:val="clear" w:color="000000" w:fill="538DD5"/>
            <w:vAlign w:val="bottom"/>
            <w:hideMark/>
          </w:tcPr>
          <w:p w:rsidRPr="00221383" w:rsidR="00C00215" w:rsidP="00014FF3" w:rsidRDefault="00C00215" w14:paraId="5248D730"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1276" w:type="dxa"/>
            <w:tcBorders>
              <w:bottom w:val="single" w:color="auto" w:sz="4" w:space="0"/>
            </w:tcBorders>
            <w:shd w:val="clear" w:color="000000" w:fill="538DD5"/>
            <w:vAlign w:val="bottom"/>
            <w:hideMark/>
          </w:tcPr>
          <w:p w:rsidRPr="00221383" w:rsidR="00C00215" w:rsidP="00014FF3" w:rsidRDefault="00C00215" w14:paraId="4F741FAF" w14:textId="77777777">
            <w:pPr>
              <w:rPr>
                <w:rFonts w:asciiTheme="minorHAnsi" w:hAnsiTheme="minorHAnsi"/>
                <w:b/>
                <w:bCs/>
                <w:color w:val="000000"/>
                <w:sz w:val="20"/>
                <w:szCs w:val="20"/>
              </w:rPr>
            </w:pPr>
            <w:r w:rsidRPr="00221383">
              <w:rPr>
                <w:rFonts w:asciiTheme="minorHAnsi" w:hAnsiTheme="minorHAnsi"/>
                <w:b/>
                <w:bCs/>
                <w:color w:val="000000"/>
                <w:sz w:val="20"/>
                <w:szCs w:val="20"/>
              </w:rPr>
              <w:t> </w:t>
            </w:r>
          </w:p>
        </w:tc>
        <w:tc>
          <w:tcPr>
            <w:tcW w:w="708" w:type="dxa"/>
            <w:tcBorders>
              <w:bottom w:val="single" w:color="auto" w:sz="4" w:space="0"/>
            </w:tcBorders>
            <w:shd w:val="clear" w:color="000000" w:fill="538DD5"/>
          </w:tcPr>
          <w:p w:rsidRPr="00221383" w:rsidR="00C00215" w:rsidP="00014FF3" w:rsidRDefault="00C00215" w14:paraId="34F04ED9" w14:textId="77777777">
            <w:pPr>
              <w:rPr>
                <w:rFonts w:asciiTheme="minorHAnsi" w:hAnsiTheme="minorHAnsi"/>
                <w:b/>
                <w:bCs/>
                <w:color w:val="000000"/>
                <w:sz w:val="20"/>
                <w:szCs w:val="20"/>
              </w:rPr>
            </w:pPr>
          </w:p>
        </w:tc>
        <w:tc>
          <w:tcPr>
            <w:tcW w:w="4820" w:type="dxa"/>
            <w:tcBorders>
              <w:bottom w:val="single" w:color="auto" w:sz="4" w:space="0"/>
            </w:tcBorders>
            <w:shd w:val="clear" w:color="000000" w:fill="538DD5"/>
            <w:hideMark/>
          </w:tcPr>
          <w:p w:rsidRPr="008505DB" w:rsidR="00C00215" w:rsidP="00014FF3" w:rsidRDefault="00C00215" w14:paraId="020D9F3F" w14:textId="77777777">
            <w:pPr>
              <w:rPr>
                <w:rFonts w:asciiTheme="minorHAnsi" w:hAnsiTheme="minorHAnsi"/>
                <w:b/>
                <w:bCs/>
                <w:color w:val="000000"/>
                <w:sz w:val="20"/>
                <w:szCs w:val="20"/>
              </w:rPr>
            </w:pPr>
            <w:r w:rsidRPr="008505DB">
              <w:rPr>
                <w:rFonts w:asciiTheme="minorHAnsi" w:hAnsiTheme="minorHAnsi"/>
                <w:b/>
                <w:bCs/>
                <w:color w:val="000000"/>
                <w:sz w:val="20"/>
                <w:szCs w:val="20"/>
              </w:rPr>
              <w:t> </w:t>
            </w:r>
          </w:p>
        </w:tc>
      </w:tr>
      <w:tr w:rsidRPr="00221383" w:rsidR="00212212" w:rsidTr="00614A1B" w14:paraId="2FF17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12212" w:rsidR="00212212" w:rsidP="00014FF3" w:rsidRDefault="00212212" w14:paraId="06A41732" w14:textId="77777777">
            <w:pPr>
              <w:rPr>
                <w:rFonts w:ascii="Calibri" w:hAnsi="Calibri"/>
                <w:color w:val="000000"/>
                <w:sz w:val="22"/>
                <w:szCs w:val="22"/>
              </w:rPr>
            </w:pPr>
            <w:r>
              <w:rPr>
                <w:rFonts w:ascii="Calibri" w:hAnsi="Calibri"/>
                <w:color w:val="000000"/>
                <w:sz w:val="22"/>
                <w:szCs w:val="22"/>
              </w:rPr>
              <w:t>16-jul-19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212212" w:rsidR="00212212" w:rsidP="00014FF3" w:rsidRDefault="00212212" w14:paraId="601A9FF8"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52026E" w:rsidRDefault="00212212" w14:paraId="7877DFE1" w14:textId="77777777">
            <w:pPr>
              <w:rPr>
                <w:rFonts w:ascii="Calibri" w:hAnsi="Calibri"/>
                <w:color w:val="000000"/>
                <w:sz w:val="22"/>
                <w:szCs w:val="22"/>
              </w:rPr>
            </w:pPr>
            <w:r>
              <w:rPr>
                <w:rFonts w:ascii="Calibri" w:hAnsi="Calibri"/>
                <w:color w:val="000000"/>
                <w:sz w:val="22"/>
                <w:szCs w:val="22"/>
              </w:rPr>
              <w:t>Verordening</w:t>
            </w:r>
          </w:p>
        </w:tc>
        <w:tc>
          <w:tcPr>
            <w:tcW w:w="4536" w:type="dxa"/>
            <w:tcBorders>
              <w:top w:val="single" w:color="auto" w:sz="4" w:space="0"/>
              <w:left w:val="nil"/>
              <w:bottom w:val="single" w:color="auto" w:sz="4" w:space="0"/>
              <w:right w:val="nil"/>
            </w:tcBorders>
            <w:shd w:val="clear" w:color="auto" w:fill="FFFFFF" w:themeFill="background1"/>
            <w:noWrap/>
          </w:tcPr>
          <w:p w:rsidRPr="00212212" w:rsidR="00212212" w:rsidP="00014FF3" w:rsidRDefault="00212212" w14:paraId="29D4C56F" w14:textId="77777777">
            <w:pPr>
              <w:rPr>
                <w:rFonts w:ascii="Calibri" w:hAnsi="Calibri"/>
                <w:color w:val="000000"/>
                <w:sz w:val="22"/>
                <w:szCs w:val="22"/>
              </w:rPr>
            </w:pPr>
            <w:r>
              <w:rPr>
                <w:rFonts w:ascii="Calibri" w:hAnsi="Calibri"/>
                <w:color w:val="000000"/>
                <w:sz w:val="22"/>
                <w:szCs w:val="22"/>
              </w:rPr>
              <w:t>Voorstel voor een VERORDENING VAN DE RAAD tot wijziging van de Verordeningen (EU) 2019/124 en (EU) 2018/2025 met betrekking tot bepaalde vangstmogelijkheden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212212" w:rsidR="00212212" w:rsidP="00014FF3" w:rsidRDefault="00AE450F" w14:paraId="62A6EF31" w14:textId="77777777">
            <w:hyperlink w:history="1" r:id="rId12">
              <w:r w:rsidR="00212212">
                <w:rPr>
                  <w:rStyle w:val="Hyperlink"/>
                  <w:rFonts w:ascii="Calibri" w:hAnsi="Calibri"/>
                  <w:sz w:val="22"/>
                  <w:szCs w:val="22"/>
                </w:rPr>
                <w:t>COM (2019) 338</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212212" w:rsidP="00014FF3" w:rsidRDefault="00212212" w14:paraId="393309A9"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212212" w:rsidP="00FA6E08" w:rsidRDefault="00E52B0D" w14:paraId="76067095"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In lijn met de meest recente wetenschappelijke adviezen wordt een wijziging voorgesteld van de totale toegestane vangst (TAC) voor ansjovis en zeebrasem. Het betreft hier geen Nederlanse wateren of Nederlandse schepen.</w:t>
            </w:r>
          </w:p>
          <w:p w:rsidRPr="00212212" w:rsidR="00212212" w:rsidP="00FA6E08" w:rsidRDefault="00212212" w14:paraId="7019FC50"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voor kennisgeving aannemen</w:t>
            </w:r>
          </w:p>
        </w:tc>
      </w:tr>
      <w:tr w:rsidRPr="00221383" w:rsidR="00777FE1" w:rsidTr="00614A1B" w14:paraId="7EBE9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7FE1" w:rsidP="00014FF3" w:rsidRDefault="00777FE1" w14:paraId="5C717262" w14:textId="77777777">
            <w:pPr>
              <w:rPr>
                <w:rFonts w:ascii="Calibri" w:hAnsi="Calibri"/>
                <w:color w:val="000000"/>
                <w:sz w:val="22"/>
                <w:szCs w:val="22"/>
              </w:rPr>
            </w:pPr>
            <w:r>
              <w:rPr>
                <w:rFonts w:ascii="Calibri" w:hAnsi="Calibri"/>
                <w:color w:val="000000"/>
                <w:sz w:val="22"/>
                <w:szCs w:val="22"/>
              </w:rPr>
              <w:t>23-jul-19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77FE1" w:rsidP="00014FF3" w:rsidRDefault="00777FE1" w14:paraId="073E1370"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77FE1" w:rsidP="0052026E" w:rsidRDefault="00777FE1" w14:paraId="737C707F" w14:textId="77777777">
            <w:pPr>
              <w:rPr>
                <w:rFonts w:ascii="Calibri" w:hAnsi="Calibri"/>
                <w:color w:val="000000"/>
                <w:sz w:val="22"/>
                <w:szCs w:val="22"/>
              </w:rPr>
            </w:pPr>
            <w:r>
              <w:rPr>
                <w:rFonts w:ascii="Calibri" w:hAnsi="Calibri"/>
                <w:color w:val="000000"/>
                <w:sz w:val="22"/>
                <w:szCs w:val="22"/>
              </w:rPr>
              <w:t>Mededeling</w:t>
            </w:r>
          </w:p>
        </w:tc>
        <w:tc>
          <w:tcPr>
            <w:tcW w:w="4536" w:type="dxa"/>
            <w:tcBorders>
              <w:top w:val="single" w:color="auto" w:sz="4" w:space="0"/>
              <w:left w:val="nil"/>
              <w:bottom w:val="single" w:color="auto" w:sz="4" w:space="0"/>
              <w:right w:val="nil"/>
            </w:tcBorders>
            <w:shd w:val="clear" w:color="auto" w:fill="FFFFFF" w:themeFill="background1"/>
            <w:noWrap/>
          </w:tcPr>
          <w:p w:rsidR="00777FE1" w:rsidP="00014FF3" w:rsidRDefault="00777FE1" w14:paraId="07F4BCEA" w14:textId="77777777">
            <w:pPr>
              <w:rPr>
                <w:rFonts w:ascii="Calibri" w:hAnsi="Calibri"/>
                <w:color w:val="000000"/>
                <w:sz w:val="22"/>
                <w:szCs w:val="22"/>
              </w:rPr>
            </w:pPr>
            <w:r>
              <w:rPr>
                <w:rFonts w:ascii="Calibri" w:hAnsi="Calibri"/>
                <w:color w:val="000000"/>
                <w:sz w:val="22"/>
                <w:szCs w:val="22"/>
              </w:rPr>
              <w:t>MEDEDELING VAN DE COMMISSIE AAN HET EUROPEES PARLEMENT, DE RAAD, HET EUROPEES ECONOMISCH EN SOCIAAL COMITÉ EN HET COMITÉ VAN DE REGIO'S Bescherming en herstel van bossen wereldwijd: de actie van de EU opvoeren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7FE1" w:rsidP="00777FE1" w:rsidRDefault="00AE450F" w14:paraId="53000B63" w14:textId="77777777">
            <w:pPr>
              <w:rPr>
                <w:rFonts w:ascii="Calibri" w:hAnsi="Calibri" w:eastAsiaTheme="minorHAnsi"/>
                <w:color w:val="0000FF"/>
                <w:sz w:val="22"/>
                <w:szCs w:val="22"/>
                <w:u w:val="single"/>
              </w:rPr>
            </w:pPr>
            <w:hyperlink w:history="1" r:id="rId13">
              <w:r w:rsidR="00777FE1">
                <w:rPr>
                  <w:rStyle w:val="Hyperlink"/>
                  <w:rFonts w:ascii="Calibri" w:hAnsi="Calibri"/>
                  <w:sz w:val="22"/>
                  <w:szCs w:val="22"/>
                </w:rPr>
                <w:t>COM (2019) 352</w:t>
              </w:r>
            </w:hyperlink>
          </w:p>
          <w:p w:rsidR="00777FE1" w:rsidP="00014FF3" w:rsidRDefault="00777FE1" w14:paraId="43C1BF83" w14:textId="77777777">
            <w:pPr>
              <w:rPr>
                <w:rFonts w:ascii="Calibri" w:hAnsi="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212212" w:rsidR="00777FE1" w:rsidP="00014FF3" w:rsidRDefault="00777FE1" w14:paraId="7ADCE9AA"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2A64DD" w:rsidP="002A64DD" w:rsidRDefault="002A64DD" w14:paraId="07FD203D" w14:textId="77777777">
            <w:pPr>
              <w:pBdr>
                <w:top w:val="nil"/>
                <w:left w:val="nil"/>
                <w:bottom w:val="nil"/>
                <w:right w:val="nil"/>
                <w:between w:val="nil"/>
                <w:bar w:val="nil"/>
              </w:pBdr>
              <w:spacing w:after="120"/>
              <w:rPr>
                <w:rFonts w:eastAsia="Arial Unicode MS" w:asciiTheme="minorHAnsi" w:hAnsiTheme="minorHAnsi"/>
                <w:noProof/>
                <w:sz w:val="20"/>
                <w:szCs w:val="20"/>
              </w:rPr>
            </w:pPr>
            <w:r>
              <w:rPr>
                <w:rFonts w:eastAsia="Arial Unicode MS" w:asciiTheme="minorHAnsi" w:hAnsiTheme="minorHAnsi"/>
                <w:noProof/>
                <w:sz w:val="20"/>
                <w:szCs w:val="20"/>
              </w:rPr>
              <w:t xml:space="preserve">De mededeling heeft tot doel de gezondheid van bestaande bossen, met name oerbossen, te beschermen en te verbeteren en de duurzame dekking van biodiverse bossen wereldwijd aanzienlijk te vergroten. Het stelt hiervoor 5 prioriteiten met kernacties op: </w:t>
            </w:r>
          </w:p>
          <w:p w:rsidR="002A64DD" w:rsidP="002A64DD" w:rsidRDefault="002A64DD" w14:paraId="14CA72D8" w14:textId="77777777">
            <w:pPr>
              <w:pBdr>
                <w:top w:val="nil"/>
                <w:left w:val="nil"/>
                <w:bottom w:val="nil"/>
                <w:right w:val="nil"/>
                <w:between w:val="nil"/>
                <w:bar w:val="nil"/>
              </w:pBdr>
              <w:spacing w:after="120"/>
              <w:rPr>
                <w:rFonts w:eastAsia="Arial Unicode MS" w:asciiTheme="minorHAnsi" w:hAnsiTheme="minorHAnsi"/>
                <w:noProof/>
                <w:sz w:val="20"/>
                <w:szCs w:val="20"/>
              </w:rPr>
            </w:pPr>
            <w:r>
              <w:rPr>
                <w:rFonts w:eastAsia="Arial Unicode MS" w:asciiTheme="minorHAnsi" w:hAnsiTheme="minorHAnsi"/>
                <w:noProof/>
                <w:sz w:val="20"/>
                <w:szCs w:val="20"/>
              </w:rPr>
              <w:t xml:space="preserve">1. de voetafdruk van de EU-consumptie op het land verkleinen en de consumptie van producten uit ontbossingvrije toeleveringsketens in de EU stimuleren. </w:t>
            </w:r>
          </w:p>
          <w:p w:rsidR="002A64DD" w:rsidP="002A64DD" w:rsidRDefault="002A64DD" w14:paraId="35A4822A"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2. samenwerken met producerende landen om de druk op bossen te verlagen en om de ontwikkelings-samenwerking van de EU ontbossingsproof te maken. </w:t>
            </w:r>
          </w:p>
          <w:p w:rsidR="002A64DD" w:rsidP="002A64DD" w:rsidRDefault="002A64DD" w14:paraId="032259DB"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3. de internationale samenwerking versterken om ontbossing en bosdegradatie te stoppen en het herstel van bossen te stimuleren.</w:t>
            </w:r>
          </w:p>
          <w:p w:rsidR="002A64DD" w:rsidP="002A64DD" w:rsidRDefault="002A64DD" w14:paraId="57DDDCCE"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4. financiering verleggen om duurzamer landgebruik te </w:t>
            </w:r>
            <w:r>
              <w:rPr>
                <w:rFonts w:eastAsia="Arial Unicode MS" w:asciiTheme="minorHAnsi" w:hAnsiTheme="minorHAnsi"/>
                <w:noProof/>
                <w:sz w:val="20"/>
                <w:szCs w:val="20"/>
              </w:rPr>
              <w:lastRenderedPageBreak/>
              <w:t xml:space="preserve">ondersteunen. </w:t>
            </w:r>
          </w:p>
          <w:p w:rsidRPr="002A64DD" w:rsidR="002A64DD" w:rsidP="002A64DD" w:rsidRDefault="002A64DD" w14:paraId="756CB828"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5. de beschikbaarheid en kwaliteit van en toegang tot informatie over bossen en toeleveringsketens van grondstoffen ondersteunen. Onderzoek en innovatie ondersteunen.</w:t>
            </w:r>
          </w:p>
          <w:p w:rsidRPr="00777FE1" w:rsidR="00777FE1" w:rsidP="003069A8" w:rsidRDefault="00777FE1" w14:paraId="66E1C7E5"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3069A8">
              <w:rPr>
                <w:rFonts w:eastAsia="Arial Unicode MS" w:asciiTheme="minorHAnsi" w:hAnsiTheme="minorHAnsi"/>
                <w:noProof/>
                <w:sz w:val="20"/>
                <w:szCs w:val="20"/>
              </w:rPr>
              <w:t>kabinetsappreciatie</w:t>
            </w:r>
            <w:r w:rsidR="00854E8E">
              <w:rPr>
                <w:rFonts w:eastAsia="Arial Unicode MS" w:asciiTheme="minorHAnsi" w:hAnsiTheme="minorHAnsi"/>
                <w:noProof/>
                <w:sz w:val="20"/>
                <w:szCs w:val="20"/>
              </w:rPr>
              <w:t xml:space="preserve"> vragen middels een BNC fiche. </w:t>
            </w:r>
          </w:p>
        </w:tc>
      </w:tr>
      <w:tr w:rsidRPr="00221383" w:rsidR="00725A57" w:rsidTr="00614A1B" w14:paraId="469E19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77FE1" w:rsidR="00725A57" w:rsidP="00014FF3" w:rsidRDefault="00777FE1" w14:paraId="707FEC00" w14:textId="77777777">
            <w:pPr>
              <w:rPr>
                <w:rFonts w:ascii="Calibri" w:hAnsi="Calibri"/>
                <w:color w:val="000000"/>
                <w:sz w:val="22"/>
                <w:szCs w:val="22"/>
              </w:rPr>
            </w:pPr>
            <w:r>
              <w:rPr>
                <w:rFonts w:ascii="Calibri" w:hAnsi="Calibri"/>
                <w:color w:val="000000"/>
                <w:sz w:val="22"/>
                <w:szCs w:val="22"/>
              </w:rPr>
              <w:lastRenderedPageBreak/>
              <w:t>28-jun-19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777FE1" w:rsidR="00725A57" w:rsidP="00014FF3" w:rsidRDefault="00777FE1" w14:paraId="768DAF03"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777FE1" w:rsidR="00725A57" w:rsidP="0052026E" w:rsidRDefault="00777FE1" w14:paraId="347FFF66" w14:textId="77777777">
            <w:pPr>
              <w:rPr>
                <w:rFonts w:ascii="Calibri" w:hAnsi="Calibri"/>
                <w:color w:val="000000"/>
                <w:sz w:val="22"/>
                <w:szCs w:val="22"/>
              </w:rPr>
            </w:pPr>
            <w:r>
              <w:rPr>
                <w:rFonts w:ascii="Calibri" w:hAnsi="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777FE1" w:rsidR="00725A57" w:rsidP="00014FF3" w:rsidRDefault="00777FE1" w14:paraId="2D75C8E4" w14:textId="77777777">
            <w:pPr>
              <w:rPr>
                <w:rFonts w:ascii="Calibri" w:hAnsi="Calibri"/>
                <w:color w:val="000000"/>
                <w:sz w:val="22"/>
                <w:szCs w:val="22"/>
              </w:rPr>
            </w:pPr>
            <w:r>
              <w:rPr>
                <w:rFonts w:ascii="Calibri" w:hAnsi="Calibri"/>
                <w:color w:val="000000"/>
                <w:sz w:val="22"/>
                <w:szCs w:val="22"/>
              </w:rPr>
              <w:t>State aid (small amounts) – fishing and fish farming sector (2021-27)</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25A57" w:rsidP="00014FF3" w:rsidRDefault="00AE450F" w14:paraId="1AA8AEB1" w14:textId="77777777">
            <w:pPr>
              <w:rPr>
                <w:rFonts w:ascii="Calibri" w:hAnsi="Calibri"/>
                <w:color w:val="0000FF"/>
                <w:sz w:val="22"/>
                <w:szCs w:val="22"/>
              </w:rPr>
            </w:pPr>
            <w:hyperlink w:history="1" r:id="rId14">
              <w:r w:rsidR="00777FE1">
                <w:rPr>
                  <w:rStyle w:val="Hyperlink"/>
                  <w:rFonts w:ascii="Calibri" w:hAnsi="Calibri"/>
                  <w:sz w:val="22"/>
                  <w:szCs w:val="22"/>
                </w:rPr>
                <w:t>OR</w:t>
              </w:r>
            </w:hyperlink>
            <w:r w:rsidR="00777FE1">
              <w:rPr>
                <w:rFonts w:ascii="Calibri" w:hAnsi="Calibri"/>
                <w:color w:val="0000FF"/>
                <w:sz w:val="22"/>
                <w:szCs w:val="22"/>
              </w:rPr>
              <w:t xml:space="preserve"> </w:t>
            </w:r>
          </w:p>
          <w:p w:rsidRPr="00777FE1" w:rsidR="00777FE1" w:rsidP="00014FF3" w:rsidRDefault="00777FE1" w14:paraId="54428A4D" w14:textId="77777777">
            <w:pPr>
              <w:rPr>
                <w:rFonts w:ascii="Calibri" w:hAnsi="Calibri"/>
                <w:sz w:val="22"/>
                <w:szCs w:val="22"/>
              </w:rPr>
            </w:pPr>
            <w:r>
              <w:rPr>
                <w:rFonts w:ascii="Calibri" w:hAnsi="Calibri"/>
                <w:sz w:val="22"/>
                <w:szCs w:val="22"/>
              </w:rPr>
              <w:t>(20- sep-19)</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77FE1" w:rsidR="00725A57" w:rsidP="00014FF3" w:rsidRDefault="00725A57" w14:paraId="17C08930"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5D40F4" w:rsidP="00FA6E08" w:rsidRDefault="00520708" w14:paraId="505BA86A"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 Europese Commissie wil evalueren of de de-minimis regels, die eind 2020 aflopen, hun doelstellingen hebben bereikt en ervoor zorgen dat de nieuwe regels in overeenstemming zijn met het EFMZV fonds voor 2021-2027.</w:t>
            </w:r>
          </w:p>
          <w:p w:rsidR="00D812CC" w:rsidP="00FA6E08" w:rsidRDefault="00D812CC" w14:paraId="6758CA44"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ministerie </w:t>
            </w:r>
            <w:r w:rsidR="009C5EAC">
              <w:rPr>
                <w:rFonts w:eastAsia="Arial Unicode MS" w:asciiTheme="minorHAnsi" w:hAnsiTheme="minorHAnsi"/>
                <w:noProof/>
                <w:sz w:val="20"/>
                <w:szCs w:val="20"/>
              </w:rPr>
              <w:t>is voornemens te reageren</w:t>
            </w:r>
            <w:r w:rsidR="006845D9">
              <w:rPr>
                <w:rFonts w:eastAsia="Arial Unicode MS" w:asciiTheme="minorHAnsi" w:hAnsiTheme="minorHAnsi"/>
                <w:noProof/>
                <w:sz w:val="20"/>
                <w:szCs w:val="20"/>
              </w:rPr>
              <w:t xml:space="preserve">. De ingevulde consultaties zullen achteraf worden gedeeld met de Tweede Kamer. Zoals gebruikelijk voor evaluaties van de staatssteunkaders zal dit worden toegestuurd met de kwartaalrapportages. </w:t>
            </w:r>
          </w:p>
          <w:p w:rsidRPr="00D812CC" w:rsidR="00D812CC" w:rsidP="009C5EAC" w:rsidRDefault="00D812CC" w14:paraId="545471C9"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9C5EAC">
              <w:rPr>
                <w:rFonts w:eastAsia="Arial Unicode MS" w:asciiTheme="minorHAnsi" w:hAnsiTheme="minorHAnsi"/>
                <w:noProof/>
                <w:sz w:val="20"/>
                <w:szCs w:val="20"/>
              </w:rPr>
              <w:t>afschrift</w:t>
            </w:r>
            <w:r w:rsidR="006845D9">
              <w:rPr>
                <w:rFonts w:eastAsia="Arial Unicode MS" w:asciiTheme="minorHAnsi" w:hAnsiTheme="minorHAnsi"/>
                <w:noProof/>
                <w:sz w:val="20"/>
                <w:szCs w:val="20"/>
              </w:rPr>
              <w:t xml:space="preserve"> consultatie en evaluatie afwachten. </w:t>
            </w:r>
          </w:p>
        </w:tc>
      </w:tr>
      <w:tr w:rsidRPr="00221383" w:rsidR="00E346AE" w:rsidTr="00614A1B" w14:paraId="03CA2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77FE1" w:rsidR="00E346AE" w:rsidP="00014FF3" w:rsidRDefault="00777FE1" w14:paraId="3A36595C" w14:textId="77777777">
            <w:pPr>
              <w:rPr>
                <w:rFonts w:ascii="Calibri" w:hAnsi="Calibri"/>
                <w:color w:val="000000"/>
                <w:sz w:val="22"/>
                <w:szCs w:val="22"/>
              </w:rPr>
            </w:pPr>
            <w:r>
              <w:rPr>
                <w:rFonts w:ascii="Calibri" w:hAnsi="Calibri"/>
                <w:color w:val="000000"/>
                <w:sz w:val="22"/>
                <w:szCs w:val="22"/>
              </w:rPr>
              <w:t>28-jun-19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777FE1" w:rsidR="00E346AE" w:rsidP="00014FF3" w:rsidRDefault="00777FE1" w14:paraId="520EE082"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777FE1" w:rsidR="00E346AE" w:rsidP="0052026E" w:rsidRDefault="00777FE1" w14:paraId="1FC7BD03" w14:textId="77777777">
            <w:pPr>
              <w:rPr>
                <w:rFonts w:ascii="Calibri" w:hAnsi="Calibri"/>
                <w:color w:val="000000"/>
                <w:sz w:val="22"/>
                <w:szCs w:val="22"/>
              </w:rPr>
            </w:pPr>
            <w:r>
              <w:rPr>
                <w:rFonts w:ascii="Calibri" w:hAnsi="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777FE1" w:rsidR="00E346AE" w:rsidP="00014FF3" w:rsidRDefault="00777FE1" w14:paraId="4CAAD123" w14:textId="77777777">
            <w:pPr>
              <w:rPr>
                <w:rFonts w:ascii="Calibri" w:hAnsi="Calibri"/>
                <w:color w:val="000000"/>
                <w:sz w:val="22"/>
                <w:szCs w:val="22"/>
              </w:rPr>
            </w:pPr>
            <w:r>
              <w:rPr>
                <w:rFonts w:ascii="Calibri" w:hAnsi="Calibri"/>
                <w:color w:val="000000"/>
                <w:sz w:val="22"/>
                <w:szCs w:val="22"/>
              </w:rPr>
              <w:t>State aid guidelines for fisheries – amendment</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346AE" w:rsidP="00014FF3" w:rsidRDefault="00AE450F" w14:paraId="50261CA2" w14:textId="77777777">
            <w:pPr>
              <w:rPr>
                <w:rFonts w:ascii="Calibri" w:hAnsi="Calibri"/>
                <w:color w:val="0000FF"/>
                <w:sz w:val="22"/>
                <w:szCs w:val="22"/>
                <w:u w:val="single"/>
              </w:rPr>
            </w:pPr>
            <w:hyperlink w:history="1" r:id="rId15">
              <w:r w:rsidR="00777FE1">
                <w:rPr>
                  <w:rStyle w:val="Hyperlink"/>
                  <w:rFonts w:ascii="Calibri" w:hAnsi="Calibri"/>
                  <w:sz w:val="22"/>
                  <w:szCs w:val="22"/>
                </w:rPr>
                <w:t>OR</w:t>
              </w:r>
            </w:hyperlink>
          </w:p>
          <w:p w:rsidRPr="00777FE1" w:rsidR="00777FE1" w:rsidP="00014FF3" w:rsidRDefault="00777FE1" w14:paraId="6125426C" w14:textId="77777777">
            <w:pPr>
              <w:rPr>
                <w:rFonts w:ascii="Calibri" w:hAnsi="Calibri"/>
                <w:sz w:val="22"/>
                <w:szCs w:val="22"/>
              </w:rPr>
            </w:pPr>
            <w:r>
              <w:rPr>
                <w:rFonts w:ascii="Calibri" w:hAnsi="Calibri"/>
                <w:sz w:val="22"/>
                <w:szCs w:val="22"/>
              </w:rPr>
              <w:t>(20-sep-19)</w:t>
            </w: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77FE1" w:rsidR="00E346AE" w:rsidP="00014FF3" w:rsidRDefault="00E346AE" w14:paraId="6D7225B0"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E346AE" w:rsidP="00FA6E08" w:rsidRDefault="00520708" w14:paraId="4F1CC5D3"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Dit initiatief zal de richtsnoeren in overeenstemming brengen met de aanstaande herziening van de regels inzake staatssteun en het EMFZV fonds. </w:t>
            </w:r>
          </w:p>
          <w:p w:rsidR="006845D9" w:rsidP="006845D9" w:rsidRDefault="006845D9" w14:paraId="1DDE1748"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ministerie </w:t>
            </w:r>
            <w:r w:rsidR="009C5EAC">
              <w:rPr>
                <w:rFonts w:eastAsia="Arial Unicode MS" w:asciiTheme="minorHAnsi" w:hAnsiTheme="minorHAnsi"/>
                <w:noProof/>
                <w:sz w:val="20"/>
                <w:szCs w:val="20"/>
              </w:rPr>
              <w:t>is voornemens te reageren</w:t>
            </w:r>
            <w:r>
              <w:rPr>
                <w:rFonts w:eastAsia="Arial Unicode MS" w:asciiTheme="minorHAnsi" w:hAnsiTheme="minorHAnsi"/>
                <w:noProof/>
                <w:sz w:val="20"/>
                <w:szCs w:val="20"/>
              </w:rPr>
              <w:t xml:space="preserve">. De ingevulde consultaties zullen achteraf worden gedeeld met de Tweede Kamer. Zoals gebruikelijk voor evaluaties van de staatssteunkaders zal dit worden toegestuurd met de kwartaalrapportages. </w:t>
            </w:r>
          </w:p>
          <w:p w:rsidRPr="00D812CC" w:rsidR="00D812CC" w:rsidP="009C5EAC" w:rsidRDefault="00D812CC" w14:paraId="6C2FE0A6"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9C5EAC">
              <w:rPr>
                <w:rFonts w:eastAsia="Arial Unicode MS" w:asciiTheme="minorHAnsi" w:hAnsiTheme="minorHAnsi"/>
                <w:noProof/>
                <w:sz w:val="20"/>
                <w:szCs w:val="20"/>
              </w:rPr>
              <w:t>afschrift</w:t>
            </w:r>
            <w:r w:rsidR="006845D9">
              <w:rPr>
                <w:rFonts w:eastAsia="Arial Unicode MS" w:asciiTheme="minorHAnsi" w:hAnsiTheme="minorHAnsi"/>
                <w:noProof/>
                <w:sz w:val="20"/>
                <w:szCs w:val="20"/>
              </w:rPr>
              <w:t xml:space="preserve"> consultatie en evaluatie </w:t>
            </w:r>
            <w:r w:rsidR="006845D9">
              <w:rPr>
                <w:rFonts w:eastAsia="Arial Unicode MS" w:asciiTheme="minorHAnsi" w:hAnsiTheme="minorHAnsi"/>
                <w:noProof/>
                <w:sz w:val="20"/>
                <w:szCs w:val="20"/>
              </w:rPr>
              <w:lastRenderedPageBreak/>
              <w:t>afwachten.</w:t>
            </w:r>
          </w:p>
        </w:tc>
      </w:tr>
      <w:tr w:rsidRPr="00221383" w:rsidR="00E346AE" w:rsidTr="00614A1B" w14:paraId="5AA21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77FE1" w:rsidR="00E346AE" w:rsidP="00014FF3" w:rsidRDefault="00777FE1" w14:paraId="7CA18071" w14:textId="77777777">
            <w:pPr>
              <w:rPr>
                <w:rFonts w:ascii="Calibri" w:hAnsi="Calibri"/>
                <w:color w:val="000000"/>
                <w:sz w:val="22"/>
                <w:szCs w:val="22"/>
              </w:rPr>
            </w:pPr>
            <w:r>
              <w:rPr>
                <w:rFonts w:ascii="Calibri" w:hAnsi="Calibri"/>
                <w:color w:val="000000"/>
                <w:sz w:val="22"/>
                <w:szCs w:val="22"/>
              </w:rPr>
              <w:lastRenderedPageBreak/>
              <w:t>28-jun-19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777FE1" w:rsidR="00E346AE" w:rsidP="00014FF3" w:rsidRDefault="00777FE1" w14:paraId="5AC96C54"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777FE1" w:rsidR="00E346AE" w:rsidP="0052026E" w:rsidRDefault="00777FE1" w14:paraId="7C4DC753" w14:textId="77777777">
            <w:pPr>
              <w:rPr>
                <w:rFonts w:ascii="Calibri" w:hAnsi="Calibri"/>
                <w:color w:val="000000"/>
                <w:sz w:val="22"/>
                <w:szCs w:val="22"/>
              </w:rPr>
            </w:pPr>
            <w:r>
              <w:rPr>
                <w:rFonts w:ascii="Calibri" w:hAnsi="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777FE1" w:rsidR="00E346AE" w:rsidP="00014FF3" w:rsidRDefault="00777FE1" w14:paraId="4EE4C22C" w14:textId="77777777">
            <w:pPr>
              <w:rPr>
                <w:rFonts w:ascii="Calibri" w:hAnsi="Calibri"/>
                <w:color w:val="000000"/>
                <w:sz w:val="22"/>
                <w:szCs w:val="22"/>
              </w:rPr>
            </w:pPr>
            <w:r>
              <w:rPr>
                <w:rFonts w:ascii="Calibri" w:hAnsi="Calibri"/>
                <w:color w:val="000000"/>
                <w:sz w:val="22"/>
                <w:szCs w:val="22"/>
              </w:rPr>
              <w:t>Block-exempted state aid – fishing and fish farming sector (2021-27)</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E346AE" w:rsidP="00014FF3" w:rsidRDefault="00AE450F" w14:paraId="38F9F7F6" w14:textId="77777777">
            <w:pPr>
              <w:rPr>
                <w:rFonts w:ascii="Calibri" w:hAnsi="Calibri"/>
                <w:color w:val="0000FF"/>
                <w:sz w:val="22"/>
                <w:szCs w:val="22"/>
                <w:u w:val="single"/>
              </w:rPr>
            </w:pPr>
            <w:hyperlink w:history="1" r:id="rId16">
              <w:r w:rsidR="00777FE1">
                <w:rPr>
                  <w:rStyle w:val="Hyperlink"/>
                  <w:rFonts w:ascii="Calibri" w:hAnsi="Calibri"/>
                  <w:sz w:val="22"/>
                  <w:szCs w:val="22"/>
                </w:rPr>
                <w:t>OR</w:t>
              </w:r>
            </w:hyperlink>
          </w:p>
          <w:p w:rsidR="00777FE1" w:rsidP="00014FF3" w:rsidRDefault="00777FE1" w14:paraId="68AA7A5F" w14:textId="77777777">
            <w:pPr>
              <w:rPr>
                <w:rFonts w:ascii="Calibri" w:hAnsi="Calibri"/>
                <w:color w:val="0000FF"/>
                <w:sz w:val="22"/>
                <w:szCs w:val="22"/>
              </w:rPr>
            </w:pPr>
            <w:r>
              <w:rPr>
                <w:rFonts w:ascii="Calibri" w:hAnsi="Calibri"/>
                <w:sz w:val="22"/>
                <w:szCs w:val="22"/>
              </w:rPr>
              <w:t>(20-sep-19)</w:t>
            </w:r>
          </w:p>
          <w:p w:rsidRPr="00777FE1" w:rsidR="00777FE1" w:rsidP="00014FF3" w:rsidRDefault="00777FE1" w14:paraId="6F257ED4" w14:textId="77777777">
            <w:pPr>
              <w:rPr>
                <w:rFonts w:ascii="Calibri" w:hAnsi="Calibri"/>
                <w:sz w:val="22"/>
                <w:szCs w:val="22"/>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77FE1" w:rsidR="00E346AE" w:rsidP="00014FF3" w:rsidRDefault="00E346AE" w14:paraId="0C7F6F93"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F06B40" w:rsidP="00F06B40" w:rsidRDefault="00F06B40" w14:paraId="0FE804BD"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De EU regels voor groepsvrijgestelde staatssteun voor visserij en viskwekerij vervallen op 31 december 2020. Follow-up regels zijn nodig zodat subsidies nog steeds op vereenvoudigde manier kunnen worden beheerd.  De Europese Commissie wil evalueren of de hun doelstellingen hebben bereikt en ervoor zorgen dat de nieuwe regels in overeenstemming zijn met het EFMZV fonds voor 2021-2027.</w:t>
            </w:r>
          </w:p>
          <w:p w:rsidR="006845D9" w:rsidP="006845D9" w:rsidRDefault="006845D9" w14:paraId="530A9230"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 xml:space="preserve">Het ministerie </w:t>
            </w:r>
            <w:r w:rsidR="009C5EAC">
              <w:rPr>
                <w:rFonts w:eastAsia="Arial Unicode MS" w:asciiTheme="minorHAnsi" w:hAnsiTheme="minorHAnsi"/>
                <w:noProof/>
                <w:sz w:val="20"/>
                <w:szCs w:val="20"/>
              </w:rPr>
              <w:t>is voornemens te reageren</w:t>
            </w:r>
            <w:r>
              <w:rPr>
                <w:rFonts w:eastAsia="Arial Unicode MS" w:asciiTheme="minorHAnsi" w:hAnsiTheme="minorHAnsi"/>
                <w:noProof/>
                <w:sz w:val="20"/>
                <w:szCs w:val="20"/>
              </w:rPr>
              <w:t xml:space="preserve">. De ingevulde consultaties zullen achteraf worden gedeeld met de Tweede Kamer. Zoals gebruikelijk voor evaluaties van de staatssteunkaders zal dit worden toegestuurd met de kwartaalrapportages. </w:t>
            </w:r>
          </w:p>
          <w:p w:rsidRPr="006845D9" w:rsidR="00E346AE" w:rsidP="009C5EAC" w:rsidRDefault="006845D9" w14:paraId="579718DF"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 xml:space="preserve">: </w:t>
            </w:r>
            <w:r w:rsidR="009C5EAC">
              <w:rPr>
                <w:rFonts w:eastAsia="Arial Unicode MS" w:asciiTheme="minorHAnsi" w:hAnsiTheme="minorHAnsi"/>
                <w:noProof/>
                <w:sz w:val="20"/>
                <w:szCs w:val="20"/>
              </w:rPr>
              <w:t xml:space="preserve">afschrift </w:t>
            </w:r>
            <w:r>
              <w:rPr>
                <w:rFonts w:eastAsia="Arial Unicode MS" w:asciiTheme="minorHAnsi" w:hAnsiTheme="minorHAnsi"/>
                <w:noProof/>
                <w:sz w:val="20"/>
                <w:szCs w:val="20"/>
              </w:rPr>
              <w:t>consultatie en evaluatie afwachten.</w:t>
            </w:r>
          </w:p>
        </w:tc>
      </w:tr>
      <w:tr w:rsidRPr="00221383" w:rsidR="00762B96" w:rsidTr="00614A1B" w14:paraId="67A194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777FE1" w:rsidR="00762B96" w:rsidP="00014FF3" w:rsidRDefault="00777FE1" w14:paraId="16568760" w14:textId="77777777">
            <w:pPr>
              <w:rPr>
                <w:rFonts w:ascii="Calibri" w:hAnsi="Calibri"/>
                <w:color w:val="000000"/>
                <w:sz w:val="22"/>
                <w:szCs w:val="22"/>
              </w:rPr>
            </w:pPr>
            <w:r>
              <w:rPr>
                <w:rFonts w:ascii="Calibri" w:hAnsi="Calibri"/>
                <w:color w:val="000000"/>
                <w:sz w:val="22"/>
                <w:szCs w:val="22"/>
              </w:rPr>
              <w:t>22-jul-19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777FE1" w:rsidR="00762B96" w:rsidP="00014FF3" w:rsidRDefault="00777FE1" w14:paraId="109427B9"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777FE1" w:rsidR="00762B96" w:rsidP="0052026E" w:rsidRDefault="00777FE1" w14:paraId="1EC4A060" w14:textId="77777777">
            <w:pPr>
              <w:rPr>
                <w:rFonts w:ascii="Calibri" w:hAnsi="Calibri"/>
                <w:color w:val="000000"/>
                <w:sz w:val="22"/>
                <w:szCs w:val="22"/>
              </w:rPr>
            </w:pPr>
            <w:r>
              <w:rPr>
                <w:rFonts w:ascii="Calibri" w:hAnsi="Calibri"/>
                <w:color w:val="000000"/>
                <w:sz w:val="22"/>
                <w:szCs w:val="22"/>
              </w:rPr>
              <w:t>Raadpleging</w:t>
            </w:r>
          </w:p>
        </w:tc>
        <w:tc>
          <w:tcPr>
            <w:tcW w:w="4536" w:type="dxa"/>
            <w:tcBorders>
              <w:top w:val="single" w:color="auto" w:sz="4" w:space="0"/>
              <w:left w:val="nil"/>
              <w:bottom w:val="single" w:color="auto" w:sz="4" w:space="0"/>
              <w:right w:val="nil"/>
            </w:tcBorders>
            <w:shd w:val="clear" w:color="auto" w:fill="FFFFFF" w:themeFill="background1"/>
            <w:noWrap/>
          </w:tcPr>
          <w:p w:rsidRPr="00777FE1" w:rsidR="00762B96" w:rsidP="00014FF3" w:rsidRDefault="00777FE1" w14:paraId="7849573E" w14:textId="77777777">
            <w:pPr>
              <w:rPr>
                <w:rFonts w:ascii="Calibri" w:hAnsi="Calibri"/>
                <w:color w:val="000000"/>
                <w:sz w:val="22"/>
                <w:szCs w:val="22"/>
              </w:rPr>
            </w:pPr>
            <w:r>
              <w:rPr>
                <w:rFonts w:ascii="Calibri" w:hAnsi="Calibri"/>
                <w:color w:val="000000"/>
                <w:sz w:val="22"/>
                <w:szCs w:val="22"/>
              </w:rPr>
              <w:t>Evaluation of marketing standards [Regulation (EU) No 1308/2013]</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62B96" w:rsidP="00014FF3" w:rsidRDefault="00AE450F" w14:paraId="30A4D398" w14:textId="77777777">
            <w:pPr>
              <w:rPr>
                <w:rFonts w:ascii="Calibri" w:hAnsi="Calibri"/>
                <w:color w:val="0000FF"/>
                <w:sz w:val="22"/>
                <w:szCs w:val="22"/>
                <w:u w:val="single"/>
              </w:rPr>
            </w:pPr>
            <w:hyperlink w:history="1" r:id="rId17">
              <w:r w:rsidR="00777FE1">
                <w:rPr>
                  <w:rStyle w:val="Hyperlink"/>
                  <w:rFonts w:ascii="Calibri" w:hAnsi="Calibri"/>
                  <w:sz w:val="22"/>
                  <w:szCs w:val="22"/>
                </w:rPr>
                <w:t>OR</w:t>
              </w:r>
            </w:hyperlink>
          </w:p>
          <w:p w:rsidR="00777FE1" w:rsidP="00777FE1" w:rsidRDefault="00777FE1" w14:paraId="3E56419D" w14:textId="77777777">
            <w:pPr>
              <w:rPr>
                <w:rFonts w:ascii="Calibri" w:hAnsi="Calibri"/>
                <w:color w:val="0000FF"/>
                <w:sz w:val="22"/>
                <w:szCs w:val="22"/>
              </w:rPr>
            </w:pPr>
            <w:r>
              <w:rPr>
                <w:rFonts w:ascii="Calibri" w:hAnsi="Calibri"/>
                <w:sz w:val="22"/>
                <w:szCs w:val="22"/>
              </w:rPr>
              <w:t>(14-okt-19)</w:t>
            </w:r>
          </w:p>
          <w:p w:rsidRPr="00777FE1" w:rsidR="00777FE1" w:rsidP="00014FF3" w:rsidRDefault="00777FE1" w14:paraId="0E20043F" w14:textId="77777777">
            <w:pPr>
              <w:rPr>
                <w:rFonts w:ascii="Calibri" w:hAnsi="Calibri"/>
                <w:color w:val="0000FF"/>
                <w:sz w:val="22"/>
                <w:szCs w:val="22"/>
                <w:u w:val="single"/>
              </w:rPr>
            </w:pPr>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77FE1" w:rsidR="00762B96" w:rsidP="00014FF3" w:rsidRDefault="00762B96" w14:paraId="7D4FA10D"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E961A1" w:rsidP="00973C15" w:rsidRDefault="00F06B40" w14:paraId="72E26A74" w14:textId="77777777">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color w:val="444444"/>
                <w:sz w:val="20"/>
                <w:szCs w:val="20"/>
              </w:rPr>
              <w:t xml:space="preserve">Deze evaluatie is bedoeld om te bepalen of de EU handelsnormen voor levensmiddelen in verordening 1308/2013 voldoende zijn om vastgestelde doelstellingen te bereiken en of deze nuttig zijn voor belanghebbenden. </w:t>
            </w:r>
          </w:p>
          <w:p w:rsidR="00D812CC" w:rsidP="00D812CC" w:rsidRDefault="00D812CC" w14:paraId="731AD235" w14:textId="77777777">
            <w:pPr>
              <w:pBdr>
                <w:top w:val="nil"/>
                <w:left w:val="nil"/>
                <w:bottom w:val="nil"/>
                <w:right w:val="nil"/>
                <w:between w:val="nil"/>
                <w:bar w:val="nil"/>
              </w:pBdr>
              <w:spacing w:after="240"/>
              <w:rPr>
                <w:rFonts w:eastAsia="Arial Unicode MS" w:asciiTheme="minorHAnsi" w:hAnsiTheme="minorHAnsi"/>
                <w:noProof/>
                <w:sz w:val="20"/>
                <w:szCs w:val="20"/>
              </w:rPr>
            </w:pPr>
            <w:r>
              <w:rPr>
                <w:rFonts w:eastAsia="Arial Unicode MS" w:asciiTheme="minorHAnsi" w:hAnsiTheme="minorHAnsi"/>
                <w:noProof/>
                <w:sz w:val="20"/>
                <w:szCs w:val="20"/>
              </w:rPr>
              <w:t>Het ministerie is voornemens om</w:t>
            </w:r>
            <w:r w:rsidR="009C5EAC">
              <w:rPr>
                <w:rFonts w:eastAsia="Arial Unicode MS" w:asciiTheme="minorHAnsi" w:hAnsiTheme="minorHAnsi"/>
                <w:noProof/>
                <w:sz w:val="20"/>
                <w:szCs w:val="20"/>
              </w:rPr>
              <w:t xml:space="preserve"> te reageren.</w:t>
            </w:r>
          </w:p>
          <w:p w:rsidRPr="00777FE1" w:rsidR="00D812CC" w:rsidP="00D812CC" w:rsidRDefault="00D812CC" w14:paraId="66FF3503" w14:textId="77777777">
            <w:pPr>
              <w:pBdr>
                <w:top w:val="nil"/>
                <w:left w:val="nil"/>
                <w:bottom w:val="nil"/>
                <w:right w:val="nil"/>
                <w:between w:val="nil"/>
                <w:bar w:val="nil"/>
              </w:pBdr>
              <w:spacing w:after="240"/>
              <w:rPr>
                <w:rFonts w:asciiTheme="minorHAnsi" w:hAnsiTheme="minorHAnsi"/>
                <w:color w:val="444444"/>
                <w:sz w:val="20"/>
                <w:szCs w:val="20"/>
              </w:rPr>
            </w:pPr>
            <w:r>
              <w:rPr>
                <w:rFonts w:eastAsia="Arial Unicode MS" w:asciiTheme="minorHAnsi" w:hAnsiTheme="minorHAnsi"/>
                <w:b/>
                <w:noProof/>
                <w:sz w:val="20"/>
                <w:szCs w:val="20"/>
              </w:rPr>
              <w:t>Behandelvoorstel</w:t>
            </w:r>
            <w:r>
              <w:rPr>
                <w:rFonts w:eastAsia="Arial Unicode MS" w:asciiTheme="minorHAnsi" w:hAnsiTheme="minorHAnsi"/>
                <w:noProof/>
                <w:sz w:val="20"/>
                <w:szCs w:val="20"/>
              </w:rPr>
              <w:t>:</w:t>
            </w:r>
            <w:r w:rsidR="009C5EAC">
              <w:rPr>
                <w:rFonts w:eastAsia="Arial Unicode MS" w:asciiTheme="minorHAnsi" w:hAnsiTheme="minorHAnsi"/>
                <w:noProof/>
                <w:sz w:val="20"/>
                <w:szCs w:val="20"/>
              </w:rPr>
              <w:t xml:space="preserve"> afschrift consultatie afwachten. </w:t>
            </w:r>
          </w:p>
        </w:tc>
      </w:tr>
      <w:tr w:rsidRPr="00221383" w:rsidR="00777FE1" w:rsidTr="00614A1B" w14:paraId="49D6A2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7FE1" w:rsidP="00014FF3" w:rsidRDefault="0067217C" w14:paraId="3CC5EA03" w14:textId="77777777">
            <w:pPr>
              <w:rPr>
                <w:rFonts w:ascii="Calibri" w:hAnsi="Calibri"/>
                <w:color w:val="000000"/>
                <w:sz w:val="22"/>
                <w:szCs w:val="22"/>
              </w:rPr>
            </w:pPr>
            <w:r>
              <w:rPr>
                <w:rFonts w:ascii="Calibri" w:hAnsi="Calibri"/>
                <w:color w:val="000000"/>
                <w:sz w:val="22"/>
                <w:szCs w:val="22"/>
              </w:rPr>
              <w:lastRenderedPageBreak/>
              <w:t>5-jul-19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777FE1" w:rsidP="00014FF3" w:rsidRDefault="0067217C" w14:paraId="0FAF4557"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777FE1" w:rsidP="0052026E" w:rsidRDefault="0067217C" w14:paraId="5203E2B0" w14:textId="77777777">
            <w:pPr>
              <w:rPr>
                <w:rFonts w:ascii="Calibri" w:hAnsi="Calibri"/>
                <w:color w:val="000000"/>
                <w:sz w:val="22"/>
                <w:szCs w:val="22"/>
              </w:rPr>
            </w:pPr>
            <w:r>
              <w:rPr>
                <w:rFonts w:ascii="Calibri" w:hAnsi="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777FE1" w:rsidP="00014FF3" w:rsidRDefault="0067217C" w14:paraId="7A1C49BC" w14:textId="77777777">
            <w:pPr>
              <w:rPr>
                <w:rFonts w:ascii="Calibri" w:hAnsi="Calibri"/>
                <w:color w:val="000000"/>
                <w:sz w:val="22"/>
                <w:szCs w:val="22"/>
              </w:rPr>
            </w:pPr>
            <w:r>
              <w:rPr>
                <w:rFonts w:ascii="Calibri" w:hAnsi="Calibri"/>
                <w:color w:val="000000"/>
                <w:sz w:val="22"/>
                <w:szCs w:val="22"/>
              </w:rPr>
              <w:t>Voorstel voor een BESLUIT VAN DE RAAD tot vaststelling van het namens de Europese Unie in te nemen standpunt ten aanzien van het indienen van voorstellen tot wijziging van de bijlagen bij het Verdrag inzake de bescherming van trekkende wilde diersoorten op de 13e vergadering van de Conferentie der partijen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777FE1" w:rsidP="00014FF3" w:rsidRDefault="00AE450F" w14:paraId="2A459C4C" w14:textId="77777777">
            <w:pPr>
              <w:rPr>
                <w:rFonts w:ascii="Calibri" w:hAnsi="Calibri"/>
                <w:color w:val="0000FF"/>
                <w:sz w:val="22"/>
                <w:szCs w:val="22"/>
                <w:u w:val="single"/>
              </w:rPr>
            </w:pPr>
            <w:hyperlink w:history="1" r:id="rId18">
              <w:r w:rsidR="0067217C">
                <w:rPr>
                  <w:rStyle w:val="Hyperlink"/>
                  <w:rFonts w:ascii="Calibri" w:hAnsi="Calibri"/>
                  <w:sz w:val="22"/>
                  <w:szCs w:val="22"/>
                </w:rPr>
                <w:t>COM (2019) 321</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77FE1" w:rsidR="00777FE1" w:rsidP="00014FF3" w:rsidRDefault="00777FE1" w14:paraId="4B89D1C5"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777FE1" w:rsidP="00973C15" w:rsidRDefault="00B63E4A" w14:paraId="01415B52" w14:textId="77777777">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color w:val="444444"/>
                <w:sz w:val="20"/>
                <w:szCs w:val="20"/>
              </w:rPr>
              <w:t>Dit voorstel is gericht op vaststelling van het standpunt van de EU over voor een wijziging van het Verdrag inzake de bescherming van trekkende wilde diersoorten tijdens de 13</w:t>
            </w:r>
            <w:r w:rsidRPr="00B63E4A">
              <w:rPr>
                <w:rFonts w:asciiTheme="minorHAnsi" w:hAnsiTheme="minorHAnsi"/>
                <w:color w:val="444444"/>
                <w:sz w:val="20"/>
                <w:szCs w:val="20"/>
                <w:vertAlign w:val="superscript"/>
              </w:rPr>
              <w:t>e</w:t>
            </w:r>
            <w:r>
              <w:rPr>
                <w:rFonts w:asciiTheme="minorHAnsi" w:hAnsiTheme="minorHAnsi"/>
                <w:color w:val="444444"/>
                <w:sz w:val="20"/>
                <w:szCs w:val="20"/>
              </w:rPr>
              <w:t xml:space="preserve"> vergadering van de Conferentie der Partijen. De voorgestelde wijzigingen dienen ter verhogen van de bescherming van de vogelsoort Tetrax Tetrax en twee haaiensoorten. </w:t>
            </w:r>
          </w:p>
          <w:p w:rsidRPr="00B63E4A" w:rsidR="00B63E4A" w:rsidP="00973C15" w:rsidRDefault="00B63E4A" w14:paraId="435909B8" w14:textId="77777777">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b/>
                <w:color w:val="444444"/>
                <w:sz w:val="20"/>
                <w:szCs w:val="20"/>
              </w:rPr>
              <w:t>Behandelvoorstel</w:t>
            </w:r>
            <w:r>
              <w:rPr>
                <w:rFonts w:asciiTheme="minorHAnsi" w:hAnsiTheme="minorHAnsi"/>
                <w:color w:val="444444"/>
                <w:sz w:val="20"/>
                <w:szCs w:val="20"/>
              </w:rPr>
              <w:t>: voor kennisgeving aannemen</w:t>
            </w:r>
          </w:p>
        </w:tc>
      </w:tr>
      <w:tr w:rsidRPr="00221383" w:rsidR="0067217C" w:rsidTr="00C151D3" w14:paraId="3346AF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auto"/>
            <w:noWrap/>
          </w:tcPr>
          <w:p w:rsidRPr="00C151D3" w:rsidR="0067217C" w:rsidP="00014FF3" w:rsidRDefault="0067217C" w14:paraId="4A2F5D72" w14:textId="77777777">
            <w:pPr>
              <w:rPr>
                <w:rFonts w:ascii="Calibri" w:hAnsi="Calibri"/>
                <w:color w:val="000000"/>
                <w:sz w:val="22"/>
                <w:szCs w:val="22"/>
              </w:rPr>
            </w:pPr>
            <w:r w:rsidRPr="00C151D3">
              <w:rPr>
                <w:rFonts w:ascii="Calibri" w:hAnsi="Calibri"/>
                <w:color w:val="000000"/>
                <w:sz w:val="22"/>
                <w:szCs w:val="22"/>
              </w:rPr>
              <w:t>10-jul-19</w:t>
            </w:r>
          </w:p>
        </w:tc>
        <w:tc>
          <w:tcPr>
            <w:tcW w:w="567" w:type="dxa"/>
            <w:tcBorders>
              <w:top w:val="single" w:color="auto" w:sz="4" w:space="0"/>
              <w:left w:val="single" w:color="auto" w:sz="4" w:space="0"/>
              <w:bottom w:val="single" w:color="auto" w:sz="4" w:space="0"/>
              <w:right w:val="single" w:color="auto" w:sz="4" w:space="0"/>
            </w:tcBorders>
            <w:shd w:val="clear" w:color="auto" w:fill="auto"/>
          </w:tcPr>
          <w:p w:rsidRPr="00C151D3" w:rsidR="0067217C" w:rsidP="00014FF3" w:rsidRDefault="0067217C" w14:paraId="1620BE40" w14:textId="77777777">
            <w:pPr>
              <w:rPr>
                <w:rFonts w:ascii="Calibri" w:hAnsi="Calibri"/>
                <w:color w:val="000000"/>
                <w:sz w:val="22"/>
                <w:szCs w:val="22"/>
              </w:rPr>
            </w:pPr>
            <w:r w:rsidRPr="00C151D3">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auto"/>
            <w:noWrap/>
          </w:tcPr>
          <w:p w:rsidRPr="00C151D3" w:rsidR="0067217C" w:rsidP="0052026E" w:rsidRDefault="0067217C" w14:paraId="012F5CF1" w14:textId="77777777">
            <w:pPr>
              <w:rPr>
                <w:rFonts w:ascii="Calibri" w:hAnsi="Calibri"/>
                <w:color w:val="000000"/>
                <w:sz w:val="22"/>
                <w:szCs w:val="22"/>
              </w:rPr>
            </w:pPr>
            <w:r w:rsidRPr="00C151D3">
              <w:rPr>
                <w:rFonts w:ascii="Calibri" w:hAnsi="Calibri"/>
                <w:color w:val="000000"/>
                <w:sz w:val="22"/>
                <w:szCs w:val="22"/>
              </w:rPr>
              <w:t>Besluit</w:t>
            </w:r>
          </w:p>
        </w:tc>
        <w:tc>
          <w:tcPr>
            <w:tcW w:w="4536" w:type="dxa"/>
            <w:tcBorders>
              <w:top w:val="single" w:color="auto" w:sz="4" w:space="0"/>
              <w:left w:val="nil"/>
              <w:bottom w:val="single" w:color="auto" w:sz="4" w:space="0"/>
              <w:right w:val="nil"/>
            </w:tcBorders>
            <w:shd w:val="clear" w:color="auto" w:fill="auto"/>
            <w:noWrap/>
          </w:tcPr>
          <w:p w:rsidRPr="00C151D3" w:rsidR="0067217C" w:rsidP="00014FF3" w:rsidRDefault="0067217C" w14:paraId="110D4C2A" w14:textId="77777777">
            <w:pPr>
              <w:rPr>
                <w:rFonts w:ascii="Calibri" w:hAnsi="Calibri"/>
                <w:color w:val="000000"/>
                <w:sz w:val="22"/>
                <w:szCs w:val="22"/>
              </w:rPr>
            </w:pPr>
            <w:r w:rsidRPr="00C151D3">
              <w:rPr>
                <w:rFonts w:ascii="Calibri" w:hAnsi="Calibri"/>
                <w:color w:val="000000"/>
                <w:sz w:val="22"/>
                <w:szCs w:val="22"/>
              </w:rPr>
              <w:t>Voorstel voor een BESLUIT VAN DE RAAD betreffende het standpunt dat namens de Europese Unie moet worden ingenomen in de Visserijcommissie voor het centraal-westelijk deel van de Atlantische Oceaan</w:t>
            </w:r>
          </w:p>
        </w:tc>
        <w:tc>
          <w:tcPr>
            <w:tcW w:w="1276" w:type="dxa"/>
            <w:tcBorders>
              <w:top w:val="single" w:color="auto" w:sz="4" w:space="0"/>
              <w:left w:val="single" w:color="auto" w:sz="4" w:space="0"/>
              <w:bottom w:val="single" w:color="auto" w:sz="4" w:space="0"/>
              <w:right w:val="single" w:color="auto" w:sz="4" w:space="0"/>
            </w:tcBorders>
            <w:shd w:val="clear" w:color="auto" w:fill="auto"/>
            <w:noWrap/>
          </w:tcPr>
          <w:p w:rsidRPr="00C151D3" w:rsidR="0067217C" w:rsidP="00014FF3" w:rsidRDefault="00AE450F" w14:paraId="462FAD18" w14:textId="77777777">
            <w:pPr>
              <w:rPr>
                <w:rFonts w:ascii="Calibri" w:hAnsi="Calibri"/>
                <w:color w:val="0000FF"/>
                <w:sz w:val="22"/>
                <w:szCs w:val="22"/>
                <w:u w:val="single"/>
              </w:rPr>
            </w:pPr>
            <w:hyperlink w:history="1" r:id="rId19">
              <w:r w:rsidRPr="00C151D3" w:rsidR="0067217C">
                <w:rPr>
                  <w:rStyle w:val="Hyperlink"/>
                  <w:rFonts w:ascii="Calibri" w:hAnsi="Calibri"/>
                  <w:sz w:val="22"/>
                  <w:szCs w:val="22"/>
                </w:rPr>
                <w:t>COM (2019) 284</w:t>
              </w:r>
            </w:hyperlink>
          </w:p>
        </w:tc>
        <w:tc>
          <w:tcPr>
            <w:tcW w:w="708" w:type="dxa"/>
            <w:tcBorders>
              <w:top w:val="single" w:color="auto" w:sz="4" w:space="0"/>
              <w:left w:val="nil"/>
              <w:bottom w:val="single" w:color="auto" w:sz="4" w:space="0"/>
              <w:right w:val="single" w:color="auto" w:sz="4" w:space="0"/>
            </w:tcBorders>
            <w:shd w:val="clear" w:color="auto" w:fill="auto"/>
            <w:noWrap/>
          </w:tcPr>
          <w:p w:rsidRPr="00C151D3" w:rsidR="0067217C" w:rsidP="00014FF3" w:rsidRDefault="0067217C" w14:paraId="2E103BC9"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auto"/>
          </w:tcPr>
          <w:p w:rsidRPr="00C151D3" w:rsidR="00270493" w:rsidP="00270493" w:rsidRDefault="00270493" w14:paraId="3FD269E2" w14:textId="77777777">
            <w:pPr>
              <w:pBdr>
                <w:top w:val="nil"/>
                <w:left w:val="nil"/>
                <w:bottom w:val="nil"/>
                <w:right w:val="nil"/>
                <w:between w:val="nil"/>
                <w:bar w:val="nil"/>
              </w:pBdr>
              <w:spacing w:after="240"/>
              <w:rPr>
                <w:rFonts w:asciiTheme="minorHAnsi" w:hAnsiTheme="minorHAnsi"/>
                <w:sz w:val="20"/>
                <w:szCs w:val="20"/>
              </w:rPr>
            </w:pPr>
            <w:r w:rsidRPr="00C151D3">
              <w:rPr>
                <w:rFonts w:asciiTheme="minorHAnsi" w:hAnsiTheme="minorHAnsi"/>
                <w:sz w:val="20"/>
                <w:szCs w:val="20"/>
              </w:rPr>
              <w:t xml:space="preserve">Dit voorstel is gericht op vaststelling </w:t>
            </w:r>
            <w:r w:rsidRPr="00C151D3" w:rsidR="00C151D3">
              <w:rPr>
                <w:rFonts w:asciiTheme="minorHAnsi" w:hAnsiTheme="minorHAnsi"/>
                <w:sz w:val="20"/>
                <w:szCs w:val="20"/>
              </w:rPr>
              <w:t>van het standpunt van de EU ten aanzien van de aanneming van niet-bindende resoluties en aanbevelingen. De Unie moet hierbij handelen in lijn met bestaand visserijbeleid van de Unie</w:t>
            </w:r>
            <w:r w:rsidR="00205733">
              <w:rPr>
                <w:rFonts w:asciiTheme="minorHAnsi" w:hAnsiTheme="minorHAnsi"/>
                <w:sz w:val="20"/>
                <w:szCs w:val="20"/>
              </w:rPr>
              <w:t xml:space="preserve">, </w:t>
            </w:r>
            <w:r w:rsidR="00C151D3">
              <w:rPr>
                <w:rFonts w:asciiTheme="minorHAnsi" w:hAnsiTheme="minorHAnsi"/>
                <w:sz w:val="20"/>
                <w:szCs w:val="20"/>
              </w:rPr>
              <w:t>op basis van het best beschikbare wetenschappelijke adviezen</w:t>
            </w:r>
            <w:r w:rsidR="00205733">
              <w:rPr>
                <w:rFonts w:asciiTheme="minorHAnsi" w:hAnsiTheme="minorHAnsi"/>
                <w:sz w:val="20"/>
                <w:szCs w:val="20"/>
              </w:rPr>
              <w:t xml:space="preserve"> en met aandacht voor betere governance, meer samenwerking en het terugdringen van vervuiling van de zee</w:t>
            </w:r>
            <w:r w:rsidRPr="00C151D3" w:rsidR="00C151D3">
              <w:rPr>
                <w:rFonts w:asciiTheme="minorHAnsi" w:hAnsiTheme="minorHAnsi"/>
                <w:sz w:val="20"/>
                <w:szCs w:val="20"/>
              </w:rPr>
              <w:t>. Jaarlijks zal een nadere bepaling plaatsvinden van het standpunt van de Unie.</w:t>
            </w:r>
          </w:p>
          <w:p w:rsidRPr="00C151D3" w:rsidR="00270493" w:rsidP="00973C15" w:rsidRDefault="00270493" w14:paraId="0634D11B" w14:textId="77777777">
            <w:pPr>
              <w:pBdr>
                <w:top w:val="nil"/>
                <w:left w:val="nil"/>
                <w:bottom w:val="nil"/>
                <w:right w:val="nil"/>
                <w:between w:val="nil"/>
                <w:bar w:val="nil"/>
              </w:pBdr>
              <w:spacing w:after="240"/>
              <w:rPr>
                <w:rFonts w:asciiTheme="minorHAnsi" w:hAnsiTheme="minorHAnsi"/>
                <w:color w:val="444444"/>
                <w:sz w:val="20"/>
                <w:szCs w:val="20"/>
              </w:rPr>
            </w:pPr>
            <w:r w:rsidRPr="00C151D3">
              <w:rPr>
                <w:rFonts w:asciiTheme="minorHAnsi" w:hAnsiTheme="minorHAnsi"/>
                <w:b/>
                <w:color w:val="444444"/>
                <w:sz w:val="20"/>
                <w:szCs w:val="20"/>
              </w:rPr>
              <w:t xml:space="preserve">Behandelvoorstel: </w:t>
            </w:r>
            <w:r w:rsidRPr="00C151D3">
              <w:rPr>
                <w:rFonts w:asciiTheme="minorHAnsi" w:hAnsiTheme="minorHAnsi"/>
                <w:color w:val="444444"/>
                <w:sz w:val="20"/>
                <w:szCs w:val="20"/>
              </w:rPr>
              <w:t xml:space="preserve">voor kennisgeving aannemen </w:t>
            </w:r>
          </w:p>
        </w:tc>
      </w:tr>
      <w:tr w:rsidRPr="00221383" w:rsidR="0067217C" w:rsidTr="00614A1B" w14:paraId="5A71BD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7217C" w:rsidP="00014FF3" w:rsidRDefault="0067217C" w14:paraId="39CD985F" w14:textId="77777777">
            <w:pPr>
              <w:rPr>
                <w:rFonts w:ascii="Calibri" w:hAnsi="Calibri"/>
                <w:color w:val="000000"/>
                <w:sz w:val="22"/>
                <w:szCs w:val="22"/>
              </w:rPr>
            </w:pPr>
            <w:r>
              <w:rPr>
                <w:rFonts w:ascii="Calibri" w:hAnsi="Calibri"/>
                <w:color w:val="000000"/>
                <w:sz w:val="22"/>
                <w:szCs w:val="22"/>
              </w:rPr>
              <w:t>10-jul-19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67217C" w:rsidP="00014FF3" w:rsidRDefault="0067217C" w14:paraId="1F5B5446"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67217C" w:rsidP="0052026E" w:rsidRDefault="0067217C" w14:paraId="0DBCBA27" w14:textId="77777777">
            <w:pPr>
              <w:rPr>
                <w:rFonts w:ascii="Calibri" w:hAnsi="Calibri"/>
                <w:color w:val="000000"/>
                <w:sz w:val="22"/>
                <w:szCs w:val="22"/>
              </w:rPr>
            </w:pPr>
            <w:r>
              <w:rPr>
                <w:rFonts w:ascii="Calibri" w:hAnsi="Calibri"/>
                <w:color w:val="000000"/>
                <w:sz w:val="22"/>
                <w:szCs w:val="22"/>
              </w:rPr>
              <w:t>Besluit</w:t>
            </w:r>
          </w:p>
        </w:tc>
        <w:tc>
          <w:tcPr>
            <w:tcW w:w="4536" w:type="dxa"/>
            <w:tcBorders>
              <w:top w:val="single" w:color="auto" w:sz="4" w:space="0"/>
              <w:left w:val="nil"/>
              <w:bottom w:val="single" w:color="auto" w:sz="4" w:space="0"/>
              <w:right w:val="nil"/>
            </w:tcBorders>
            <w:shd w:val="clear" w:color="auto" w:fill="FFFFFF" w:themeFill="background1"/>
            <w:noWrap/>
          </w:tcPr>
          <w:p w:rsidR="0067217C" w:rsidP="00014FF3" w:rsidRDefault="0067217C" w14:paraId="1C3E30E7" w14:textId="77777777">
            <w:pPr>
              <w:rPr>
                <w:rFonts w:ascii="Calibri" w:hAnsi="Calibri"/>
                <w:color w:val="000000"/>
                <w:sz w:val="22"/>
                <w:szCs w:val="22"/>
              </w:rPr>
            </w:pPr>
            <w:r>
              <w:rPr>
                <w:rFonts w:ascii="Calibri" w:hAnsi="Calibri"/>
                <w:color w:val="000000"/>
                <w:sz w:val="22"/>
                <w:szCs w:val="22"/>
              </w:rPr>
              <w:t>Voorstel voor een BESLUIT VAN DE RAAD betreffende het standpunt dat namens de Europese Unie moet worden ingenomen in de Visserijcommissie voor het centraal-oostelijk deel van de Atlantische Oceaan</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7217C" w:rsidP="00014FF3" w:rsidRDefault="00AE450F" w14:paraId="18E6D361" w14:textId="77777777">
            <w:pPr>
              <w:rPr>
                <w:rFonts w:ascii="Calibri" w:hAnsi="Calibri"/>
                <w:color w:val="0000FF"/>
                <w:sz w:val="22"/>
                <w:szCs w:val="22"/>
                <w:u w:val="single"/>
              </w:rPr>
            </w:pPr>
            <w:hyperlink w:history="1" r:id="rId20">
              <w:r w:rsidR="0067217C">
                <w:rPr>
                  <w:rStyle w:val="Hyperlink"/>
                  <w:rFonts w:ascii="Calibri" w:hAnsi="Calibri"/>
                  <w:sz w:val="22"/>
                  <w:szCs w:val="22"/>
                </w:rPr>
                <w:t>COM (2019) 327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77FE1" w:rsidR="0067217C" w:rsidP="00014FF3" w:rsidRDefault="0067217C" w14:paraId="6A47F253"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67217C" w:rsidP="005F79FF" w:rsidRDefault="00720660" w14:paraId="65283BEF" w14:textId="77777777">
            <w:pPr>
              <w:pBdr>
                <w:top w:val="nil"/>
                <w:left w:val="nil"/>
                <w:bottom w:val="nil"/>
                <w:right w:val="nil"/>
                <w:between w:val="nil"/>
                <w:bar w:val="nil"/>
              </w:pBdr>
              <w:spacing w:after="240"/>
              <w:rPr>
                <w:rFonts w:asciiTheme="minorHAnsi" w:hAnsiTheme="minorHAnsi"/>
                <w:sz w:val="20"/>
                <w:szCs w:val="20"/>
              </w:rPr>
            </w:pPr>
            <w:r w:rsidRPr="00C151D3">
              <w:rPr>
                <w:rFonts w:asciiTheme="minorHAnsi" w:hAnsiTheme="minorHAnsi"/>
                <w:sz w:val="20"/>
                <w:szCs w:val="20"/>
              </w:rPr>
              <w:t>Dit voorstel is gericht op vaststelling van het standpunt van de EU ten aanzien van de aanneming van niet-bindende resoluties en aanbevelingen.</w:t>
            </w:r>
            <w:r w:rsidR="005F79FF">
              <w:rPr>
                <w:rFonts w:asciiTheme="minorHAnsi" w:hAnsiTheme="minorHAnsi"/>
                <w:sz w:val="20"/>
                <w:szCs w:val="20"/>
              </w:rPr>
              <w:t xml:space="preserve"> </w:t>
            </w:r>
            <w:r w:rsidRPr="00C151D3" w:rsidR="005F79FF">
              <w:rPr>
                <w:rFonts w:asciiTheme="minorHAnsi" w:hAnsiTheme="minorHAnsi"/>
                <w:sz w:val="20"/>
                <w:szCs w:val="20"/>
              </w:rPr>
              <w:t>Jaarlijks zal een nadere bepaling plaatsvinden van het standpunt van de Unie.</w:t>
            </w:r>
          </w:p>
          <w:p w:rsidRPr="005F79FF" w:rsidR="005F79FF" w:rsidP="005F79FF" w:rsidRDefault="005F79FF" w14:paraId="53901B3C" w14:textId="77777777">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b/>
                <w:sz w:val="20"/>
                <w:szCs w:val="20"/>
              </w:rPr>
              <w:t>Behandelvoorstel</w:t>
            </w:r>
            <w:r>
              <w:rPr>
                <w:rFonts w:asciiTheme="minorHAnsi" w:hAnsiTheme="minorHAnsi"/>
                <w:sz w:val="20"/>
                <w:szCs w:val="20"/>
              </w:rPr>
              <w:t xml:space="preserve">: voor kennisgeving aannemen. </w:t>
            </w:r>
          </w:p>
        </w:tc>
      </w:tr>
      <w:tr w:rsidRPr="00221383" w:rsidR="0067217C" w:rsidTr="00614A1B" w14:paraId="65407C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7217C" w:rsidP="00014FF3" w:rsidRDefault="0067217C" w14:paraId="5887E50E" w14:textId="77777777">
            <w:pPr>
              <w:rPr>
                <w:rFonts w:ascii="Calibri" w:hAnsi="Calibri"/>
                <w:color w:val="000000"/>
                <w:sz w:val="22"/>
                <w:szCs w:val="22"/>
              </w:rPr>
            </w:pPr>
            <w:r>
              <w:rPr>
                <w:rFonts w:ascii="Calibri" w:hAnsi="Calibri"/>
                <w:color w:val="000000"/>
                <w:sz w:val="22"/>
                <w:szCs w:val="22"/>
              </w:rPr>
              <w:t>12-jul-19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67217C" w:rsidP="00014FF3" w:rsidRDefault="0067217C" w14:paraId="706B202D"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67217C" w:rsidP="0052026E" w:rsidRDefault="0067217C" w14:paraId="58BE533C" w14:textId="77777777">
            <w:pPr>
              <w:rPr>
                <w:rFonts w:ascii="Calibri" w:hAnsi="Calibri"/>
                <w:color w:val="000000"/>
                <w:sz w:val="22"/>
                <w:szCs w:val="22"/>
              </w:rPr>
            </w:pPr>
            <w:r>
              <w:rPr>
                <w:rFonts w:ascii="Calibri" w:hAnsi="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67217C" w:rsidP="00014FF3" w:rsidRDefault="0067217C" w14:paraId="188C0C6D" w14:textId="77777777">
            <w:pPr>
              <w:rPr>
                <w:rFonts w:ascii="Calibri" w:hAnsi="Calibri"/>
                <w:color w:val="000000"/>
                <w:sz w:val="22"/>
                <w:szCs w:val="22"/>
              </w:rPr>
            </w:pPr>
            <w:r>
              <w:rPr>
                <w:rFonts w:ascii="Calibri" w:hAnsi="Calibri"/>
                <w:color w:val="000000"/>
                <w:sz w:val="22"/>
                <w:szCs w:val="22"/>
              </w:rPr>
              <w:t xml:space="preserve">VERSLAG VAN DE COMMISSIE AAN DE RAAD over de beoordeling van de door Italië aan de Commissie en de Raad gemelde vooruitgang bij de invordering van de extra heffing die melkproducenten voor de tijdvakken 1995/1996 </w:t>
            </w:r>
            <w:r>
              <w:rPr>
                <w:rFonts w:ascii="Calibri" w:hAnsi="Calibri"/>
                <w:color w:val="000000"/>
                <w:sz w:val="22"/>
                <w:szCs w:val="22"/>
              </w:rPr>
              <w:lastRenderedPageBreak/>
              <w:t>tot en met 2001/2002 verschuldigd zijn (uitgebracht op grond van artikel 3 van Beschikking 2003/530/EG van de Raad) (conformément à l'article 3 de la décision 2003/530/CE du Conseil)</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7217C" w:rsidP="00014FF3" w:rsidRDefault="00AE450F" w14:paraId="4FC56D17" w14:textId="77777777">
            <w:pPr>
              <w:rPr>
                <w:rFonts w:ascii="Calibri" w:hAnsi="Calibri"/>
                <w:color w:val="0000FF"/>
                <w:sz w:val="22"/>
                <w:szCs w:val="22"/>
                <w:u w:val="single"/>
              </w:rPr>
            </w:pPr>
            <w:hyperlink w:history="1" r:id="rId21">
              <w:r w:rsidR="0067217C">
                <w:rPr>
                  <w:rStyle w:val="Hyperlink"/>
                  <w:rFonts w:ascii="Calibri" w:hAnsi="Calibri"/>
                  <w:sz w:val="22"/>
                  <w:szCs w:val="22"/>
                </w:rPr>
                <w:t>COM (2019) 335</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77FE1" w:rsidR="0067217C" w:rsidP="00014FF3" w:rsidRDefault="0067217C" w14:paraId="63F6EDBC"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67217C" w:rsidP="00973C15" w:rsidRDefault="00073356" w14:paraId="130B3219" w14:textId="77777777">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color w:val="444444"/>
                <w:sz w:val="20"/>
                <w:szCs w:val="20"/>
              </w:rPr>
              <w:t xml:space="preserve">Het verslag meldt dat </w:t>
            </w:r>
            <w:r w:rsidR="0062122F">
              <w:rPr>
                <w:rFonts w:asciiTheme="minorHAnsi" w:hAnsiTheme="minorHAnsi"/>
                <w:color w:val="444444"/>
                <w:sz w:val="20"/>
                <w:szCs w:val="20"/>
              </w:rPr>
              <w:t xml:space="preserve">er sprake is van een toereikend beheer van de termijnregeling. Het is nu wel zaak dat Italië zo snel mogelijk over gaat tot uitvoering van het arrest van het Hof van Justitie door maatregelen te treffen die leiden tot invoering van een doeltreffend systeem voor de invordering van verschuldigde </w:t>
            </w:r>
            <w:r w:rsidR="0062122F">
              <w:rPr>
                <w:rFonts w:asciiTheme="minorHAnsi" w:hAnsiTheme="minorHAnsi"/>
                <w:color w:val="444444"/>
                <w:sz w:val="20"/>
                <w:szCs w:val="20"/>
              </w:rPr>
              <w:lastRenderedPageBreak/>
              <w:t>bedragen, leidend tot reële en zichtbare resultaten ten aanzien van een daling van het openstaande bedrag.</w:t>
            </w:r>
          </w:p>
          <w:p w:rsidRPr="0062122F" w:rsidR="00073356" w:rsidP="0062122F" w:rsidRDefault="00073356" w14:paraId="2F8D92AB" w14:textId="77777777">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b/>
                <w:color w:val="444444"/>
                <w:sz w:val="20"/>
                <w:szCs w:val="20"/>
              </w:rPr>
              <w:t>B</w:t>
            </w:r>
            <w:r w:rsidR="0062122F">
              <w:rPr>
                <w:rFonts w:asciiTheme="minorHAnsi" w:hAnsiTheme="minorHAnsi"/>
                <w:b/>
                <w:color w:val="444444"/>
                <w:sz w:val="20"/>
                <w:szCs w:val="20"/>
              </w:rPr>
              <w:t>e</w:t>
            </w:r>
            <w:r>
              <w:rPr>
                <w:rFonts w:asciiTheme="minorHAnsi" w:hAnsiTheme="minorHAnsi"/>
                <w:b/>
                <w:color w:val="444444"/>
                <w:sz w:val="20"/>
                <w:szCs w:val="20"/>
              </w:rPr>
              <w:t>handelvoorstel</w:t>
            </w:r>
            <w:r w:rsidR="0062122F">
              <w:rPr>
                <w:rFonts w:asciiTheme="minorHAnsi" w:hAnsiTheme="minorHAnsi"/>
                <w:b/>
                <w:color w:val="444444"/>
                <w:sz w:val="20"/>
                <w:szCs w:val="20"/>
              </w:rPr>
              <w:t xml:space="preserve">: </w:t>
            </w:r>
            <w:r w:rsidR="0062122F">
              <w:rPr>
                <w:rFonts w:asciiTheme="minorHAnsi" w:hAnsiTheme="minorHAnsi"/>
                <w:color w:val="444444"/>
                <w:sz w:val="20"/>
                <w:szCs w:val="20"/>
              </w:rPr>
              <w:t>voor kennisgeving aannemen.</w:t>
            </w:r>
          </w:p>
        </w:tc>
      </w:tr>
      <w:tr w:rsidRPr="00221383" w:rsidR="0067217C" w:rsidTr="00614A1B" w14:paraId="09289C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7217C" w:rsidP="00014FF3" w:rsidRDefault="0067217C" w14:paraId="75FC7295" w14:textId="77777777">
            <w:pPr>
              <w:rPr>
                <w:rFonts w:ascii="Calibri" w:hAnsi="Calibri"/>
                <w:color w:val="000000"/>
                <w:sz w:val="22"/>
                <w:szCs w:val="22"/>
              </w:rPr>
            </w:pPr>
            <w:r>
              <w:rPr>
                <w:rFonts w:ascii="Calibri" w:hAnsi="Calibri"/>
                <w:color w:val="000000"/>
                <w:sz w:val="22"/>
                <w:szCs w:val="22"/>
              </w:rPr>
              <w:lastRenderedPageBreak/>
              <w:t>29-jul-19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67217C" w:rsidP="00014FF3" w:rsidRDefault="0067217C" w14:paraId="70C4A7A0"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67217C" w:rsidP="0052026E" w:rsidRDefault="0067217C" w14:paraId="435F9BBD" w14:textId="77777777">
            <w:pPr>
              <w:rPr>
                <w:rFonts w:ascii="Calibri" w:hAnsi="Calibri"/>
                <w:color w:val="000000"/>
                <w:sz w:val="22"/>
                <w:szCs w:val="22"/>
              </w:rPr>
            </w:pPr>
            <w:r>
              <w:rPr>
                <w:rFonts w:ascii="Calibri" w:hAnsi="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67217C" w:rsidP="00014FF3" w:rsidRDefault="0067217C" w14:paraId="45E669D1" w14:textId="77777777">
            <w:pPr>
              <w:rPr>
                <w:rFonts w:ascii="Calibri" w:hAnsi="Calibri"/>
                <w:color w:val="000000"/>
                <w:sz w:val="22"/>
                <w:szCs w:val="22"/>
              </w:rPr>
            </w:pPr>
            <w:r>
              <w:rPr>
                <w:rFonts w:ascii="Calibri" w:hAnsi="Calibri"/>
                <w:color w:val="000000"/>
                <w:sz w:val="22"/>
                <w:szCs w:val="22"/>
              </w:rPr>
              <w:t>VERSLAG VAN DE COMMISSIE AAN HET EUROPEES PARLEMENT EN DE RAAD over de uitgaven uit het ELGF Systeem voor vroegtijdige waarschuwing nr. 4-6/2019</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7217C" w:rsidP="00014FF3" w:rsidRDefault="00AE450F" w14:paraId="33764DB2" w14:textId="77777777">
            <w:pPr>
              <w:rPr>
                <w:rFonts w:ascii="Calibri" w:hAnsi="Calibri"/>
                <w:color w:val="0000FF"/>
                <w:sz w:val="22"/>
                <w:szCs w:val="22"/>
                <w:u w:val="single"/>
              </w:rPr>
            </w:pPr>
            <w:hyperlink w:history="1" r:id="rId22">
              <w:r w:rsidR="0067217C">
                <w:rPr>
                  <w:rStyle w:val="Hyperlink"/>
                  <w:rFonts w:ascii="Calibri" w:hAnsi="Calibri"/>
                  <w:sz w:val="22"/>
                  <w:szCs w:val="22"/>
                </w:rPr>
                <w:t>COM (2019) 367</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77FE1" w:rsidR="0067217C" w:rsidP="00014FF3" w:rsidRDefault="0067217C" w14:paraId="5C8F662D"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4912BA" w:rsidP="00973C15" w:rsidRDefault="004912BA" w14:paraId="044FB540" w14:textId="77777777">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color w:val="444444"/>
                <w:sz w:val="20"/>
                <w:szCs w:val="20"/>
              </w:rPr>
              <w:t xml:space="preserve">Voor de periode tot en met 30 april 2019 liggen de maandelijkse vergoedingen van de lidstaten 533 miljoen EUR boven het berekende bestedingsprofiel. Er is een bedrag van 732 miljoen EUR aan bestemmingsontvangsten beschikbaar en naar verwachting zullen in de loop van het begrotingsjaar nog andere bedragen worden geïnd. De Commissie verwacht dat de goedgekeurde kredieten, samen met het bedrag aan bestemmingsontvangsten dat uiterlijk eind van het begrotingsjaar beschikbaar zal zijn, voldoende zullen zijn om alle uitgaven te dekken. </w:t>
            </w:r>
          </w:p>
          <w:p w:rsidRPr="004912BA" w:rsidR="004912BA" w:rsidP="00973C15" w:rsidRDefault="004912BA" w14:paraId="00E9171E" w14:textId="32098898">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b/>
                <w:color w:val="444444"/>
                <w:sz w:val="20"/>
                <w:szCs w:val="20"/>
              </w:rPr>
              <w:t>Behandelvoorstel</w:t>
            </w:r>
            <w:r>
              <w:rPr>
                <w:rFonts w:asciiTheme="minorHAnsi" w:hAnsiTheme="minorHAnsi"/>
                <w:color w:val="444444"/>
                <w:sz w:val="20"/>
                <w:szCs w:val="20"/>
              </w:rPr>
              <w:t>: voor</w:t>
            </w:r>
            <w:r w:rsidR="00C531B5">
              <w:rPr>
                <w:rFonts w:asciiTheme="minorHAnsi" w:hAnsiTheme="minorHAnsi"/>
                <w:color w:val="444444"/>
                <w:sz w:val="20"/>
                <w:szCs w:val="20"/>
              </w:rPr>
              <w:t xml:space="preserve"> </w:t>
            </w:r>
            <w:r>
              <w:rPr>
                <w:rFonts w:asciiTheme="minorHAnsi" w:hAnsiTheme="minorHAnsi"/>
                <w:color w:val="444444"/>
                <w:sz w:val="20"/>
                <w:szCs w:val="20"/>
              </w:rPr>
              <w:t xml:space="preserve">kennisgeving aannemen. </w:t>
            </w:r>
          </w:p>
        </w:tc>
      </w:tr>
      <w:tr w:rsidRPr="00221383" w:rsidR="0067217C" w:rsidTr="00614A1B" w14:paraId="24B810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16"/>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7217C" w:rsidP="00014FF3" w:rsidRDefault="0067217C" w14:paraId="760BF34B" w14:textId="77777777">
            <w:pPr>
              <w:rPr>
                <w:rFonts w:ascii="Calibri" w:hAnsi="Calibri"/>
                <w:color w:val="000000"/>
                <w:sz w:val="22"/>
                <w:szCs w:val="22"/>
              </w:rPr>
            </w:pPr>
            <w:r>
              <w:rPr>
                <w:rFonts w:ascii="Calibri" w:hAnsi="Calibri"/>
                <w:color w:val="000000"/>
                <w:sz w:val="22"/>
                <w:szCs w:val="22"/>
              </w:rPr>
              <w:t>7-aug-19</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0067217C" w:rsidP="00014FF3" w:rsidRDefault="0067217C" w14:paraId="4381708E" w14:textId="77777777">
            <w:pPr>
              <w:rPr>
                <w:rFonts w:ascii="Calibri" w:hAnsi="Calibri"/>
                <w:color w:val="000000"/>
                <w:sz w:val="22"/>
                <w:szCs w:val="22"/>
              </w:rPr>
            </w:pPr>
            <w:r>
              <w:rPr>
                <w:rFonts w:ascii="Calibri" w:hAnsi="Calibri"/>
                <w:color w:val="000000"/>
                <w:sz w:val="22"/>
                <w:szCs w:val="22"/>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0067217C" w:rsidP="0052026E" w:rsidRDefault="0067217C" w14:paraId="57C7D3D2" w14:textId="77777777">
            <w:pPr>
              <w:rPr>
                <w:rFonts w:ascii="Calibri" w:hAnsi="Calibri"/>
                <w:color w:val="000000"/>
                <w:sz w:val="22"/>
                <w:szCs w:val="22"/>
              </w:rPr>
            </w:pPr>
            <w:r>
              <w:rPr>
                <w:rFonts w:ascii="Calibri" w:hAnsi="Calibri"/>
                <w:color w:val="000000"/>
                <w:sz w:val="22"/>
                <w:szCs w:val="22"/>
              </w:rPr>
              <w:t>Verslag</w:t>
            </w:r>
          </w:p>
        </w:tc>
        <w:tc>
          <w:tcPr>
            <w:tcW w:w="4536" w:type="dxa"/>
            <w:tcBorders>
              <w:top w:val="single" w:color="auto" w:sz="4" w:space="0"/>
              <w:left w:val="nil"/>
              <w:bottom w:val="single" w:color="auto" w:sz="4" w:space="0"/>
              <w:right w:val="nil"/>
            </w:tcBorders>
            <w:shd w:val="clear" w:color="auto" w:fill="FFFFFF" w:themeFill="background1"/>
            <w:noWrap/>
          </w:tcPr>
          <w:p w:rsidR="0067217C" w:rsidP="00014FF3" w:rsidRDefault="0067217C" w14:paraId="28161022" w14:textId="77777777">
            <w:pPr>
              <w:rPr>
                <w:rFonts w:ascii="Calibri" w:hAnsi="Calibri"/>
                <w:color w:val="000000"/>
                <w:sz w:val="22"/>
                <w:szCs w:val="22"/>
              </w:rPr>
            </w:pPr>
            <w:r>
              <w:rPr>
                <w:rFonts w:ascii="Calibri" w:hAnsi="Calibri"/>
                <w:color w:val="000000"/>
                <w:sz w:val="22"/>
                <w:szCs w:val="22"/>
              </w:rPr>
              <w:t>VERSLAG VAN DE COMMISSIE AAN HET EUROPEES PARLEMENT EN DE RAAD TWAALFDE FINANCIEEL VERSLAG VAN DE COMMISSIE AAN HET EUROPEES PARLEMENT EN DE RAAD over het EUROPEES LANDBOUWGARANTIEFONDS BEGROTINGSJAAR 2018</w:t>
            </w:r>
          </w:p>
        </w:tc>
        <w:tc>
          <w:tcPr>
            <w:tcW w:w="1276"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0067217C" w:rsidP="00014FF3" w:rsidRDefault="00AE450F" w14:paraId="7175B0F4" w14:textId="77777777">
            <w:pPr>
              <w:rPr>
                <w:rFonts w:ascii="Calibri" w:hAnsi="Calibri"/>
                <w:color w:val="0000FF"/>
                <w:sz w:val="22"/>
                <w:szCs w:val="22"/>
                <w:u w:val="single"/>
              </w:rPr>
            </w:pPr>
            <w:hyperlink w:history="1" r:id="rId23">
              <w:r w:rsidR="0067217C">
                <w:rPr>
                  <w:rStyle w:val="Hyperlink"/>
                  <w:rFonts w:ascii="Calibri" w:hAnsi="Calibri"/>
                  <w:sz w:val="22"/>
                  <w:szCs w:val="22"/>
                </w:rPr>
                <w:t>COM (2019) 366</w:t>
              </w:r>
            </w:hyperlink>
          </w:p>
        </w:tc>
        <w:tc>
          <w:tcPr>
            <w:tcW w:w="708" w:type="dxa"/>
            <w:tcBorders>
              <w:top w:val="single" w:color="auto" w:sz="4" w:space="0"/>
              <w:left w:val="nil"/>
              <w:bottom w:val="single" w:color="auto" w:sz="4" w:space="0"/>
              <w:right w:val="single" w:color="auto" w:sz="4" w:space="0"/>
            </w:tcBorders>
            <w:shd w:val="clear" w:color="auto" w:fill="FFFFFF" w:themeFill="background1"/>
            <w:noWrap/>
          </w:tcPr>
          <w:p w:rsidRPr="00777FE1" w:rsidR="0067217C" w:rsidP="00014FF3" w:rsidRDefault="0067217C" w14:paraId="4B128138" w14:textId="77777777">
            <w:pPr>
              <w:rPr>
                <w:rFonts w:cs="Arial" w:asciiTheme="minorHAnsi" w:hAnsiTheme="minorHAnsi"/>
                <w:sz w:val="20"/>
                <w:szCs w:val="20"/>
              </w:rPr>
            </w:pPr>
          </w:p>
        </w:tc>
        <w:tc>
          <w:tcPr>
            <w:tcW w:w="4820" w:type="dxa"/>
            <w:tcBorders>
              <w:top w:val="single" w:color="auto" w:sz="4" w:space="0"/>
              <w:left w:val="nil"/>
              <w:bottom w:val="single" w:color="auto" w:sz="4" w:space="0"/>
              <w:right w:val="single" w:color="auto" w:sz="4" w:space="0"/>
            </w:tcBorders>
            <w:shd w:val="clear" w:color="auto" w:fill="FFFFFF" w:themeFill="background1"/>
          </w:tcPr>
          <w:p w:rsidR="0067217C" w:rsidP="00FD058B" w:rsidRDefault="00FD058B" w14:paraId="1FF40F7F" w14:textId="77777777">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color w:val="444444"/>
                <w:sz w:val="20"/>
                <w:szCs w:val="20"/>
              </w:rPr>
              <w:t xml:space="preserve">Het verslag geeft een overzicht van de kredieten en ontvangsten voor het begrotingsjaar 2018. Er is iets minder uitbetaald dan is vastgelegd. </w:t>
            </w:r>
            <w:r w:rsidR="008E6FE1">
              <w:rPr>
                <w:rFonts w:asciiTheme="minorHAnsi" w:hAnsiTheme="minorHAnsi"/>
                <w:color w:val="444444"/>
                <w:sz w:val="20"/>
                <w:szCs w:val="20"/>
              </w:rPr>
              <w:t>488,8 miljoen EUR aan bestemmingsontvangsten is overgedragen naar 2019 om begrotingsuitgaven te financieren.</w:t>
            </w:r>
          </w:p>
          <w:p w:rsidRPr="008E6FE1" w:rsidR="008E6FE1" w:rsidP="00FD058B" w:rsidRDefault="008E6FE1" w14:paraId="71033FEB" w14:textId="77777777">
            <w:pPr>
              <w:pBdr>
                <w:top w:val="nil"/>
                <w:left w:val="nil"/>
                <w:bottom w:val="nil"/>
                <w:right w:val="nil"/>
                <w:between w:val="nil"/>
                <w:bar w:val="nil"/>
              </w:pBdr>
              <w:spacing w:after="240"/>
              <w:rPr>
                <w:rFonts w:asciiTheme="minorHAnsi" w:hAnsiTheme="minorHAnsi"/>
                <w:color w:val="444444"/>
                <w:sz w:val="20"/>
                <w:szCs w:val="20"/>
              </w:rPr>
            </w:pPr>
            <w:r>
              <w:rPr>
                <w:rFonts w:asciiTheme="minorHAnsi" w:hAnsiTheme="minorHAnsi"/>
                <w:b/>
                <w:color w:val="444444"/>
                <w:sz w:val="20"/>
                <w:szCs w:val="20"/>
              </w:rPr>
              <w:t>Behandelvoorstel</w:t>
            </w:r>
            <w:r>
              <w:rPr>
                <w:rFonts w:asciiTheme="minorHAnsi" w:hAnsiTheme="minorHAnsi"/>
                <w:color w:val="444444"/>
                <w:sz w:val="20"/>
                <w:szCs w:val="20"/>
              </w:rPr>
              <w:t>: voor kennisgeving aannemen.</w:t>
            </w:r>
          </w:p>
        </w:tc>
      </w:tr>
    </w:tbl>
    <w:p w:rsidR="00614A1B" w:rsidP="00C00215" w:rsidRDefault="00614A1B" w14:paraId="446A9BF6" w14:textId="77777777">
      <w:pPr>
        <w:spacing w:after="200" w:line="276" w:lineRule="auto"/>
        <w:rPr>
          <w:rFonts w:asciiTheme="minorHAnsi" w:hAnsiTheme="minorHAnsi"/>
          <w:b/>
          <w:sz w:val="22"/>
          <w:szCs w:val="22"/>
        </w:rPr>
      </w:pPr>
    </w:p>
    <w:p w:rsidRPr="00221383" w:rsidR="00C00215" w:rsidP="00C00215" w:rsidRDefault="00C00215" w14:paraId="48EE0B60" w14:textId="77777777">
      <w:pPr>
        <w:spacing w:after="200" w:line="276" w:lineRule="auto"/>
        <w:rPr>
          <w:rFonts w:asciiTheme="minorHAnsi" w:hAnsiTheme="minorHAnsi"/>
          <w:b/>
          <w:sz w:val="22"/>
          <w:szCs w:val="22"/>
        </w:rPr>
      </w:pPr>
      <w:r w:rsidRPr="00221383">
        <w:rPr>
          <w:rFonts w:asciiTheme="minorHAnsi" w:hAnsiTheme="minorHAnsi"/>
          <w:b/>
          <w:sz w:val="22"/>
          <w:szCs w:val="22"/>
        </w:rPr>
        <w:t>Bijlage: behandelmogelijkheden EU-voorstellen</w:t>
      </w:r>
    </w:p>
    <w:p w:rsidRPr="00221383" w:rsidR="00C00215" w:rsidP="00C00215" w:rsidRDefault="00C00215" w14:paraId="6F374800"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C00215" w:rsidP="00C00215" w:rsidRDefault="00C00215" w14:paraId="36D217F2"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C00215" w:rsidP="00C00215" w:rsidRDefault="00C00215" w14:paraId="34ED60A1"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C00215" w:rsidTr="00014FF3" w14:paraId="1C1AA673" w14:textId="77777777">
        <w:tc>
          <w:tcPr>
            <w:tcW w:w="2093" w:type="dxa"/>
          </w:tcPr>
          <w:p w:rsidRPr="00221383" w:rsidR="00C00215" w:rsidP="00014FF3" w:rsidRDefault="00C00215" w14:paraId="11A0BF6E"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C00215" w:rsidP="00014FF3" w:rsidRDefault="00C00215" w14:paraId="5EDCA89D"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C00215" w:rsidP="00014FF3" w:rsidRDefault="00C00215" w14:paraId="523D7E14"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C00215" w:rsidTr="00014FF3" w14:paraId="2558BD4C" w14:textId="77777777">
        <w:tc>
          <w:tcPr>
            <w:tcW w:w="14142" w:type="dxa"/>
            <w:gridSpan w:val="3"/>
          </w:tcPr>
          <w:p w:rsidRPr="00221383" w:rsidR="00C00215" w:rsidP="00014FF3" w:rsidRDefault="00C00215" w14:paraId="457053CE" w14:textId="77777777">
            <w:pPr>
              <w:pStyle w:val="Voetnoottekst"/>
              <w:rPr>
                <w:rFonts w:asciiTheme="minorHAnsi" w:hAnsiTheme="minorHAnsi"/>
                <w:i/>
              </w:rPr>
            </w:pPr>
          </w:p>
          <w:p w:rsidRPr="00221383" w:rsidR="00C00215" w:rsidP="00014FF3" w:rsidRDefault="00C00215" w14:paraId="014BF15D"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1"/>
            </w:r>
            <w:r w:rsidRPr="00221383">
              <w:rPr>
                <w:rFonts w:asciiTheme="minorHAnsi" w:hAnsiTheme="minorHAnsi"/>
                <w:i/>
              </w:rPr>
              <w:t xml:space="preserve"> </w:t>
            </w:r>
          </w:p>
        </w:tc>
      </w:tr>
      <w:tr w:rsidRPr="00221383" w:rsidR="00C00215" w:rsidTr="00014FF3" w14:paraId="2CA3F568" w14:textId="77777777">
        <w:tc>
          <w:tcPr>
            <w:tcW w:w="2093" w:type="dxa"/>
          </w:tcPr>
          <w:p w:rsidRPr="00221383" w:rsidR="00C00215" w:rsidP="00014FF3" w:rsidRDefault="00C00215" w14:paraId="5862DD3B"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C00215" w:rsidP="00014FF3" w:rsidRDefault="00C00215" w14:paraId="63CE0B5B"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C00215" w:rsidP="00014FF3" w:rsidRDefault="00C00215" w14:paraId="7296839D"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C00215" w:rsidP="00014FF3" w:rsidRDefault="00C00215" w14:paraId="13440AE9"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C00215" w:rsidP="00014FF3" w:rsidRDefault="00C00215" w14:paraId="34633D46"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C00215" w:rsidP="00014FF3" w:rsidRDefault="00C00215" w14:paraId="5E327BD9"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C00215" w:rsidP="00014FF3" w:rsidRDefault="00C00215" w14:paraId="51C6105E"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“BNC-fiche”.</w:t>
            </w:r>
            <w:r w:rsidRPr="00221383">
              <w:rPr>
                <w:rStyle w:val="Voetnootmarkering"/>
                <w:rFonts w:asciiTheme="minorHAnsi" w:hAnsiTheme="minorHAnsi"/>
              </w:rPr>
              <w:footnoteReference w:id="2"/>
            </w:r>
            <w:r w:rsidRPr="00221383">
              <w:rPr>
                <w:rFonts w:asciiTheme="minorHAnsi" w:hAnsiTheme="minorHAnsi"/>
              </w:rPr>
              <w:t xml:space="preserve"> </w:t>
            </w:r>
          </w:p>
          <w:p w:rsidRPr="00221383" w:rsidR="00C00215" w:rsidP="00014FF3" w:rsidRDefault="00C00215" w14:paraId="53A828FC"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C00215" w:rsidP="00014FF3" w:rsidRDefault="00C00215" w14:paraId="75392742"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C00215" w:rsidTr="00014FF3" w14:paraId="7C4B1E84" w14:textId="77777777">
        <w:tc>
          <w:tcPr>
            <w:tcW w:w="2093" w:type="dxa"/>
          </w:tcPr>
          <w:p w:rsidRPr="00221383" w:rsidR="00C00215" w:rsidP="00014FF3" w:rsidRDefault="00C00215" w14:paraId="290A55F3"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C00215" w:rsidP="00014FF3" w:rsidRDefault="00C00215" w14:paraId="0C90037A"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C00215" w:rsidP="00014FF3" w:rsidRDefault="00C00215" w14:paraId="0BE21BA4" w14:textId="77777777">
            <w:pPr>
              <w:pStyle w:val="Voetnoottekst"/>
              <w:numPr>
                <w:ilvl w:val="0"/>
                <w:numId w:val="2"/>
              </w:numPr>
              <w:ind w:left="317" w:hanging="283"/>
              <w:rPr>
                <w:rFonts w:asciiTheme="minorHAnsi" w:hAnsiTheme="minorHAnsi"/>
              </w:rPr>
            </w:pPr>
          </w:p>
        </w:tc>
      </w:tr>
      <w:tr w:rsidRPr="00221383" w:rsidR="00C00215" w:rsidTr="00014FF3" w14:paraId="43866CB7" w14:textId="77777777">
        <w:tc>
          <w:tcPr>
            <w:tcW w:w="2093" w:type="dxa"/>
          </w:tcPr>
          <w:p w:rsidRPr="00221383" w:rsidR="00C00215" w:rsidP="00014FF3" w:rsidRDefault="00C00215" w14:paraId="68DEBA24" w14:textId="77777777">
            <w:pPr>
              <w:pStyle w:val="Voetnoottekst"/>
              <w:rPr>
                <w:rFonts w:asciiTheme="minorHAnsi" w:hAnsiTheme="minorHAnsi"/>
              </w:rPr>
            </w:pPr>
            <w:r w:rsidRPr="00221383">
              <w:rPr>
                <w:rFonts w:asciiTheme="minorHAnsi" w:hAnsiTheme="minorHAnsi"/>
              </w:rPr>
              <w:t>(Besluit)</w:t>
            </w:r>
          </w:p>
        </w:tc>
        <w:tc>
          <w:tcPr>
            <w:tcW w:w="6946" w:type="dxa"/>
          </w:tcPr>
          <w:p w:rsidRPr="00221383" w:rsidR="00C00215" w:rsidP="00014FF3" w:rsidRDefault="00C00215" w14:paraId="4397F196"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w:t>
            </w:r>
            <w:r w:rsidRPr="00221383">
              <w:rPr>
                <w:rFonts w:asciiTheme="minorHAnsi" w:hAnsiTheme="minorHAnsi"/>
              </w:rPr>
              <w:lastRenderedPageBreak/>
              <w:t xml:space="preserve">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C00215" w:rsidP="00014FF3" w:rsidRDefault="00C00215" w14:paraId="371BE0A8" w14:textId="77777777">
            <w:pPr>
              <w:pStyle w:val="Voetnoottekst"/>
              <w:numPr>
                <w:ilvl w:val="0"/>
                <w:numId w:val="2"/>
              </w:numPr>
              <w:ind w:left="317" w:hanging="283"/>
              <w:rPr>
                <w:rFonts w:asciiTheme="minorHAnsi" w:hAnsiTheme="minorHAnsi"/>
              </w:rPr>
            </w:pPr>
          </w:p>
        </w:tc>
      </w:tr>
      <w:tr w:rsidRPr="00221383" w:rsidR="00C00215" w:rsidTr="00014FF3" w14:paraId="4923386F" w14:textId="77777777">
        <w:tc>
          <w:tcPr>
            <w:tcW w:w="14142" w:type="dxa"/>
            <w:gridSpan w:val="3"/>
          </w:tcPr>
          <w:p w:rsidRPr="00221383" w:rsidR="00C00215" w:rsidP="00014FF3" w:rsidRDefault="00C00215" w14:paraId="17058099" w14:textId="77777777">
            <w:pPr>
              <w:pStyle w:val="Voetnoottekst"/>
              <w:rPr>
                <w:rFonts w:asciiTheme="minorHAnsi" w:hAnsiTheme="minorHAnsi"/>
                <w:i/>
              </w:rPr>
            </w:pPr>
            <w:r w:rsidRPr="00221383">
              <w:rPr>
                <w:rFonts w:asciiTheme="minorHAnsi" w:hAnsiTheme="minorHAnsi"/>
                <w:i/>
              </w:rPr>
              <w:lastRenderedPageBreak/>
              <w:t>Niet-wetgevende bindende rechtshandelingen</w:t>
            </w:r>
          </w:p>
        </w:tc>
      </w:tr>
      <w:tr w:rsidRPr="00221383" w:rsidR="00C00215" w:rsidTr="00014FF3" w14:paraId="62FC1EB3" w14:textId="77777777">
        <w:tc>
          <w:tcPr>
            <w:tcW w:w="2093" w:type="dxa"/>
          </w:tcPr>
          <w:p w:rsidRPr="00221383" w:rsidR="00C00215" w:rsidP="00014FF3" w:rsidRDefault="00C00215" w14:paraId="6738E5C5"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C00215" w:rsidP="00014FF3" w:rsidRDefault="00C00215" w14:paraId="0CD3A28B"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C00215" w:rsidP="00014FF3" w:rsidRDefault="00C00215" w14:paraId="2E0F5828"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C00215" w:rsidP="00014FF3" w:rsidRDefault="00C00215" w14:paraId="1DB5D013" w14:textId="77777777">
            <w:pPr>
              <w:pStyle w:val="Voetnoottekst"/>
              <w:ind w:left="360"/>
              <w:rPr>
                <w:rFonts w:asciiTheme="minorHAnsi" w:hAnsiTheme="minorHAnsi"/>
              </w:rPr>
            </w:pPr>
          </w:p>
        </w:tc>
      </w:tr>
      <w:tr w:rsidRPr="00221383" w:rsidR="00C00215" w:rsidTr="00014FF3" w14:paraId="54E990E7" w14:textId="77777777">
        <w:tc>
          <w:tcPr>
            <w:tcW w:w="2093" w:type="dxa"/>
          </w:tcPr>
          <w:p w:rsidRPr="00221383" w:rsidR="00C00215" w:rsidP="00014FF3" w:rsidRDefault="00C00215" w14:paraId="7D32A2E6" w14:textId="77777777">
            <w:pPr>
              <w:pStyle w:val="Voetnoottekst"/>
              <w:rPr>
                <w:rFonts w:asciiTheme="minorHAnsi" w:hAnsiTheme="minorHAnsi"/>
              </w:rPr>
            </w:pPr>
            <w:r w:rsidRPr="00221383">
              <w:rPr>
                <w:rFonts w:asciiTheme="minorHAnsi" w:hAnsiTheme="minorHAnsi"/>
              </w:rPr>
              <w:t>Uitvoerings-handeling</w:t>
            </w:r>
          </w:p>
        </w:tc>
        <w:tc>
          <w:tcPr>
            <w:tcW w:w="6946" w:type="dxa"/>
          </w:tcPr>
          <w:p w:rsidRPr="00221383" w:rsidR="00C00215" w:rsidP="00014FF3" w:rsidRDefault="00C00215" w14:paraId="1AA044A6"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C00215" w:rsidP="00014FF3" w:rsidRDefault="00C00215" w14:paraId="117647C9"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C00215" w:rsidP="00014FF3" w:rsidRDefault="00C00215" w14:paraId="01AC9555"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24">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C00215" w:rsidTr="00014FF3" w14:paraId="294EF710" w14:textId="77777777">
        <w:tc>
          <w:tcPr>
            <w:tcW w:w="2093" w:type="dxa"/>
          </w:tcPr>
          <w:p w:rsidRPr="00221383" w:rsidR="00C00215" w:rsidP="00014FF3" w:rsidRDefault="00C00215" w14:paraId="1F68E283"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C00215" w:rsidP="00014FF3" w:rsidRDefault="00C00215" w14:paraId="15C677FC"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C00215" w:rsidP="00014FF3" w:rsidRDefault="00C00215" w14:paraId="79F5C174"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C00215" w:rsidP="00014FF3" w:rsidRDefault="00C00215" w14:paraId="640B8735" w14:textId="77777777">
            <w:pPr>
              <w:pStyle w:val="Voetnoottekst"/>
              <w:numPr>
                <w:ilvl w:val="0"/>
                <w:numId w:val="1"/>
              </w:numPr>
              <w:rPr>
                <w:rFonts w:asciiTheme="minorHAnsi" w:hAnsiTheme="minorHAnsi"/>
              </w:rPr>
            </w:pPr>
          </w:p>
        </w:tc>
      </w:tr>
      <w:tr w:rsidRPr="00221383" w:rsidR="00C00215" w:rsidTr="00014FF3" w14:paraId="6E2B66F1" w14:textId="77777777">
        <w:tc>
          <w:tcPr>
            <w:tcW w:w="2093" w:type="dxa"/>
          </w:tcPr>
          <w:p w:rsidRPr="00221383" w:rsidR="00C00215" w:rsidP="00014FF3" w:rsidRDefault="00C00215" w14:paraId="5568EF7C"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C00215" w:rsidP="00014FF3" w:rsidRDefault="00C00215" w14:paraId="35B85D9C" w14:textId="77777777">
            <w:pPr>
              <w:pStyle w:val="Voetnoottekst"/>
              <w:rPr>
                <w:rFonts w:asciiTheme="minorHAnsi" w:hAnsiTheme="minorHAnsi"/>
              </w:rPr>
            </w:pPr>
            <w:r w:rsidRPr="00221383">
              <w:rPr>
                <w:rFonts w:asciiTheme="minorHAnsi" w:hAnsiTheme="minorHAnsi"/>
              </w:rPr>
              <w:t xml:space="preserve">Er bestaan nog andere typen niet-wetgevende rechtshandelingen waarvan op voorhand niet te zeggen zijn of zij bindend zijn of niet. Bijvoorbeeld meerjarige </w:t>
            </w:r>
            <w:r w:rsidRPr="00221383">
              <w:rPr>
                <w:rFonts w:asciiTheme="minorHAnsi" w:hAnsiTheme="minorHAnsi"/>
              </w:rPr>
              <w:lastRenderedPageBreak/>
              <w:t>kaderprogramma’s of actieprogramma’s. Deze programma’s worden vastgesteld volgens dezelfde wetgevingsprocedures als richtlijnen en verordeningen. Het is zaak goed in de teksten te bezien wat de voorgestelde rechtskracht is.</w:t>
            </w:r>
          </w:p>
          <w:p w:rsidRPr="00221383" w:rsidR="00C00215" w:rsidP="00014FF3" w:rsidRDefault="00C00215" w14:paraId="7CEC0348" w14:textId="77777777">
            <w:pPr>
              <w:pStyle w:val="Voetnoottekst"/>
              <w:rPr>
                <w:rFonts w:asciiTheme="minorHAnsi" w:hAnsiTheme="minorHAnsi"/>
              </w:rPr>
            </w:pPr>
          </w:p>
        </w:tc>
        <w:tc>
          <w:tcPr>
            <w:tcW w:w="5103" w:type="dxa"/>
          </w:tcPr>
          <w:p w:rsidRPr="00221383" w:rsidR="00C00215" w:rsidP="00014FF3" w:rsidRDefault="00C00215" w14:paraId="0546EAA7" w14:textId="77777777">
            <w:pPr>
              <w:pStyle w:val="Voetnoottekst"/>
              <w:numPr>
                <w:ilvl w:val="0"/>
                <w:numId w:val="1"/>
              </w:numPr>
              <w:rPr>
                <w:rFonts w:asciiTheme="minorHAnsi" w:hAnsiTheme="minorHAnsi"/>
              </w:rPr>
            </w:pPr>
            <w:r w:rsidRPr="00221383">
              <w:rPr>
                <w:rFonts w:asciiTheme="minorHAnsi" w:hAnsiTheme="minorHAnsi"/>
              </w:rPr>
              <w:lastRenderedPageBreak/>
              <w:t>kabinetsappreciatie (‘BNC-fiche’) vragen, bespreken.</w:t>
            </w:r>
          </w:p>
          <w:p w:rsidRPr="00221383" w:rsidR="00C00215" w:rsidP="00014FF3" w:rsidRDefault="00C00215" w14:paraId="0CA4C823" w14:textId="77777777">
            <w:pPr>
              <w:pStyle w:val="Voetnoottekst"/>
              <w:numPr>
                <w:ilvl w:val="0"/>
                <w:numId w:val="1"/>
              </w:numPr>
              <w:rPr>
                <w:rFonts w:asciiTheme="minorHAnsi" w:hAnsiTheme="minorHAnsi"/>
              </w:rPr>
            </w:pPr>
            <w:r w:rsidRPr="00221383">
              <w:rPr>
                <w:rFonts w:asciiTheme="minorHAnsi" w:hAnsiTheme="minorHAnsi"/>
              </w:rPr>
              <w:t xml:space="preserve">ambtenaren of Commissaris van Europese Commissie </w:t>
            </w:r>
            <w:r w:rsidRPr="00221383">
              <w:rPr>
                <w:rFonts w:asciiTheme="minorHAnsi" w:hAnsiTheme="minorHAnsi"/>
              </w:rPr>
              <w:lastRenderedPageBreak/>
              <w:t>(de ‘auteurs’) uitnodigen voor briefing/gesprek, evt. via videoconferentie</w:t>
            </w:r>
          </w:p>
          <w:p w:rsidRPr="00221383" w:rsidR="00C00215" w:rsidP="00014FF3" w:rsidRDefault="00C00215" w14:paraId="289E946C"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C00215" w:rsidP="00014FF3" w:rsidRDefault="00C00215" w14:paraId="66B0C56E"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C00215" w:rsidP="00014FF3" w:rsidRDefault="00C00215" w14:paraId="2692F0C4"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C00215" w:rsidTr="00014FF3" w14:paraId="68F89092" w14:textId="77777777">
        <w:tc>
          <w:tcPr>
            <w:tcW w:w="14142" w:type="dxa"/>
            <w:gridSpan w:val="3"/>
          </w:tcPr>
          <w:p w:rsidRPr="00221383" w:rsidR="00C00215" w:rsidP="00014FF3" w:rsidRDefault="00C00215" w14:paraId="1219204B" w14:textId="77777777">
            <w:pPr>
              <w:pStyle w:val="Voetnoottekst"/>
              <w:rPr>
                <w:rFonts w:asciiTheme="minorHAnsi" w:hAnsiTheme="minorHAnsi"/>
                <w:i/>
              </w:rPr>
            </w:pPr>
            <w:r w:rsidRPr="00221383">
              <w:rPr>
                <w:rFonts w:asciiTheme="minorHAnsi" w:hAnsiTheme="minorHAnsi"/>
                <w:i/>
              </w:rPr>
              <w:lastRenderedPageBreak/>
              <w:t>Niet-bindende handelingen (soft-law)</w:t>
            </w:r>
          </w:p>
        </w:tc>
      </w:tr>
      <w:tr w:rsidRPr="00221383" w:rsidR="00C00215" w:rsidTr="00014FF3" w14:paraId="599D8EA9" w14:textId="77777777">
        <w:tc>
          <w:tcPr>
            <w:tcW w:w="2093" w:type="dxa"/>
          </w:tcPr>
          <w:p w:rsidRPr="00221383" w:rsidR="00C00215" w:rsidP="00014FF3" w:rsidRDefault="00C00215" w14:paraId="22CF1B24" w14:textId="77777777">
            <w:pPr>
              <w:pStyle w:val="Voetnoottekst"/>
              <w:rPr>
                <w:rFonts w:asciiTheme="minorHAnsi" w:hAnsiTheme="minorHAnsi"/>
              </w:rPr>
            </w:pPr>
            <w:r w:rsidRPr="00221383">
              <w:rPr>
                <w:rFonts w:asciiTheme="minorHAnsi" w:hAnsiTheme="minorHAnsi"/>
              </w:rPr>
              <w:t>Advies, aanbeveling, mededeling</w:t>
            </w:r>
          </w:p>
          <w:p w:rsidRPr="00221383" w:rsidR="00C00215" w:rsidP="00014FF3" w:rsidRDefault="00C00215" w14:paraId="7E50EF58" w14:textId="77777777">
            <w:pPr>
              <w:jc w:val="right"/>
              <w:rPr>
                <w:rFonts w:asciiTheme="minorHAnsi" w:hAnsiTheme="minorHAnsi"/>
                <w:sz w:val="20"/>
                <w:szCs w:val="20"/>
              </w:rPr>
            </w:pPr>
          </w:p>
          <w:p w:rsidRPr="00221383" w:rsidR="00C00215" w:rsidP="00014FF3" w:rsidRDefault="00C00215" w14:paraId="01FAF6D0" w14:textId="77777777">
            <w:pPr>
              <w:jc w:val="right"/>
              <w:rPr>
                <w:rFonts w:asciiTheme="minorHAnsi" w:hAnsiTheme="minorHAnsi"/>
                <w:sz w:val="20"/>
                <w:szCs w:val="20"/>
              </w:rPr>
            </w:pPr>
          </w:p>
          <w:p w:rsidRPr="00221383" w:rsidR="00C00215" w:rsidP="00014FF3" w:rsidRDefault="00C00215" w14:paraId="13DB35FF" w14:textId="77777777">
            <w:pPr>
              <w:jc w:val="right"/>
              <w:rPr>
                <w:rFonts w:asciiTheme="minorHAnsi" w:hAnsiTheme="minorHAnsi"/>
                <w:sz w:val="20"/>
                <w:szCs w:val="20"/>
              </w:rPr>
            </w:pPr>
          </w:p>
          <w:p w:rsidRPr="00221383" w:rsidR="00C00215" w:rsidP="00014FF3" w:rsidRDefault="00C00215" w14:paraId="5BB34676" w14:textId="77777777">
            <w:pPr>
              <w:jc w:val="right"/>
              <w:rPr>
                <w:rFonts w:asciiTheme="minorHAnsi" w:hAnsiTheme="minorHAnsi"/>
                <w:sz w:val="20"/>
                <w:szCs w:val="20"/>
              </w:rPr>
            </w:pPr>
          </w:p>
          <w:p w:rsidRPr="00221383" w:rsidR="00C00215" w:rsidP="00014FF3" w:rsidRDefault="00C00215" w14:paraId="07A31103" w14:textId="77777777">
            <w:pPr>
              <w:jc w:val="right"/>
              <w:rPr>
                <w:rFonts w:asciiTheme="minorHAnsi" w:hAnsiTheme="minorHAnsi"/>
                <w:sz w:val="20"/>
                <w:szCs w:val="20"/>
              </w:rPr>
            </w:pPr>
          </w:p>
        </w:tc>
        <w:tc>
          <w:tcPr>
            <w:tcW w:w="6946" w:type="dxa"/>
          </w:tcPr>
          <w:p w:rsidRPr="00221383" w:rsidR="00C00215" w:rsidP="00014FF3" w:rsidRDefault="00C00215" w14:paraId="15D04209"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 </w:t>
            </w:r>
          </w:p>
        </w:tc>
        <w:tc>
          <w:tcPr>
            <w:tcW w:w="5103" w:type="dxa"/>
          </w:tcPr>
          <w:p w:rsidRPr="00221383" w:rsidR="00C00215" w:rsidP="00014FF3" w:rsidRDefault="00C00215" w14:paraId="7182119B"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25EA6C4F" w14:textId="77777777">
            <w:pPr>
              <w:pStyle w:val="Voetnoottekst"/>
              <w:rPr>
                <w:rFonts w:asciiTheme="minorHAnsi" w:hAnsiTheme="minorHAnsi"/>
              </w:rPr>
            </w:pPr>
          </w:p>
          <w:p w:rsidRPr="00221383" w:rsidR="00C00215" w:rsidP="00014FF3" w:rsidRDefault="00C00215" w14:paraId="2D49D610" w14:textId="77777777">
            <w:pPr>
              <w:pStyle w:val="Voetnoottekst"/>
              <w:rPr>
                <w:rFonts w:asciiTheme="minorHAnsi" w:hAnsiTheme="minorHAnsi"/>
              </w:rPr>
            </w:pPr>
          </w:p>
          <w:p w:rsidRPr="00221383" w:rsidR="00C00215" w:rsidP="00014FF3" w:rsidRDefault="00C00215" w14:paraId="04A5E29B" w14:textId="77777777">
            <w:pPr>
              <w:pStyle w:val="Voetnoottekst"/>
              <w:rPr>
                <w:rFonts w:asciiTheme="minorHAnsi" w:hAnsiTheme="minorHAnsi"/>
              </w:rPr>
            </w:pPr>
          </w:p>
          <w:p w:rsidRPr="00221383" w:rsidR="00C00215" w:rsidP="00014FF3" w:rsidRDefault="00C00215" w14:paraId="6AF31006" w14:textId="77777777">
            <w:pPr>
              <w:pStyle w:val="Voetnoottekst"/>
              <w:rPr>
                <w:rFonts w:asciiTheme="minorHAnsi" w:hAnsiTheme="minorHAnsi"/>
              </w:rPr>
            </w:pPr>
          </w:p>
          <w:p w:rsidRPr="00221383" w:rsidR="00C00215" w:rsidP="00014FF3" w:rsidRDefault="00C00215" w14:paraId="09BAAD78" w14:textId="77777777">
            <w:pPr>
              <w:pStyle w:val="Voetnoottekst"/>
              <w:rPr>
                <w:rFonts w:asciiTheme="minorHAnsi" w:hAnsiTheme="minorHAnsi"/>
              </w:rPr>
            </w:pPr>
          </w:p>
        </w:tc>
      </w:tr>
      <w:tr w:rsidRPr="00221383" w:rsidR="00C00215" w:rsidTr="00014FF3" w14:paraId="479C1363" w14:textId="77777777">
        <w:tc>
          <w:tcPr>
            <w:tcW w:w="14142" w:type="dxa"/>
            <w:gridSpan w:val="3"/>
          </w:tcPr>
          <w:p w:rsidRPr="00221383" w:rsidR="00C00215" w:rsidP="00014FF3" w:rsidRDefault="00C00215" w14:paraId="0C76E0D5" w14:textId="77777777">
            <w:pPr>
              <w:pStyle w:val="Voetnoottekst"/>
              <w:rPr>
                <w:rFonts w:asciiTheme="minorHAnsi" w:hAnsiTheme="minorHAnsi"/>
                <w:i/>
              </w:rPr>
            </w:pPr>
            <w:r w:rsidRPr="00221383">
              <w:rPr>
                <w:rFonts w:asciiTheme="minorHAnsi" w:hAnsiTheme="minorHAnsi"/>
                <w:i/>
              </w:rPr>
              <w:t xml:space="preserve">Overige handelingen en instrumenten </w:t>
            </w:r>
          </w:p>
        </w:tc>
      </w:tr>
      <w:tr w:rsidRPr="00221383" w:rsidR="00C00215" w:rsidTr="00014FF3" w14:paraId="093D5632" w14:textId="77777777">
        <w:tc>
          <w:tcPr>
            <w:tcW w:w="2093" w:type="dxa"/>
          </w:tcPr>
          <w:p w:rsidRPr="00221383" w:rsidR="00C00215" w:rsidP="00014FF3" w:rsidRDefault="00C00215" w14:paraId="49A085CB"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C00215" w:rsidP="00014FF3" w:rsidRDefault="00C00215" w14:paraId="2E39ABDE"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C00215" w:rsidP="00014FF3" w:rsidRDefault="00C00215" w14:paraId="7583256F"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C00215" w:rsidP="00014FF3" w:rsidRDefault="00C00215" w14:paraId="433FFF99"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C00215" w:rsidTr="00014FF3" w14:paraId="34642CF1" w14:textId="77777777">
        <w:tc>
          <w:tcPr>
            <w:tcW w:w="2093" w:type="dxa"/>
          </w:tcPr>
          <w:p w:rsidRPr="00221383" w:rsidR="00C00215" w:rsidP="00014FF3" w:rsidRDefault="00C00215" w14:paraId="112065D4"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C00215" w:rsidP="00014FF3" w:rsidRDefault="00C00215" w14:paraId="22EF2932"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C00215" w:rsidP="00014FF3" w:rsidRDefault="00C00215" w14:paraId="4C0C18F6" w14:textId="77777777">
            <w:pPr>
              <w:pStyle w:val="Voetnoottekst"/>
              <w:rPr>
                <w:rFonts w:asciiTheme="minorHAnsi" w:hAnsiTheme="minorHAnsi"/>
              </w:rPr>
            </w:pPr>
          </w:p>
          <w:p w:rsidRPr="00221383" w:rsidR="00C00215" w:rsidP="00014FF3" w:rsidRDefault="00C00215" w14:paraId="07267F3F"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C00215" w:rsidP="00014FF3" w:rsidRDefault="00C00215" w14:paraId="6AEC3A3F"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w:t>
            </w:r>
            <w:r w:rsidRPr="00221383">
              <w:rPr>
                <w:rFonts w:asciiTheme="minorHAnsi" w:hAnsiTheme="minorHAnsi"/>
              </w:rPr>
              <w:lastRenderedPageBreak/>
              <w:t xml:space="preserve">reageren. </w:t>
            </w:r>
          </w:p>
        </w:tc>
        <w:tc>
          <w:tcPr>
            <w:tcW w:w="5103" w:type="dxa"/>
          </w:tcPr>
          <w:p w:rsidRPr="00221383" w:rsidR="00C00215" w:rsidP="00014FF3" w:rsidRDefault="00C00215" w14:paraId="03838318" w14:textId="77777777">
            <w:pPr>
              <w:pStyle w:val="Voetnoottekst"/>
              <w:numPr>
                <w:ilvl w:val="0"/>
                <w:numId w:val="1"/>
              </w:numPr>
              <w:rPr>
                <w:rFonts w:asciiTheme="minorHAnsi" w:hAnsiTheme="minorHAnsi"/>
              </w:rPr>
            </w:pPr>
            <w:r w:rsidRPr="00221383">
              <w:rPr>
                <w:rFonts w:asciiTheme="minorHAnsi" w:hAnsiTheme="minorHAnsi"/>
              </w:rPr>
              <w:lastRenderedPageBreak/>
              <w:t>desgewenst ambtenaren EC of Europees Commissaris uitnodigen voor een toelichting.</w:t>
            </w:r>
          </w:p>
          <w:p w:rsidRPr="00221383" w:rsidR="00C00215" w:rsidP="00014FF3" w:rsidRDefault="00C00215" w14:paraId="6748DB1A"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C00215" w:rsidP="00014FF3" w:rsidRDefault="00C00215" w14:paraId="710A54CD" w14:textId="77777777">
            <w:pPr>
              <w:pStyle w:val="Voetnoottekst"/>
              <w:numPr>
                <w:ilvl w:val="0"/>
                <w:numId w:val="1"/>
              </w:numPr>
              <w:rPr>
                <w:rFonts w:asciiTheme="minorHAnsi" w:hAnsiTheme="minorHAnsi"/>
              </w:rPr>
            </w:pPr>
            <w:r w:rsidRPr="00221383">
              <w:rPr>
                <w:rFonts w:asciiTheme="minorHAnsi" w:hAnsiTheme="minorHAnsi"/>
              </w:rPr>
              <w:t xml:space="preserve">kabinet stuurt de Kamer het concept van haar reactie op Groen- en Witboeken tenminste dertig dagen voor het verstrijken van de reactietermijn bij de Europese Commissie. Ook de definitieve reactie wordt in afschrift </w:t>
            </w:r>
            <w:r w:rsidRPr="00221383">
              <w:rPr>
                <w:rFonts w:asciiTheme="minorHAnsi" w:hAnsiTheme="minorHAnsi"/>
              </w:rPr>
              <w:lastRenderedPageBreak/>
              <w:t>aan de Kamer gezonden. Deze reactie kan in behandeling worden genomen, bv. door te agenderen voor een algemeen overleg/debat.</w:t>
            </w:r>
          </w:p>
        </w:tc>
      </w:tr>
      <w:tr w:rsidRPr="00221383" w:rsidR="00C00215" w:rsidTr="00014FF3" w14:paraId="2C9C240C" w14:textId="77777777">
        <w:tc>
          <w:tcPr>
            <w:tcW w:w="2093" w:type="dxa"/>
          </w:tcPr>
          <w:p w:rsidRPr="00221383" w:rsidR="00C00215" w:rsidP="00014FF3" w:rsidRDefault="00C00215" w14:paraId="021CE5C2" w14:textId="77777777">
            <w:pPr>
              <w:pStyle w:val="Voetnoottekst"/>
              <w:rPr>
                <w:rFonts w:asciiTheme="minorHAnsi" w:hAnsiTheme="minorHAnsi"/>
              </w:rPr>
            </w:pPr>
            <w:r w:rsidRPr="00221383">
              <w:rPr>
                <w:rFonts w:asciiTheme="minorHAnsi" w:hAnsiTheme="minorHAnsi"/>
              </w:rPr>
              <w:lastRenderedPageBreak/>
              <w:t>Openbare raadpleging (consultatie)</w:t>
            </w:r>
          </w:p>
        </w:tc>
        <w:tc>
          <w:tcPr>
            <w:tcW w:w="6946" w:type="dxa"/>
          </w:tcPr>
          <w:p w:rsidRPr="00221383" w:rsidR="00C00215" w:rsidP="00014FF3" w:rsidRDefault="00C00215" w14:paraId="29A6EC8A"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25">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C00215" w:rsidP="00014FF3" w:rsidRDefault="00C00215" w14:paraId="03CD324C"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C00215" w:rsidP="00014FF3" w:rsidRDefault="00C00215" w14:paraId="720F2EA6"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C00215" w:rsidP="00014FF3" w:rsidRDefault="00C00215" w14:paraId="4B7D9A7A"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C00215" w:rsidTr="00014FF3" w14:paraId="412956E3" w14:textId="77777777">
        <w:tc>
          <w:tcPr>
            <w:tcW w:w="14142" w:type="dxa"/>
            <w:gridSpan w:val="3"/>
          </w:tcPr>
          <w:p w:rsidRPr="00221383" w:rsidR="00C00215" w:rsidP="00014FF3" w:rsidRDefault="00C00215" w14:paraId="7D1F9F25"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C00215" w:rsidTr="00014FF3" w14:paraId="6CEC7982" w14:textId="77777777">
        <w:tc>
          <w:tcPr>
            <w:tcW w:w="2093" w:type="dxa"/>
          </w:tcPr>
          <w:p w:rsidRPr="00221383" w:rsidR="00C00215" w:rsidP="00014FF3" w:rsidRDefault="00C00215" w14:paraId="69F71376" w14:textId="77777777">
            <w:pPr>
              <w:pStyle w:val="Voetnoottekst"/>
              <w:rPr>
                <w:rFonts w:asciiTheme="minorHAnsi" w:hAnsiTheme="minorHAnsi"/>
              </w:rPr>
            </w:pPr>
            <w:r w:rsidRPr="00221383">
              <w:rPr>
                <w:rFonts w:asciiTheme="minorHAnsi" w:hAnsiTheme="minorHAnsi"/>
              </w:rPr>
              <w:t xml:space="preserve">Subsidiariteitstoets </w:t>
            </w:r>
          </w:p>
          <w:p w:rsidRPr="00221383" w:rsidR="00C00215" w:rsidP="00014FF3" w:rsidRDefault="00C00215" w14:paraId="46B27D45"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C00215" w:rsidP="00014FF3" w:rsidRDefault="00C00215" w14:paraId="487C8D04"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C00215" w:rsidP="00014FF3" w:rsidRDefault="00C00215" w14:paraId="6D3AC132"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C00215" w:rsidP="00014FF3" w:rsidRDefault="00C00215" w14:paraId="021286D7"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C00215" w:rsidP="00014FF3" w:rsidRDefault="00C00215" w14:paraId="1BCB9A55"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C00215" w:rsidTr="00014FF3" w14:paraId="2FFC7C87" w14:textId="77777777">
        <w:tc>
          <w:tcPr>
            <w:tcW w:w="2093" w:type="dxa"/>
          </w:tcPr>
          <w:p w:rsidRPr="00221383" w:rsidR="00C00215" w:rsidP="00014FF3" w:rsidRDefault="00C00215" w14:paraId="46FE5DC6"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C00215" w:rsidP="00014FF3" w:rsidRDefault="00C00215" w14:paraId="27603DD6"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w:t>
            </w:r>
            <w:r w:rsidRPr="00221383">
              <w:rPr>
                <w:rFonts w:asciiTheme="minorHAnsi" w:hAnsiTheme="minorHAnsi"/>
                <w:sz w:val="20"/>
                <w:szCs w:val="20"/>
              </w:rPr>
              <w:lastRenderedPageBreak/>
              <w:t xml:space="preserve">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C00215" w:rsidP="00014FF3" w:rsidRDefault="00C00215" w14:paraId="32310A78" w14:textId="77777777">
            <w:pPr>
              <w:pStyle w:val="Voetnoottekst"/>
              <w:numPr>
                <w:ilvl w:val="0"/>
                <w:numId w:val="1"/>
              </w:numPr>
              <w:rPr>
                <w:rFonts w:asciiTheme="minorHAnsi" w:hAnsiTheme="minorHAnsi"/>
              </w:rPr>
            </w:pPr>
            <w:r w:rsidRPr="00221383">
              <w:rPr>
                <w:rFonts w:asciiTheme="minorHAnsi" w:hAnsiTheme="minorHAnsi"/>
              </w:rPr>
              <w:lastRenderedPageBreak/>
              <w:t>bij wetgevende EU-voorstellen kan een commissie besluiten tot het uitvoeren van een zgn. ‘behandelvoorbehoud’. Over deze brief moet plenair gestemd worden (let op de termijnen).</w:t>
            </w:r>
          </w:p>
          <w:p w:rsidRPr="00221383" w:rsidR="00C00215" w:rsidP="00014FF3" w:rsidRDefault="00C00215" w14:paraId="1E6B5B43"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C00215" w:rsidP="00014FF3" w:rsidRDefault="00C00215" w14:paraId="1798DFA0" w14:textId="77777777">
            <w:pPr>
              <w:pStyle w:val="Voetnoottekst"/>
              <w:numPr>
                <w:ilvl w:val="0"/>
                <w:numId w:val="1"/>
              </w:numPr>
              <w:rPr>
                <w:rFonts w:asciiTheme="minorHAnsi" w:hAnsiTheme="minorHAnsi"/>
              </w:rPr>
            </w:pPr>
            <w:r w:rsidRPr="00221383">
              <w:rPr>
                <w:rFonts w:asciiTheme="minorHAnsi" w:hAnsiTheme="minorHAnsi"/>
              </w:rPr>
              <w:lastRenderedPageBreak/>
              <w:t>kabinetsappreciatie (‘BNC-fiche’) komt voor aangekondigde behandelvoorbehouden binnen drie weken t.b.v. een snelle behandeling.</w:t>
            </w:r>
          </w:p>
          <w:p w:rsidRPr="00221383" w:rsidR="00C00215" w:rsidP="00014FF3" w:rsidRDefault="00C00215" w14:paraId="5EC7BF23" w14:textId="77777777">
            <w:pPr>
              <w:pStyle w:val="Voetnoottekst"/>
              <w:rPr>
                <w:rFonts w:asciiTheme="minorHAnsi" w:hAnsiTheme="minorHAnsi"/>
              </w:rPr>
            </w:pPr>
          </w:p>
        </w:tc>
      </w:tr>
    </w:tbl>
    <w:p w:rsidRPr="00221383" w:rsidR="00C00215" w:rsidP="00C00215" w:rsidRDefault="00C00215" w14:paraId="04422695" w14:textId="77777777">
      <w:pPr>
        <w:rPr>
          <w:rFonts w:asciiTheme="minorHAnsi" w:hAnsiTheme="minorHAnsi"/>
          <w:sz w:val="20"/>
          <w:szCs w:val="20"/>
        </w:rPr>
      </w:pPr>
    </w:p>
    <w:p w:rsidRPr="00221383" w:rsidR="00C00215" w:rsidP="00C00215" w:rsidRDefault="00C00215" w14:paraId="78CEC5F1" w14:textId="77777777">
      <w:pPr>
        <w:rPr>
          <w:rFonts w:asciiTheme="minorHAnsi" w:hAnsiTheme="minorHAnsi"/>
        </w:rPr>
      </w:pPr>
    </w:p>
    <w:p w:rsidR="00BF2EB9" w:rsidRDefault="00BF2EB9" w14:paraId="2F8CA803" w14:textId="77777777"/>
    <w:sectPr w:rsidR="00BF2EB9"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5168A" w14:textId="77777777" w:rsidR="00C00215" w:rsidRDefault="00C00215" w:rsidP="00C00215">
      <w:r>
        <w:separator/>
      </w:r>
    </w:p>
  </w:endnote>
  <w:endnote w:type="continuationSeparator" w:id="0">
    <w:p w14:paraId="547EAD29" w14:textId="77777777" w:rsidR="00C00215" w:rsidRDefault="00C00215" w:rsidP="00C0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CDD6C" w14:textId="77777777" w:rsidR="00C00215" w:rsidRDefault="00C00215" w:rsidP="00C00215">
      <w:r>
        <w:separator/>
      </w:r>
    </w:p>
  </w:footnote>
  <w:footnote w:type="continuationSeparator" w:id="0">
    <w:p w14:paraId="3F0766FB" w14:textId="77777777" w:rsidR="00C00215" w:rsidRDefault="00C00215" w:rsidP="00C00215">
      <w:r>
        <w:continuationSeparator/>
      </w:r>
    </w:p>
  </w:footnote>
  <w:footnote w:id="1">
    <w:p w14:paraId="1A06707F" w14:textId="77777777" w:rsidR="00C00215" w:rsidRDefault="00C00215" w:rsidP="00C00215">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14:paraId="04166C4A" w14:textId="77777777" w:rsidR="00C00215" w:rsidRPr="00B45904" w:rsidRDefault="00C00215" w:rsidP="00C00215">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5110C91"/>
    <w:multiLevelType w:val="hybridMultilevel"/>
    <w:tmpl w:val="355A0E98"/>
    <w:lvl w:ilvl="0" w:tplc="96D61496">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50E2694"/>
    <w:multiLevelType w:val="hybridMultilevel"/>
    <w:tmpl w:val="2BEED734"/>
    <w:lvl w:ilvl="0" w:tplc="0F9E5BB2">
      <w:numFmt w:val="bullet"/>
      <w:lvlText w:val="-"/>
      <w:lvlJc w:val="left"/>
      <w:pPr>
        <w:ind w:left="720" w:hanging="360"/>
      </w:pPr>
      <w:rPr>
        <w:rFonts w:ascii="Calibri" w:eastAsia="Arial Unicode MS"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15"/>
    <w:rsid w:val="00073356"/>
    <w:rsid w:val="0007694D"/>
    <w:rsid w:val="001544A3"/>
    <w:rsid w:val="00205733"/>
    <w:rsid w:val="00212212"/>
    <w:rsid w:val="00261F1F"/>
    <w:rsid w:val="00270493"/>
    <w:rsid w:val="0028110B"/>
    <w:rsid w:val="002A64DD"/>
    <w:rsid w:val="003069A8"/>
    <w:rsid w:val="00327119"/>
    <w:rsid w:val="00332FB9"/>
    <w:rsid w:val="003E288E"/>
    <w:rsid w:val="00433D6E"/>
    <w:rsid w:val="004912BA"/>
    <w:rsid w:val="004C634B"/>
    <w:rsid w:val="004E0578"/>
    <w:rsid w:val="004E1C04"/>
    <w:rsid w:val="0052026E"/>
    <w:rsid w:val="00520708"/>
    <w:rsid w:val="00532C45"/>
    <w:rsid w:val="00541C26"/>
    <w:rsid w:val="0055500A"/>
    <w:rsid w:val="005839B2"/>
    <w:rsid w:val="005D40F4"/>
    <w:rsid w:val="005F79FF"/>
    <w:rsid w:val="006027C0"/>
    <w:rsid w:val="0060486B"/>
    <w:rsid w:val="00614A1B"/>
    <w:rsid w:val="0062122F"/>
    <w:rsid w:val="0067217C"/>
    <w:rsid w:val="006845D9"/>
    <w:rsid w:val="00720660"/>
    <w:rsid w:val="00725A57"/>
    <w:rsid w:val="00762B96"/>
    <w:rsid w:val="00777FE1"/>
    <w:rsid w:val="00813C57"/>
    <w:rsid w:val="00854E8E"/>
    <w:rsid w:val="008C200E"/>
    <w:rsid w:val="008C351C"/>
    <w:rsid w:val="008E6FE1"/>
    <w:rsid w:val="009075F6"/>
    <w:rsid w:val="00973C15"/>
    <w:rsid w:val="009C5EAC"/>
    <w:rsid w:val="009D7826"/>
    <w:rsid w:val="00A9670D"/>
    <w:rsid w:val="00AE450F"/>
    <w:rsid w:val="00B63E4A"/>
    <w:rsid w:val="00BA5103"/>
    <w:rsid w:val="00BF2EB9"/>
    <w:rsid w:val="00BF7AF9"/>
    <w:rsid w:val="00C00215"/>
    <w:rsid w:val="00C151D3"/>
    <w:rsid w:val="00C41D5B"/>
    <w:rsid w:val="00C531B5"/>
    <w:rsid w:val="00D812CC"/>
    <w:rsid w:val="00E346AE"/>
    <w:rsid w:val="00E52B0D"/>
    <w:rsid w:val="00E73721"/>
    <w:rsid w:val="00E778FE"/>
    <w:rsid w:val="00E961A1"/>
    <w:rsid w:val="00E961F8"/>
    <w:rsid w:val="00F06B40"/>
    <w:rsid w:val="00F944C3"/>
    <w:rsid w:val="00FA2BF2"/>
    <w:rsid w:val="00FA6E08"/>
    <w:rsid w:val="00FD058B"/>
    <w:rsid w:val="00FF3F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39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0215"/>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00215"/>
    <w:rPr>
      <w:color w:val="0000FF"/>
      <w:u w:val="single"/>
    </w:rPr>
  </w:style>
  <w:style w:type="character" w:styleId="Zwaar">
    <w:name w:val="Strong"/>
    <w:basedOn w:val="Standaardalinea-lettertype"/>
    <w:uiPriority w:val="22"/>
    <w:qFormat/>
    <w:rsid w:val="00C00215"/>
    <w:rPr>
      <w:b/>
      <w:bCs/>
    </w:rPr>
  </w:style>
  <w:style w:type="paragraph" w:styleId="Voetnoottekst">
    <w:name w:val="footnote text"/>
    <w:basedOn w:val="Standaard"/>
    <w:link w:val="VoetnoottekstChar"/>
    <w:rsid w:val="00C00215"/>
    <w:rPr>
      <w:sz w:val="20"/>
      <w:szCs w:val="20"/>
    </w:rPr>
  </w:style>
  <w:style w:type="character" w:customStyle="1" w:styleId="VoetnoottekstChar">
    <w:name w:val="Voetnoottekst Char"/>
    <w:basedOn w:val="Standaardalinea-lettertype"/>
    <w:link w:val="Voetnoottekst"/>
    <w:rsid w:val="00C00215"/>
  </w:style>
  <w:style w:type="table" w:styleId="Tabelraster">
    <w:name w:val="Table Grid"/>
    <w:basedOn w:val="Standaardtabel"/>
    <w:rsid w:val="00C00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00215"/>
    <w:pPr>
      <w:ind w:left="720"/>
    </w:pPr>
    <w:rPr>
      <w:rFonts w:eastAsiaTheme="minorHAnsi"/>
    </w:rPr>
  </w:style>
  <w:style w:type="character" w:styleId="Voetnootmarkering">
    <w:name w:val="footnote reference"/>
    <w:basedOn w:val="Standaardalinea-lettertype"/>
    <w:uiPriority w:val="99"/>
    <w:rsid w:val="00C00215"/>
    <w:rPr>
      <w:vertAlign w:val="superscript"/>
    </w:rPr>
  </w:style>
  <w:style w:type="character" w:styleId="GevolgdeHyperlink">
    <w:name w:val="FollowedHyperlink"/>
    <w:basedOn w:val="Standaardalinea-lettertype"/>
    <w:rsid w:val="004E1C04"/>
    <w:rPr>
      <w:color w:val="800080" w:themeColor="followedHyperlink"/>
      <w:u w:val="single"/>
    </w:rPr>
  </w:style>
  <w:style w:type="character" w:styleId="Verwijzingopmerking">
    <w:name w:val="annotation reference"/>
    <w:basedOn w:val="Standaardalinea-lettertype"/>
    <w:rsid w:val="004E1C04"/>
    <w:rPr>
      <w:sz w:val="16"/>
      <w:szCs w:val="16"/>
    </w:rPr>
  </w:style>
  <w:style w:type="paragraph" w:styleId="Tekstopmerking">
    <w:name w:val="annotation text"/>
    <w:basedOn w:val="Standaard"/>
    <w:link w:val="TekstopmerkingChar"/>
    <w:rsid w:val="004E1C04"/>
    <w:rPr>
      <w:sz w:val="20"/>
      <w:szCs w:val="20"/>
    </w:rPr>
  </w:style>
  <w:style w:type="character" w:customStyle="1" w:styleId="TekstopmerkingChar">
    <w:name w:val="Tekst opmerking Char"/>
    <w:basedOn w:val="Standaardalinea-lettertype"/>
    <w:link w:val="Tekstopmerking"/>
    <w:rsid w:val="004E1C04"/>
  </w:style>
  <w:style w:type="paragraph" w:styleId="Onderwerpvanopmerking">
    <w:name w:val="annotation subject"/>
    <w:basedOn w:val="Tekstopmerking"/>
    <w:next w:val="Tekstopmerking"/>
    <w:link w:val="OnderwerpvanopmerkingChar"/>
    <w:rsid w:val="004E1C04"/>
    <w:rPr>
      <w:b/>
      <w:bCs/>
    </w:rPr>
  </w:style>
  <w:style w:type="character" w:customStyle="1" w:styleId="OnderwerpvanopmerkingChar">
    <w:name w:val="Onderwerp van opmerking Char"/>
    <w:basedOn w:val="TekstopmerkingChar"/>
    <w:link w:val="Onderwerpvanopmerking"/>
    <w:rsid w:val="004E1C04"/>
    <w:rPr>
      <w:b/>
      <w:bCs/>
    </w:rPr>
  </w:style>
  <w:style w:type="paragraph" w:styleId="Ballontekst">
    <w:name w:val="Balloon Text"/>
    <w:basedOn w:val="Standaard"/>
    <w:link w:val="BallontekstChar"/>
    <w:rsid w:val="004E1C04"/>
    <w:rPr>
      <w:rFonts w:ascii="Tahoma" w:hAnsi="Tahoma" w:cs="Tahoma"/>
      <w:sz w:val="16"/>
      <w:szCs w:val="16"/>
    </w:rPr>
  </w:style>
  <w:style w:type="character" w:customStyle="1" w:styleId="BallontekstChar">
    <w:name w:val="Ballontekst Char"/>
    <w:basedOn w:val="Standaardalinea-lettertype"/>
    <w:link w:val="Ballontekst"/>
    <w:rsid w:val="004E1C04"/>
    <w:rPr>
      <w:rFonts w:ascii="Tahoma" w:hAnsi="Tahoma" w:cs="Tahoma"/>
      <w:sz w:val="16"/>
      <w:szCs w:val="16"/>
    </w:rPr>
  </w:style>
  <w:style w:type="character" w:customStyle="1" w:styleId="tlid-translation">
    <w:name w:val="tlid-translation"/>
    <w:basedOn w:val="Standaardalinea-lettertype"/>
    <w:rsid w:val="004E1C04"/>
  </w:style>
  <w:style w:type="paragraph" w:customStyle="1" w:styleId="Default">
    <w:name w:val="Default"/>
    <w:rsid w:val="00FA6E0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026464">
      <w:bodyDiv w:val="1"/>
      <w:marLeft w:val="0"/>
      <w:marRight w:val="0"/>
      <w:marTop w:val="0"/>
      <w:marBottom w:val="0"/>
      <w:divBdr>
        <w:top w:val="none" w:sz="0" w:space="0" w:color="auto"/>
        <w:left w:val="none" w:sz="0" w:space="0" w:color="auto"/>
        <w:bottom w:val="none" w:sz="0" w:space="0" w:color="auto"/>
        <w:right w:val="none" w:sz="0" w:space="0" w:color="auto"/>
      </w:divBdr>
      <w:divsChild>
        <w:div w:id="345786090">
          <w:marLeft w:val="0"/>
          <w:marRight w:val="0"/>
          <w:marTop w:val="0"/>
          <w:marBottom w:val="0"/>
          <w:divBdr>
            <w:top w:val="none" w:sz="0" w:space="0" w:color="auto"/>
            <w:left w:val="none" w:sz="0" w:space="0" w:color="auto"/>
            <w:bottom w:val="none" w:sz="0" w:space="0" w:color="auto"/>
            <w:right w:val="none" w:sz="0" w:space="0" w:color="auto"/>
          </w:divBdr>
          <w:divsChild>
            <w:div w:id="1339112292">
              <w:marLeft w:val="0"/>
              <w:marRight w:val="0"/>
              <w:marTop w:val="0"/>
              <w:marBottom w:val="0"/>
              <w:divBdr>
                <w:top w:val="none" w:sz="0" w:space="0" w:color="auto"/>
                <w:left w:val="none" w:sz="0" w:space="0" w:color="auto"/>
                <w:bottom w:val="none" w:sz="0" w:space="0" w:color="auto"/>
                <w:right w:val="none" w:sz="0" w:space="0" w:color="auto"/>
              </w:divBdr>
              <w:divsChild>
                <w:div w:id="1515262175">
                  <w:marLeft w:val="0"/>
                  <w:marRight w:val="0"/>
                  <w:marTop w:val="0"/>
                  <w:marBottom w:val="0"/>
                  <w:divBdr>
                    <w:top w:val="none" w:sz="0" w:space="0" w:color="auto"/>
                    <w:left w:val="none" w:sz="0" w:space="0" w:color="auto"/>
                    <w:bottom w:val="none" w:sz="0" w:space="0" w:color="auto"/>
                    <w:right w:val="none" w:sz="0" w:space="0" w:color="auto"/>
                  </w:divBdr>
                  <w:divsChild>
                    <w:div w:id="1501853326">
                      <w:marLeft w:val="0"/>
                      <w:marRight w:val="0"/>
                      <w:marTop w:val="0"/>
                      <w:marBottom w:val="0"/>
                      <w:divBdr>
                        <w:top w:val="none" w:sz="0" w:space="0" w:color="auto"/>
                        <w:left w:val="none" w:sz="0" w:space="0" w:color="auto"/>
                        <w:bottom w:val="none" w:sz="0" w:space="0" w:color="auto"/>
                        <w:right w:val="none" w:sz="0" w:space="0" w:color="auto"/>
                      </w:divBdr>
                      <w:divsChild>
                        <w:div w:id="499853130">
                          <w:marLeft w:val="0"/>
                          <w:marRight w:val="0"/>
                          <w:marTop w:val="0"/>
                          <w:marBottom w:val="0"/>
                          <w:divBdr>
                            <w:top w:val="none" w:sz="0" w:space="0" w:color="auto"/>
                            <w:left w:val="none" w:sz="0" w:space="0" w:color="auto"/>
                            <w:bottom w:val="none" w:sz="0" w:space="0" w:color="auto"/>
                            <w:right w:val="none" w:sz="0" w:space="0" w:color="auto"/>
                          </w:divBdr>
                          <w:divsChild>
                            <w:div w:id="966861357">
                              <w:marLeft w:val="0"/>
                              <w:marRight w:val="0"/>
                              <w:marTop w:val="0"/>
                              <w:marBottom w:val="0"/>
                              <w:divBdr>
                                <w:top w:val="none" w:sz="0" w:space="0" w:color="auto"/>
                                <w:left w:val="none" w:sz="0" w:space="0" w:color="auto"/>
                                <w:bottom w:val="none" w:sz="0" w:space="0" w:color="auto"/>
                                <w:right w:val="none" w:sz="0" w:space="0" w:color="auto"/>
                              </w:divBdr>
                              <w:divsChild>
                                <w:div w:id="1672832729">
                                  <w:marLeft w:val="0"/>
                                  <w:marRight w:val="0"/>
                                  <w:marTop w:val="0"/>
                                  <w:marBottom w:val="0"/>
                                  <w:divBdr>
                                    <w:top w:val="none" w:sz="0" w:space="0" w:color="auto"/>
                                    <w:left w:val="none" w:sz="0" w:space="0" w:color="auto"/>
                                    <w:bottom w:val="none" w:sz="0" w:space="0" w:color="auto"/>
                                    <w:right w:val="none" w:sz="0" w:space="0" w:color="auto"/>
                                  </w:divBdr>
                                  <w:divsChild>
                                    <w:div w:id="281814611">
                                      <w:marLeft w:val="0"/>
                                      <w:marRight w:val="0"/>
                                      <w:marTop w:val="0"/>
                                      <w:marBottom w:val="0"/>
                                      <w:divBdr>
                                        <w:top w:val="none" w:sz="0" w:space="0" w:color="auto"/>
                                        <w:left w:val="none" w:sz="0" w:space="0" w:color="auto"/>
                                        <w:bottom w:val="none" w:sz="0" w:space="0" w:color="auto"/>
                                        <w:right w:val="none" w:sz="0" w:space="0" w:color="auto"/>
                                      </w:divBdr>
                                      <w:divsChild>
                                        <w:div w:id="3477052">
                                          <w:marLeft w:val="0"/>
                                          <w:marRight w:val="0"/>
                                          <w:marTop w:val="0"/>
                                          <w:marBottom w:val="495"/>
                                          <w:divBdr>
                                            <w:top w:val="none" w:sz="0" w:space="0" w:color="auto"/>
                                            <w:left w:val="none" w:sz="0" w:space="0" w:color="auto"/>
                                            <w:bottom w:val="none" w:sz="0" w:space="0" w:color="auto"/>
                                            <w:right w:val="none" w:sz="0" w:space="0" w:color="auto"/>
                                          </w:divBdr>
                                          <w:divsChild>
                                            <w:div w:id="1345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145789">
      <w:bodyDiv w:val="1"/>
      <w:marLeft w:val="0"/>
      <w:marRight w:val="0"/>
      <w:marTop w:val="0"/>
      <w:marBottom w:val="0"/>
      <w:divBdr>
        <w:top w:val="none" w:sz="0" w:space="0" w:color="auto"/>
        <w:left w:val="none" w:sz="0" w:space="0" w:color="auto"/>
        <w:bottom w:val="none" w:sz="0" w:space="0" w:color="auto"/>
        <w:right w:val="none" w:sz="0" w:space="0" w:color="auto"/>
      </w:divBdr>
      <w:divsChild>
        <w:div w:id="629629487">
          <w:marLeft w:val="0"/>
          <w:marRight w:val="0"/>
          <w:marTop w:val="0"/>
          <w:marBottom w:val="0"/>
          <w:divBdr>
            <w:top w:val="none" w:sz="0" w:space="0" w:color="auto"/>
            <w:left w:val="none" w:sz="0" w:space="0" w:color="auto"/>
            <w:bottom w:val="none" w:sz="0" w:space="0" w:color="auto"/>
            <w:right w:val="none" w:sz="0" w:space="0" w:color="auto"/>
          </w:divBdr>
          <w:divsChild>
            <w:div w:id="2128506855">
              <w:marLeft w:val="0"/>
              <w:marRight w:val="0"/>
              <w:marTop w:val="0"/>
              <w:marBottom w:val="0"/>
              <w:divBdr>
                <w:top w:val="none" w:sz="0" w:space="0" w:color="auto"/>
                <w:left w:val="none" w:sz="0" w:space="0" w:color="auto"/>
                <w:bottom w:val="none" w:sz="0" w:space="0" w:color="auto"/>
                <w:right w:val="none" w:sz="0" w:space="0" w:color="auto"/>
              </w:divBdr>
              <w:divsChild>
                <w:div w:id="420876923">
                  <w:marLeft w:val="0"/>
                  <w:marRight w:val="0"/>
                  <w:marTop w:val="0"/>
                  <w:marBottom w:val="0"/>
                  <w:divBdr>
                    <w:top w:val="none" w:sz="0" w:space="0" w:color="auto"/>
                    <w:left w:val="none" w:sz="0" w:space="0" w:color="auto"/>
                    <w:bottom w:val="none" w:sz="0" w:space="0" w:color="auto"/>
                    <w:right w:val="none" w:sz="0" w:space="0" w:color="auto"/>
                  </w:divBdr>
                  <w:divsChild>
                    <w:div w:id="460880058">
                      <w:marLeft w:val="0"/>
                      <w:marRight w:val="0"/>
                      <w:marTop w:val="0"/>
                      <w:marBottom w:val="0"/>
                      <w:divBdr>
                        <w:top w:val="none" w:sz="0" w:space="0" w:color="auto"/>
                        <w:left w:val="none" w:sz="0" w:space="0" w:color="auto"/>
                        <w:bottom w:val="none" w:sz="0" w:space="0" w:color="auto"/>
                        <w:right w:val="none" w:sz="0" w:space="0" w:color="auto"/>
                      </w:divBdr>
                      <w:divsChild>
                        <w:div w:id="569119112">
                          <w:marLeft w:val="0"/>
                          <w:marRight w:val="0"/>
                          <w:marTop w:val="0"/>
                          <w:marBottom w:val="0"/>
                          <w:divBdr>
                            <w:top w:val="none" w:sz="0" w:space="0" w:color="auto"/>
                            <w:left w:val="none" w:sz="0" w:space="0" w:color="auto"/>
                            <w:bottom w:val="none" w:sz="0" w:space="0" w:color="auto"/>
                            <w:right w:val="none" w:sz="0" w:space="0" w:color="auto"/>
                          </w:divBdr>
                          <w:divsChild>
                            <w:div w:id="1376927946">
                              <w:marLeft w:val="0"/>
                              <w:marRight w:val="0"/>
                              <w:marTop w:val="0"/>
                              <w:marBottom w:val="0"/>
                              <w:divBdr>
                                <w:top w:val="none" w:sz="0" w:space="0" w:color="auto"/>
                                <w:left w:val="none" w:sz="0" w:space="0" w:color="auto"/>
                                <w:bottom w:val="none" w:sz="0" w:space="0" w:color="auto"/>
                                <w:right w:val="none" w:sz="0" w:space="0" w:color="auto"/>
                              </w:divBdr>
                              <w:divsChild>
                                <w:div w:id="440806352">
                                  <w:marLeft w:val="0"/>
                                  <w:marRight w:val="0"/>
                                  <w:marTop w:val="0"/>
                                  <w:marBottom w:val="0"/>
                                  <w:divBdr>
                                    <w:top w:val="none" w:sz="0" w:space="0" w:color="auto"/>
                                    <w:left w:val="none" w:sz="0" w:space="0" w:color="auto"/>
                                    <w:bottom w:val="none" w:sz="0" w:space="0" w:color="auto"/>
                                    <w:right w:val="none" w:sz="0" w:space="0" w:color="auto"/>
                                  </w:divBdr>
                                  <w:divsChild>
                                    <w:div w:id="1024163626">
                                      <w:marLeft w:val="0"/>
                                      <w:marRight w:val="0"/>
                                      <w:marTop w:val="0"/>
                                      <w:marBottom w:val="0"/>
                                      <w:divBdr>
                                        <w:top w:val="none" w:sz="0" w:space="0" w:color="auto"/>
                                        <w:left w:val="none" w:sz="0" w:space="0" w:color="auto"/>
                                        <w:bottom w:val="none" w:sz="0" w:space="0" w:color="auto"/>
                                        <w:right w:val="none" w:sz="0" w:space="0" w:color="auto"/>
                                      </w:divBdr>
                                      <w:divsChild>
                                        <w:div w:id="748767605">
                                          <w:marLeft w:val="0"/>
                                          <w:marRight w:val="0"/>
                                          <w:marTop w:val="0"/>
                                          <w:marBottom w:val="495"/>
                                          <w:divBdr>
                                            <w:top w:val="none" w:sz="0" w:space="0" w:color="auto"/>
                                            <w:left w:val="none" w:sz="0" w:space="0" w:color="auto"/>
                                            <w:bottom w:val="none" w:sz="0" w:space="0" w:color="auto"/>
                                            <w:right w:val="none" w:sz="0" w:space="0" w:color="auto"/>
                                          </w:divBdr>
                                          <w:divsChild>
                                            <w:div w:id="56649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716853">
      <w:bodyDiv w:val="1"/>
      <w:marLeft w:val="0"/>
      <w:marRight w:val="0"/>
      <w:marTop w:val="0"/>
      <w:marBottom w:val="0"/>
      <w:divBdr>
        <w:top w:val="none" w:sz="0" w:space="0" w:color="auto"/>
        <w:left w:val="none" w:sz="0" w:space="0" w:color="auto"/>
        <w:bottom w:val="none" w:sz="0" w:space="0" w:color="auto"/>
        <w:right w:val="none" w:sz="0" w:space="0" w:color="auto"/>
      </w:divBdr>
    </w:div>
    <w:div w:id="197545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ecure.ipex.eu/IPEXL-WEB/dossier/document/COM20190352.do" TargetMode="External" Id="rId13" /><Relationship Type="http://schemas.openxmlformats.org/officeDocument/2006/relationships/hyperlink" Target="https://eur-lex.europa.eu/legal-content/NL/TXT/?qid=1562680683198&amp;uri=CELEX:52019PC0321" TargetMode="External" Id="rId18" /><Relationship Type="http://schemas.openxmlformats.org/officeDocument/2006/relationships/fontTable" Target="fontTable.xml" Id="rId26" /><Relationship Type="http://schemas.openxmlformats.org/officeDocument/2006/relationships/hyperlink" Target="https://secure.ipex.eu/IPEXL-WEB/dossier/document/COM20190335.do" TargetMode="External" Id="rId21" /><Relationship Type="http://schemas.microsoft.com/office/2007/relationships/stylesWithEffects" Target="stylesWithEffects.xml" Id="rId7" /><Relationship Type="http://schemas.openxmlformats.org/officeDocument/2006/relationships/hyperlink" Target="https://secure.ipex.eu/IPEXL-WEB/dossier/document/COM20190338.do" TargetMode="External" Id="rId12" /><Relationship Type="http://schemas.openxmlformats.org/officeDocument/2006/relationships/hyperlink" Target="https://ec.europa.eu/info/law/better-regulation/initiatives/ares-2017-3244337_en" TargetMode="External" Id="rId17" /><Relationship Type="http://schemas.openxmlformats.org/officeDocument/2006/relationships/hyperlink" Target="http://ec.europa.eu/yourvoice/consultations/index_nl.htm" TargetMode="External" Id="rId25" /><Relationship Type="http://schemas.openxmlformats.org/officeDocument/2006/relationships/hyperlink" Target="https://ec.europa.eu/info/law/better-regulation/initiatives/ares-2019-2936476_en" TargetMode="External" Id="rId16" /><Relationship Type="http://schemas.openxmlformats.org/officeDocument/2006/relationships/hyperlink" Target="https://secure.ipex.eu/IPEXL-WEB/dossier/document/COM20190327.do" TargetMode="External" Id="rId20"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24" /><Relationship Type="http://schemas.openxmlformats.org/officeDocument/2006/relationships/numbering" Target="numbering.xml" Id="rId5" /><Relationship Type="http://schemas.openxmlformats.org/officeDocument/2006/relationships/hyperlink" Target="https://ec.europa.eu/info/law/better-regulation/initiatives/ares-2019-2932425_en" TargetMode="External" Id="rId15" /><Relationship Type="http://schemas.openxmlformats.org/officeDocument/2006/relationships/hyperlink" Target="https://secure.ipex.eu/IPEXL-WEB/dossier/document/COM20190366.do" TargetMode="External" Id="rId23" /><Relationship Type="http://schemas.openxmlformats.org/officeDocument/2006/relationships/footnotes" Target="footnotes.xml" Id="rId10" /><Relationship Type="http://schemas.openxmlformats.org/officeDocument/2006/relationships/hyperlink" Target="https://secure.ipex.eu/IPEXL-WEB/dossier/document/COM20190284.do" TargetMode="External" Id="rId19" /><Relationship Type="http://schemas.openxmlformats.org/officeDocument/2006/relationships/webSettings" Target="webSettings.xml" Id="rId9" /><Relationship Type="http://schemas.openxmlformats.org/officeDocument/2006/relationships/hyperlink" Target="https://ec.europa.eu/info/law/better-regulation/initiatives/ares-2019-2932405_en" TargetMode="External" Id="rId14" /><Relationship Type="http://schemas.openxmlformats.org/officeDocument/2006/relationships/hyperlink" Target="https://secure.ipex.eu/IPEXL-WEB/dossier/document/COM20190367.do" TargetMode="Externa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3734</ap:Words>
  <ap:Characters>20543</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2019-09-04T15:37:00.0000000Z</dcterms:created>
  <dcterms:modified xsi:type="dcterms:W3CDTF">2019-09-04T15:37:00.0000000Z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0x01010087B922B36E867B499601B2A87CE14197</vt:lpwstr>
  </property>
</Properties>
</file>