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CB" w:rsidRDefault="002E28CB">
      <w:pPr>
        <w:rPr>
          <w:sz w:val="32"/>
        </w:rPr>
      </w:pPr>
      <w:r>
        <w:rPr>
          <w:sz w:val="32"/>
        </w:rPr>
        <w:t>TWEEDE KAMER DER STATEN-GENERAAL</w:t>
      </w:r>
    </w:p>
    <w:p w:rsidR="00A0689A" w:rsidRDefault="00A0689A">
      <w:pPr>
        <w:rPr>
          <w:sz w:val="32"/>
        </w:rPr>
      </w:pPr>
    </w:p>
    <w:p w:rsidR="00957CCC" w:rsidRDefault="005061DC">
      <w:pPr>
        <w:rPr>
          <w:sz w:val="32"/>
        </w:rPr>
      </w:pPr>
      <w:r>
        <w:rPr>
          <w:sz w:val="32"/>
        </w:rPr>
        <w:t>S</w:t>
      </w:r>
      <w:r w:rsidR="006637FF">
        <w:rPr>
          <w:sz w:val="32"/>
        </w:rPr>
        <w:t>temmingslijst dinsdag 11 juni 2019</w:t>
      </w:r>
      <w:r>
        <w:rPr>
          <w:sz w:val="32"/>
        </w:rPr>
        <w:t xml:space="preserve">, versie </w:t>
      </w:r>
      <w:r w:rsidR="008A3A46">
        <w:rPr>
          <w:sz w:val="32"/>
        </w:rPr>
        <w:t>13</w:t>
      </w:r>
      <w:r w:rsidR="00623727">
        <w:rPr>
          <w:sz w:val="32"/>
        </w:rPr>
        <w:t>.</w:t>
      </w:r>
      <w:r w:rsidR="00104EF3">
        <w:rPr>
          <w:sz w:val="32"/>
        </w:rPr>
        <w:t>15</w:t>
      </w:r>
      <w:r>
        <w:rPr>
          <w:sz w:val="32"/>
        </w:rPr>
        <w:t xml:space="preserve"> uur</w:t>
      </w:r>
    </w:p>
    <w:p w:rsidR="00C166B4" w:rsidRDefault="00C166B4">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3. Stemmingen in verband met: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34 687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Wijziging van de Handelsregisterwet 2007 in verband met de evaluatie van die wet, alsmede regeling van enkele andere aan het handelsregister gerelateerde onderwerpen in het Burgerlijk Wetboek, de Handelsregisterwet 2007 en de Wet op de Kamer van Koophandel</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3625F8" w:rsidR="003625F8" w:rsidP="003625F8" w:rsidRDefault="003625F8">
            <w:pPr>
              <w:rPr>
                <w:szCs w:val="24"/>
              </w:rPr>
            </w:pPr>
            <w:r w:rsidRPr="003625F8">
              <w:rPr>
                <w:szCs w:val="24"/>
              </w:rPr>
              <w:t>34 687</w:t>
            </w:r>
            <w:r w:rsidR="004A6384">
              <w:rPr>
                <w:szCs w:val="24"/>
              </w:rPr>
              <w:tab/>
            </w:r>
            <w:r w:rsidR="004A6384">
              <w:rPr>
                <w:szCs w:val="24"/>
              </w:rPr>
              <w:tab/>
              <w:t xml:space="preserve">       </w:t>
            </w:r>
            <w:r w:rsidRPr="003625F8">
              <w:rPr>
                <w:szCs w:val="24"/>
              </w:rPr>
              <w:t>(bijgewerkt t/m amendement nr. 14)</w:t>
            </w:r>
          </w:p>
          <w:p w:rsidRPr="003625F8" w:rsidR="003625F8" w:rsidP="003625F8" w:rsidRDefault="003625F8">
            <w:pPr>
              <w:rPr>
                <w:szCs w:val="24"/>
              </w:rPr>
            </w:pPr>
          </w:p>
          <w:p w:rsidRPr="003625F8" w:rsidR="003625F8" w:rsidP="003625F8" w:rsidRDefault="003625F8">
            <w:pPr>
              <w:rPr>
                <w:szCs w:val="24"/>
              </w:rPr>
            </w:pPr>
            <w:r w:rsidRPr="003625F8">
              <w:rPr>
                <w:szCs w:val="24"/>
              </w:rPr>
              <w:t>GEWIJZIGDE STEMMINGSLIJST</w:t>
            </w:r>
          </w:p>
          <w:p w:rsidRPr="003625F8" w:rsidR="003625F8" w:rsidP="003625F8" w:rsidRDefault="003625F8">
            <w:pPr>
              <w:rPr>
                <w:szCs w:val="24"/>
              </w:rPr>
            </w:pPr>
          </w:p>
          <w:p w:rsidRPr="003625F8" w:rsidR="003625F8" w:rsidP="003625F8" w:rsidRDefault="003625F8">
            <w:pPr>
              <w:rPr>
                <w:i/>
                <w:szCs w:val="24"/>
              </w:rPr>
            </w:pPr>
            <w:r w:rsidRPr="003625F8">
              <w:rPr>
                <w:i/>
                <w:szCs w:val="24"/>
              </w:rPr>
              <w:t>Wijzigingen aangegeven met *</w:t>
            </w:r>
          </w:p>
          <w:p w:rsidRPr="003625F8" w:rsidR="003625F8" w:rsidP="003625F8" w:rsidRDefault="003625F8">
            <w:pPr>
              <w:rPr>
                <w:szCs w:val="24"/>
              </w:rPr>
            </w:pPr>
          </w:p>
          <w:p w:rsidRPr="003625F8" w:rsidR="003625F8" w:rsidP="003625F8" w:rsidRDefault="003625F8">
            <w:pPr>
              <w:rPr>
                <w:szCs w:val="24"/>
              </w:rPr>
            </w:pPr>
            <w:r w:rsidRPr="003625F8">
              <w:rPr>
                <w:szCs w:val="24"/>
              </w:rPr>
              <w:t>- artikel I</w:t>
            </w:r>
          </w:p>
          <w:p w:rsidRPr="003625F8" w:rsidR="003625F8" w:rsidP="003625F8" w:rsidRDefault="003625F8">
            <w:pPr>
              <w:rPr>
                <w:szCs w:val="24"/>
              </w:rPr>
            </w:pPr>
            <w:r w:rsidRPr="003625F8">
              <w:rPr>
                <w:szCs w:val="24"/>
              </w:rPr>
              <w:t>- artikel II, onderdelen A t/m O</w:t>
            </w:r>
          </w:p>
          <w:p w:rsidRPr="003625F8" w:rsidR="003625F8" w:rsidP="003625F8" w:rsidRDefault="003625F8">
            <w:pPr>
              <w:rPr>
                <w:szCs w:val="24"/>
              </w:rPr>
            </w:pPr>
            <w:r w:rsidRPr="003625F8">
              <w:rPr>
                <w:szCs w:val="24"/>
                <w:highlight w:val="yellow"/>
              </w:rPr>
              <w:t>*- amendement Futselaar (14)</w:t>
            </w:r>
            <w:r w:rsidRPr="003625F8">
              <w:rPr>
                <w:szCs w:val="24"/>
              </w:rPr>
              <w:t xml:space="preserve"> over bij AMvB aanwijzen van groepen die zonder vergoeding inzage kunnen krijgen in het handelsregister</w:t>
            </w:r>
          </w:p>
          <w:p w:rsidRPr="003625F8" w:rsidR="003625F8" w:rsidP="003625F8" w:rsidRDefault="003625F8">
            <w:pPr>
              <w:rPr>
                <w:szCs w:val="24"/>
              </w:rPr>
            </w:pPr>
            <w:r w:rsidRPr="003625F8">
              <w:rPr>
                <w:szCs w:val="24"/>
              </w:rPr>
              <w:t>- onderdeel P</w:t>
            </w:r>
          </w:p>
          <w:p w:rsidRPr="003625F8" w:rsidR="003625F8" w:rsidP="003625F8" w:rsidRDefault="003625F8">
            <w:pPr>
              <w:rPr>
                <w:szCs w:val="24"/>
              </w:rPr>
            </w:pPr>
            <w:r w:rsidRPr="003625F8">
              <w:rPr>
                <w:szCs w:val="24"/>
              </w:rPr>
              <w:t>- onderdelen Q en Qa</w:t>
            </w:r>
          </w:p>
          <w:p w:rsidRPr="003625F8" w:rsidR="003625F8" w:rsidP="003625F8" w:rsidRDefault="003625F8">
            <w:pPr>
              <w:rPr>
                <w:szCs w:val="24"/>
              </w:rPr>
            </w:pPr>
            <w:r w:rsidRPr="003625F8">
              <w:rPr>
                <w:szCs w:val="24"/>
                <w:highlight w:val="yellow"/>
              </w:rPr>
              <w:t>- amendement Wörsdörfer (12)</w:t>
            </w:r>
            <w:r w:rsidRPr="003625F8">
              <w:rPr>
                <w:szCs w:val="24"/>
              </w:rPr>
              <w:t xml:space="preserve"> over het schrappen van de bepaling over het databankenrecht</w:t>
            </w:r>
          </w:p>
          <w:p w:rsidRPr="003625F8" w:rsidR="003625F8" w:rsidP="003625F8" w:rsidRDefault="003625F8">
            <w:pPr>
              <w:rPr>
                <w:szCs w:val="24"/>
              </w:rPr>
            </w:pPr>
            <w:r w:rsidRPr="003625F8">
              <w:rPr>
                <w:szCs w:val="24"/>
              </w:rPr>
              <w:t>- onderdeel R</w:t>
            </w:r>
          </w:p>
          <w:p w:rsidRPr="003625F8" w:rsidR="003625F8" w:rsidP="003625F8" w:rsidRDefault="003625F8">
            <w:pPr>
              <w:rPr>
                <w:szCs w:val="24"/>
              </w:rPr>
            </w:pPr>
            <w:r w:rsidRPr="003625F8">
              <w:rPr>
                <w:szCs w:val="24"/>
              </w:rPr>
              <w:t>- onderdeel S</w:t>
            </w:r>
          </w:p>
          <w:p w:rsidRPr="003625F8" w:rsidR="003625F8" w:rsidP="003625F8" w:rsidRDefault="003625F8">
            <w:pPr>
              <w:rPr>
                <w:szCs w:val="24"/>
              </w:rPr>
            </w:pPr>
            <w:r w:rsidRPr="003625F8">
              <w:rPr>
                <w:szCs w:val="24"/>
              </w:rPr>
              <w:t xml:space="preserve">- artikel II </w:t>
            </w:r>
          </w:p>
          <w:p w:rsidRPr="003625F8" w:rsidR="003625F8" w:rsidP="003625F8" w:rsidRDefault="003625F8">
            <w:pPr>
              <w:rPr>
                <w:szCs w:val="24"/>
              </w:rPr>
            </w:pPr>
            <w:r w:rsidRPr="003625F8">
              <w:rPr>
                <w:szCs w:val="24"/>
              </w:rPr>
              <w:t>- artikelen III t/m VII</w:t>
            </w:r>
          </w:p>
          <w:p w:rsidRPr="003625F8" w:rsidR="003625F8" w:rsidP="003625F8" w:rsidRDefault="003625F8">
            <w:pPr>
              <w:rPr>
                <w:szCs w:val="24"/>
              </w:rPr>
            </w:pPr>
            <w:r w:rsidRPr="003625F8">
              <w:rPr>
                <w:szCs w:val="24"/>
              </w:rPr>
              <w:t>- beweegreden</w:t>
            </w:r>
          </w:p>
          <w:p w:rsidRPr="006637FF" w:rsidR="006637FF" w:rsidP="006637FF" w:rsidRDefault="003625F8">
            <w:pPr>
              <w:rPr>
                <w:szCs w:val="24"/>
              </w:rPr>
            </w:pPr>
            <w:r w:rsidRPr="003625F8">
              <w:rPr>
                <w:szCs w:val="24"/>
                <w:highlight w:val="yellow"/>
              </w:rPr>
              <w:t>- wetsvoorstel</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4. Stemmingen over: moties ingediend bij het VAO Pleegzorg/gezinshuizen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31 839, nr. 658</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motie-Voordewind over opleidings- en omscholingstrajecten voor meer gezinsgerichte jeugdhulp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659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 over richtlijnen over de vergoedingen voor pleegouders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 over een stem voor pleegjongeren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663 (gewijzigd, was nr. 661)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-de gewijzigde motie-Agema over het controleren van gezinshuizen op zorginhoudelijke criteria</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motie-Kuiken over de effectiviteit van initiatieven zoals die van Stichting MeeleefGezin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rPr>
            </w:pPr>
            <w:r w:rsidRPr="006637FF">
              <w:rPr>
                <w:b/>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5. Stemmingen over: moties ingediend bij het VAO GGZ</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b/>
              </w:rPr>
            </w:pPr>
            <w:r w:rsidRPr="006637FF">
              <w:rPr>
                <w:b/>
              </w:rPr>
              <w:t>De Voorzitter: dhr. Renkema verzoekt zijn motie op stuk nr. 468 aan te houden en wenst zijn motie op stuk nr. 469 te wijzigen.</w:t>
            </w:r>
          </w:p>
          <w:p w:rsidRPr="006637FF" w:rsidR="006637FF" w:rsidP="006637FF" w:rsidRDefault="006637FF">
            <w:pPr>
              <w:rPr>
                <w:b/>
              </w:rPr>
            </w:pPr>
            <w:r w:rsidRPr="006637FF">
              <w:rPr>
                <w:b/>
              </w:rPr>
              <w:t>Mw. Van den Berg wenst haar motie op stuk nr. 463 te wijzigen en dhr. De Lange zijn motie op stuk nr. 467. De gewijzigde moties zijn 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rPr>
            </w:pPr>
            <w:r w:rsidRPr="006637FF">
              <w:rPr>
                <w:b/>
              </w:rPr>
              <w:lastRenderedPageBreak/>
              <w:t>25 424, nr. 463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gewijzigde motie-Van den Berg c.s. over de toezending van de monitor over de Wet verplichte ggz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rPr>
              <w:t>25 424, nr. 464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motie-Diertens over de rol van voeding en bewegen in de behandeling van psychische stoornissen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rPr>
              <w:t>25 424, nr. 465</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motie-Kuiken/Van den Berg over een verplichte bewaartermijn voor camerabeelden in en rondom ggz-instellingen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rPr>
              <w:t>25 424, nr. 466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motie-De Lange/Van den Berg over het meedraaien van psychiaters in avond-, nacht- en weekenddiensten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rPr>
              <w:t>25 424, nr. 467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gewijzigde motie-De Lange/Kuiken over een goede gegevensuitwisseling tussen ggz, politie, OM en gemeenten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rPr>
              <w:t>25 424, nr. 468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motie-Renkema over het terugdringen van wachtlijsten in de ggz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rPr>
              <w:t>25 424, nr. 469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gewijzigde motie-Renkema over een maximumuurtarief voor zelfstandige psychiaters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6. Stemmingen over: overige moties ingediend bij het debat over de aardbeving in Groningen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008926FC" w:rsidP="00D21824" w:rsidRDefault="006637FF">
            <w:pPr>
              <w:rPr>
                <w:b/>
              </w:rPr>
            </w:pPr>
            <w:r w:rsidRPr="006637FF">
              <w:rPr>
                <w:b/>
              </w:rPr>
              <w:t xml:space="preserve">De Voorzitter: </w:t>
            </w:r>
            <w:r w:rsidR="00D21824">
              <w:rPr>
                <w:b/>
              </w:rPr>
              <w:t>mw. Agnes Mulder verzoekt haar motie op stuk nr. 630 aan te houden. D</w:t>
            </w:r>
            <w:r w:rsidRPr="006637FF">
              <w:rPr>
                <w:b/>
              </w:rPr>
              <w:t>hr. Geleijnse wenst zijn motie op stuk nr. 625 te wijzigen</w:t>
            </w:r>
            <w:r w:rsidR="002F4A70">
              <w:rPr>
                <w:b/>
              </w:rPr>
              <w:t xml:space="preserve"> en mw. Dik-Faber haar motie op stuk nr. 628</w:t>
            </w:r>
            <w:r w:rsidRPr="006637FF">
              <w:rPr>
                <w:b/>
              </w:rPr>
              <w:t xml:space="preserve">. </w:t>
            </w:r>
          </w:p>
          <w:p w:rsidRPr="006637FF" w:rsidR="006637FF" w:rsidP="00D21824" w:rsidRDefault="006637FF">
            <w:r w:rsidRPr="006637FF">
              <w:rPr>
                <w:b/>
              </w:rPr>
              <w:t xml:space="preserve">De gewijzigde moties </w:t>
            </w:r>
            <w:r w:rsidR="002F4A70">
              <w:rPr>
                <w:b/>
              </w:rPr>
              <w:t xml:space="preserve">zijn </w:t>
            </w:r>
            <w:r w:rsidRPr="006637FF">
              <w:rPr>
                <w:b/>
              </w:rPr>
              <w:t>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617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motie-Nijboer c.s. over het uitvoeren van de voorstellen van de regio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618</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motie-Kops c.s. over het schrappen van het maximumbedrag van €10.000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619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motie-Kops over direct overgaan tot uitbetaling of versterking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motie-Wassenberg c.s. over niet meer dan 12 miljard kuub gas winnen uit het Groningenveld bij een gemiddelde winter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621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motie-Wassenberg c.s. over een stappenplan om de gaswinning uit het Groningenveld af te bouwen naar nul kuub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 xml:space="preserve">33 529, nr. 622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Lee c.s. over het opnemen van voorstellen uit de regio in de versterkingsaanpak en de schadeafhandeling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Lee/Agnes Mulder over een voldoende budget voor het SodM om zijn adviserende en controlerende taken uit te kunnen voeren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Lee c.s. over het betrekken van maatschappelijke organisaties bij de invulling van de crisisaanpak in Groningen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625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gewijzigde motie-Geleijnse c.s. over de versnellingsmaatregelen voorzien van het gewenste resultaat en een datum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motie-Yeşilgöz-Zegerius c.s. over het terugbrengen van de vraag naar Groningengas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motie-Dik-Faber c.s. over één loket en één uitvoeringsorganisatie met budget en mandaat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628</w:t>
            </w:r>
            <w:r w:rsidR="002F4A70">
              <w:rPr>
                <w:b/>
                <w:color w:val="000000"/>
                <w:szCs w:val="24"/>
              </w:rPr>
              <w:t xml:space="preserve">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w:t>
            </w:r>
            <w:r w:rsidR="002F4A70">
              <w:t xml:space="preserve">gewijzigde </w:t>
            </w:r>
            <w:r w:rsidRPr="006637FF">
              <w:t xml:space="preserve">motie-Dik-Faber c.s. over juridisch advies inwinnen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629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motie-Agnes Mulder c.s. over het volgen van het advies van het SodM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630</w:t>
            </w:r>
            <w:r w:rsidR="00D21824">
              <w:rPr>
                <w:b/>
                <w:color w:val="000000"/>
                <w:szCs w:val="24"/>
              </w:rPr>
              <w:t xml:space="preserve"> (aangehouden)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motie-Agnes Mulder c.s. over een adviserende rol voor de agrarische tafel en het agroteam van experts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631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motie-Sienot c.s. over de inzet van studenten bouwkunde voor versnelling van de aanpak van de schade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lastRenderedPageBreak/>
              <w:t>33 529, nr. 632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motie-Sienot c.s. over het uitvoeren van de zeven oplossingsrichtingen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33 529, nr. 633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motie-Sienot c.s. over de particuliere gebouweigenaar ruimte bieden voor eigen regie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7. Stemmingen in verband met: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35 110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Invoering van een wettelijk mechanisme ten behoeve van de beslechting van belastinggeschillen tussen lidstaten van de Europese Unie (Wet fiscale arbitrage)</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8F084D" w:rsidR="008F084D" w:rsidP="008F084D" w:rsidRDefault="008F084D">
            <w:pPr>
              <w:rPr>
                <w:szCs w:val="24"/>
              </w:rPr>
            </w:pPr>
            <w:r w:rsidRPr="008F084D">
              <w:rPr>
                <w:szCs w:val="24"/>
              </w:rPr>
              <w:t>35 110</w:t>
            </w:r>
            <w:r w:rsidRPr="008F084D">
              <w:rPr>
                <w:szCs w:val="24"/>
              </w:rPr>
              <w:tab/>
            </w:r>
            <w:r w:rsidR="00EB4B03">
              <w:rPr>
                <w:szCs w:val="24"/>
              </w:rPr>
              <w:t xml:space="preserve">                 </w:t>
            </w:r>
            <w:bookmarkStart w:name="_GoBack" w:id="0"/>
            <w:bookmarkEnd w:id="0"/>
            <w:r w:rsidRPr="008F084D">
              <w:rPr>
                <w:szCs w:val="24"/>
              </w:rPr>
              <w:t>(bijgewerkt t/m amendement nr. 12)</w:t>
            </w:r>
            <w:r w:rsidRPr="008F084D">
              <w:rPr>
                <w:szCs w:val="24"/>
              </w:rPr>
              <w:tab/>
            </w:r>
          </w:p>
          <w:p w:rsidRPr="008F084D" w:rsidR="008F084D" w:rsidP="008F084D" w:rsidRDefault="008F084D">
            <w:pPr>
              <w:rPr>
                <w:szCs w:val="24"/>
              </w:rPr>
            </w:pPr>
          </w:p>
          <w:p w:rsidRPr="008F084D" w:rsidR="008F084D" w:rsidP="008F084D" w:rsidRDefault="008F084D">
            <w:pPr>
              <w:rPr>
                <w:szCs w:val="24"/>
              </w:rPr>
            </w:pPr>
            <w:r w:rsidRPr="008F084D">
              <w:rPr>
                <w:szCs w:val="24"/>
              </w:rPr>
              <w:t>GEWIJZIGDE STEMMINGSLIJST</w:t>
            </w:r>
          </w:p>
          <w:p w:rsidRPr="008F084D" w:rsidR="008F084D" w:rsidP="008F084D" w:rsidRDefault="008F084D">
            <w:pPr>
              <w:rPr>
                <w:szCs w:val="24"/>
              </w:rPr>
            </w:pPr>
          </w:p>
          <w:p w:rsidRPr="008F084D" w:rsidR="008F084D" w:rsidP="008F084D" w:rsidRDefault="008F084D">
            <w:pPr>
              <w:rPr>
                <w:i/>
                <w:szCs w:val="24"/>
              </w:rPr>
            </w:pPr>
            <w:r w:rsidRPr="008F084D">
              <w:rPr>
                <w:i/>
                <w:szCs w:val="24"/>
              </w:rPr>
              <w:t>Wijzigingen aangegeven met *</w:t>
            </w:r>
          </w:p>
          <w:p w:rsidRPr="008F084D" w:rsidR="008F084D" w:rsidP="008F084D" w:rsidRDefault="008F084D">
            <w:pPr>
              <w:rPr>
                <w:szCs w:val="24"/>
              </w:rPr>
            </w:pPr>
          </w:p>
          <w:p w:rsidRPr="008F084D" w:rsidR="008F084D" w:rsidP="008F084D" w:rsidRDefault="008F084D">
            <w:pPr>
              <w:rPr>
                <w:szCs w:val="24"/>
              </w:rPr>
            </w:pPr>
            <w:r w:rsidRPr="008F084D">
              <w:rPr>
                <w:szCs w:val="24"/>
              </w:rPr>
              <w:t>- artikelen 1.1 t/m 3.3</w:t>
            </w:r>
          </w:p>
          <w:p w:rsidRPr="008F084D" w:rsidR="008F084D" w:rsidP="008F084D" w:rsidRDefault="008F084D">
            <w:pPr>
              <w:rPr>
                <w:szCs w:val="24"/>
              </w:rPr>
            </w:pPr>
            <w:r w:rsidRPr="008F084D">
              <w:rPr>
                <w:szCs w:val="24"/>
                <w:highlight w:val="yellow"/>
              </w:rPr>
              <w:t>*- gewijzigd amendement Leijten/Snels (12,I)</w:t>
            </w:r>
            <w:r w:rsidRPr="008F084D">
              <w:rPr>
                <w:szCs w:val="24"/>
              </w:rPr>
              <w:t xml:space="preserve"> over de mogelijkheid om het instellen van een arbitragecommissie te weigeren </w:t>
            </w:r>
          </w:p>
          <w:p w:rsidRPr="008F084D" w:rsidR="008F084D" w:rsidP="008F084D" w:rsidRDefault="008F084D">
            <w:pPr>
              <w:rPr>
                <w:szCs w:val="24"/>
              </w:rPr>
            </w:pPr>
            <w:r w:rsidRPr="008F084D">
              <w:rPr>
                <w:szCs w:val="24"/>
              </w:rPr>
              <w:t>- artikel 4.1</w:t>
            </w:r>
          </w:p>
          <w:p w:rsidRPr="008F084D" w:rsidR="008F084D" w:rsidP="008F084D" w:rsidRDefault="008F084D">
            <w:pPr>
              <w:rPr>
                <w:szCs w:val="24"/>
              </w:rPr>
            </w:pPr>
            <w:r w:rsidRPr="008F084D">
              <w:rPr>
                <w:szCs w:val="24"/>
              </w:rPr>
              <w:t>*- gewijzigd amendement Leijten/Snels (12,II)</w:t>
            </w:r>
          </w:p>
          <w:p w:rsidRPr="008F084D" w:rsidR="008F084D" w:rsidP="008F084D" w:rsidRDefault="008F084D">
            <w:pPr>
              <w:rPr>
                <w:szCs w:val="24"/>
              </w:rPr>
            </w:pPr>
            <w:r w:rsidRPr="008F084D">
              <w:rPr>
                <w:szCs w:val="24"/>
              </w:rPr>
              <w:t>- artikel 4.2</w:t>
            </w:r>
          </w:p>
          <w:p w:rsidRPr="008F084D" w:rsidR="008F084D" w:rsidP="008F084D" w:rsidRDefault="008F084D">
            <w:pPr>
              <w:rPr>
                <w:szCs w:val="24"/>
              </w:rPr>
            </w:pPr>
            <w:r w:rsidRPr="008F084D">
              <w:rPr>
                <w:szCs w:val="24"/>
              </w:rPr>
              <w:t>- artikelen 4.3 t/m 9.2</w:t>
            </w:r>
          </w:p>
          <w:p w:rsidRPr="008F084D" w:rsidR="008F084D" w:rsidP="008F084D" w:rsidRDefault="008F084D">
            <w:pPr>
              <w:rPr>
                <w:szCs w:val="24"/>
              </w:rPr>
            </w:pPr>
            <w:r w:rsidRPr="008F084D">
              <w:rPr>
                <w:szCs w:val="24"/>
              </w:rPr>
              <w:t>- beweegreden</w:t>
            </w:r>
          </w:p>
          <w:p w:rsidRPr="006637FF" w:rsidR="006637FF" w:rsidP="006637FF" w:rsidRDefault="008F084D">
            <w:pPr>
              <w:rPr>
                <w:szCs w:val="24"/>
              </w:rPr>
            </w:pPr>
            <w:r w:rsidRPr="008F084D">
              <w:rPr>
                <w:szCs w:val="24"/>
                <w:highlight w:val="yellow"/>
              </w:rPr>
              <w:t>- wetsvoorstel</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8. Stemmingen over: moties ingediend bij de Wet fiscale arbitrage</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35 110, nr. 10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-de motie-Lodders c.s. over een oplossing voor de problematiek van de Nederlandse/Noorse vrachtwagenchauffeurs en Rijnvarenden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35 110, nr. 11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motie-Omtzigt c.s. over een commissie die adviseert over maatregelen om de belastingheffing over winsten van multinationals eerlijker te maken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9. Stemmingen over: moties ingediend bij het debat over de brief van de Kinderombudsman inzake de integrale aanpak van hulp aan kwetsbare kinderen en jongeren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b/>
              </w:rPr>
            </w:pPr>
            <w:r w:rsidRPr="006637FF">
              <w:rPr>
                <w:b/>
              </w:rPr>
              <w:t>De Voorzitter: mw. Agema wenst haar motie op stuk nr. 664 te wijzigen, dhr. Hijink zijn motie op stuk nr. 666 en mw. Westerveld haar motie op stuk nr. 668. De gewijzigde moties zijn 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31 839, nr. 664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-de gewijzigde motie-Agema over bovenregionaal organiseren van decentralisatie van de meer complexere Jeugdhulp</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665</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motie-Agema over structureel een half miljard euro extra beschikbaar stellen voor de uitvoering van de Jeugdwet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666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gewijzigde motie-Hijink over samenwerking tussen jeugdzorgaanbieders stimuleren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 over onderzoek naar hoeveel jongeren die acuut hulp nodig hebben op een wachtlijst staan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668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gewijzigde motie-Westerveld over voldoende plekken voor jongeren met complexe psychische aandoeningen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lastRenderedPageBreak/>
              <w:t>31 839, nr. 669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 over het realiseren van landelijke expertisecentra voor complexe en acute jeugdhulp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31 839, nr. 670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motie-Peters c.s. over onderzoek naar de reikwijdte van de jeugdhulpplicht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Stemming</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10. Stemming over: aangehouden motie ingediend bij het VAO Medische preventie</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b/>
                <w:szCs w:val="24"/>
              </w:rPr>
              <w:t>De Voorzitter: dhr. Renkema wenst zijn motie op stuk nr. 377 te wijzigen. De gewijzigde motie is 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32 793, nr. 377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gewijzigde motie-Renkema c.s.  over expliciet aandacht besteden aan de vrijheid rondom seksueel gedrag</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Stemming</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11. Stemming over: aangehouden motie ingediend bij het VAO Personen- en Familierecht</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33 836, nr. 37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motie-Van Nispen/Hijink over het samen plaatsen van broertjes en zusjes als uitgangspunt</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12. Stemmingen over: moties ingediend bij het VAO Studeren met een functiebeperking in mbo en ho</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31 524, nr. 421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motie-Westerveld/El Yassini over uitbreiding van het expertisegebied van Expertisecentrum handicap + studie naar mbo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 over een matchingplatform om studenten met een beperking in contact te brengen met werkgevers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motie-Westerveld over het beschikbaar stellen van alternatieve toetsvormen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motie-El Yassini/Westerveld over begeleiding van studenten met beperking in mbo en hoger onderwijs door onderwijsinstellingen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425</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motie-Kuik/Westerveld over wettelijke aanpassingen voor informatievoorziening aan studenten met een functiebeperking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den Hul over een landelijke website met informatie voor studenten met een functiebeperking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den Hul/Van Meenen over een warme overdracht van studenten met een functiebeperking naar een vervolgopleiding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428</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Meenen over het verbeteren van de website Studeermeteenplan.nl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429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Meenen over studentenwelzijn meenemen in de Staat van het Onderwijs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430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motie-Kwint over het inrichten van een landelijk profileringsfonds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431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motie-Kwint over een goede overdracht tussen onderwijsinstellingen voor studenten met een functiebeperking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432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motie-Kuzu/Azarkan over cursussen voor docenten voor het ondersteunen van studenten met een functiebeperking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433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motie-Kuzu/Azarkan over het wegnemen van belemmeringen voor het aanbieden van zorgmiddelen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31 524, nr. 434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motie-Kuzu/Azarkan over een stilteruimte voor studenten met een beperking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13. Stemmingen over: moties ingediend bij het VAO Wetenschapsbeleid</w:t>
            </w:r>
          </w:p>
        </w:tc>
      </w:tr>
      <w:tr w:rsidRPr="006637FF" w:rsidR="00EA142E" w:rsidTr="009D46AA">
        <w:trPr>
          <w:trHeight w:val="146"/>
        </w:trPr>
        <w:tc>
          <w:tcPr>
            <w:tcW w:w="1435" w:type="pct"/>
            <w:tcBorders>
              <w:top w:val="nil"/>
              <w:left w:val="nil"/>
              <w:bottom w:val="nil"/>
              <w:right w:val="nil"/>
            </w:tcBorders>
          </w:tcPr>
          <w:p w:rsidRPr="006637FF" w:rsidR="00EA142E" w:rsidP="006637FF" w:rsidRDefault="00EA142E">
            <w:pPr>
              <w:rPr>
                <w:b/>
                <w:color w:val="000000"/>
                <w:szCs w:val="24"/>
              </w:rPr>
            </w:pPr>
          </w:p>
        </w:tc>
        <w:tc>
          <w:tcPr>
            <w:tcW w:w="78" w:type="pct"/>
            <w:tcBorders>
              <w:top w:val="nil"/>
              <w:left w:val="nil"/>
              <w:bottom w:val="nil"/>
              <w:right w:val="nil"/>
            </w:tcBorders>
          </w:tcPr>
          <w:p w:rsidRPr="006637FF" w:rsidR="00EA142E" w:rsidP="006637FF" w:rsidRDefault="00EA142E">
            <w:pPr>
              <w:rPr>
                <w:szCs w:val="24"/>
              </w:rPr>
            </w:pPr>
          </w:p>
        </w:tc>
        <w:tc>
          <w:tcPr>
            <w:tcW w:w="3487" w:type="pct"/>
            <w:tcBorders>
              <w:top w:val="nil"/>
              <w:left w:val="nil"/>
              <w:bottom w:val="nil"/>
              <w:right w:val="nil"/>
            </w:tcBorders>
          </w:tcPr>
          <w:p w:rsidRPr="00EA142E" w:rsidR="00EA142E" w:rsidP="006637FF" w:rsidRDefault="00EA142E">
            <w:pPr>
              <w:rPr>
                <w:b/>
              </w:rPr>
            </w:pPr>
            <w:r w:rsidRPr="00EA142E">
              <w:rPr>
                <w:b/>
              </w:rPr>
              <w:t xml:space="preserve">De Voorzitter: mw. Tielen verzoekt haar motie op stuk nr. 190 aan te houden.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29 338, nr. 190</w:t>
            </w:r>
            <w:r w:rsidR="00EA142E">
              <w:rPr>
                <w:b/>
                <w:color w:val="000000"/>
                <w:szCs w:val="24"/>
              </w:rPr>
              <w:t xml:space="preserve">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motie-Tielen c.s. over het jaarlijks organiseren van een Nederlandse "evidentieweek"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motie-Tielen/Van der Molen over het aantonen van de wetenschappelijke effectiviteit van trainingen over impliciete genderbias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motie-Tielen/Van der Molen over de 60 miljoen extra die vrijkomt inzetten voor uitvragen voor onderzoek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motie-Bruins/Van der Molen over synergie in de inzet van middelen voor thematisch beleid in onderzoek en innovatie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motie-Bruins/Van der Molen over een sterkere coördinerende en strategische rol van NWO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195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motie-Bruins/Van der Molen over de gevolgen voor de wetenschapsdomeinen van de overheveling van de tweede naar de eerste geldstroom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den Hul/Westerveld over maatregelen om de terugval in de groei van het aantal vrouwelijke hoogleraren te keren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197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den Hul/Futselaar over onderzoek naar de afname van de minder kansrijke onderzoekaanvragen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198</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den Hul/Westerveld over extra investeringen in bèta- en techniekonderwijs niet ten koste laten gaan van geesteswetenschappen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199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Molen c.s. over top-uppers niet in de evaluatie van het experiment promotieonderwijs meenemen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200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Molen c.s. over een nieuwe aanvraagronde voor het experiment promotieonderwijs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29 338, nr. 201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Meenen over de ombudsfunctie versneld in de wetenschap invoeren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14. Stemmingen over: moties ingediend bij het VAO Voortgang voorinvesteringen op instellingen hoger onderwijs  </w:t>
            </w:r>
          </w:p>
        </w:tc>
      </w:tr>
      <w:tr w:rsidRPr="006637FF" w:rsidR="00A2440C" w:rsidTr="009D46AA">
        <w:trPr>
          <w:trHeight w:val="146"/>
        </w:trPr>
        <w:tc>
          <w:tcPr>
            <w:tcW w:w="1435" w:type="pct"/>
            <w:tcBorders>
              <w:top w:val="nil"/>
              <w:left w:val="nil"/>
              <w:bottom w:val="nil"/>
              <w:right w:val="nil"/>
            </w:tcBorders>
          </w:tcPr>
          <w:p w:rsidRPr="006637FF" w:rsidR="00A2440C" w:rsidP="006637FF" w:rsidRDefault="00A2440C">
            <w:pPr>
              <w:rPr>
                <w:b/>
                <w:color w:val="000000"/>
                <w:szCs w:val="24"/>
              </w:rPr>
            </w:pPr>
          </w:p>
        </w:tc>
        <w:tc>
          <w:tcPr>
            <w:tcW w:w="78" w:type="pct"/>
            <w:tcBorders>
              <w:top w:val="nil"/>
              <w:left w:val="nil"/>
              <w:bottom w:val="nil"/>
              <w:right w:val="nil"/>
            </w:tcBorders>
          </w:tcPr>
          <w:p w:rsidRPr="006637FF" w:rsidR="00A2440C" w:rsidP="006637FF" w:rsidRDefault="00A2440C">
            <w:pPr>
              <w:rPr>
                <w:szCs w:val="24"/>
              </w:rPr>
            </w:pPr>
          </w:p>
        </w:tc>
        <w:tc>
          <w:tcPr>
            <w:tcW w:w="3487" w:type="pct"/>
            <w:tcBorders>
              <w:top w:val="nil"/>
              <w:left w:val="nil"/>
              <w:bottom w:val="nil"/>
              <w:right w:val="nil"/>
            </w:tcBorders>
          </w:tcPr>
          <w:p w:rsidRPr="006637FF" w:rsidR="00A2440C" w:rsidP="00A2440C" w:rsidRDefault="00A2440C">
            <w:r w:rsidRPr="00A2440C">
              <w:rPr>
                <w:b/>
              </w:rPr>
              <w:t xml:space="preserve">De Voorzitter: </w:t>
            </w:r>
            <w:r>
              <w:rPr>
                <w:b/>
              </w:rPr>
              <w:t>mw. Westerveld</w:t>
            </w:r>
            <w:r w:rsidRPr="00A2440C">
              <w:rPr>
                <w:b/>
              </w:rPr>
              <w:t xml:space="preserve"> wenst </w:t>
            </w:r>
            <w:r>
              <w:rPr>
                <w:b/>
              </w:rPr>
              <w:t>haar</w:t>
            </w:r>
            <w:r w:rsidRPr="00A2440C">
              <w:rPr>
                <w:b/>
              </w:rPr>
              <w:t xml:space="preserve"> motie op stuk nr. </w:t>
            </w:r>
            <w:r>
              <w:rPr>
                <w:b/>
              </w:rPr>
              <w:t>729</w:t>
            </w:r>
            <w:r w:rsidRPr="00A2440C">
              <w:rPr>
                <w:b/>
              </w:rPr>
              <w:t xml:space="preserve"> te wijzigen. De gewijzigde motie is 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31 288, nr. 729</w:t>
            </w:r>
            <w:r w:rsidR="00A2440C">
              <w:rPr>
                <w:b/>
                <w:color w:val="000000"/>
                <w:szCs w:val="24"/>
              </w:rPr>
              <w:t xml:space="preserve">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w:t>
            </w:r>
            <w:r w:rsidR="00A2440C">
              <w:t xml:space="preserve">gewijzigde </w:t>
            </w:r>
            <w:r w:rsidRPr="006637FF">
              <w:t xml:space="preserve">motie-Westerveld c.s. over een uitgebreide evaluatie van het leenstelsel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motie-Futselaar over een wetsvoorstel voor een basisbeurs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motie-Futselaar over onderzoek naar de mogelijkheden om een uitgesloten generatie studenten te compenseren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den Hul over het naar voren halen van studievoorschotmiddelen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motie-Kops/Beertema over voorinvesteringen gespecificeerd laten opnemen in de begrotingen van hogescholen en universiteiten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Meenen over het faciliteren van de decentrale medezeggenschapsraad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735</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Molen/Westerveld over een gedetailleerd overzicht van de problemen bij DUO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31 288, nr. 736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Molen/Westerveld over aanspraak maken op en flexibel inzetten van studievouchers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lastRenderedPageBreak/>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15. Stemmingen over: moties ingediend bij het VSO Inspectierapport ‘Nederlands of niet: gedragscodes en taalbeleid in het hoger onderwijs’</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22 452, nr. 74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Molen/Tielen over expliciet maken wat "bevorderen van de uitdrukkingsvaardigheid in het Nederlands" minimaal dient in te houden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22 452, nr. 75 (ingetrokken)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motie-Van der Molen/Westerveld over een plan om de instroom in opleidingen Nederlands te vergroten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22 452, nr. 76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motie-Bisschop/Van der Molen over handhaving van de wettelijke verplichting voor instellingen om een gedragscode inzake taalbeleid te hebben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16. Stemmingen over: overige moties ingediend bij het debat over berichtgeving dat de minister-president de presentatie van de klimaatakkoord-doorrekening  heeft laten uitstellen met</w:t>
            </w:r>
          </w:p>
        </w:tc>
      </w:tr>
      <w:tr w:rsidRPr="006637FF" w:rsidR="007F0CB2" w:rsidTr="009D46AA">
        <w:trPr>
          <w:trHeight w:val="146"/>
        </w:trPr>
        <w:tc>
          <w:tcPr>
            <w:tcW w:w="1435" w:type="pct"/>
            <w:tcBorders>
              <w:top w:val="nil"/>
              <w:left w:val="nil"/>
              <w:bottom w:val="nil"/>
              <w:right w:val="nil"/>
            </w:tcBorders>
          </w:tcPr>
          <w:p w:rsidRPr="006637FF" w:rsidR="007F0CB2" w:rsidP="006637FF" w:rsidRDefault="007F0CB2">
            <w:pPr>
              <w:rPr>
                <w:b/>
                <w:color w:val="000000"/>
                <w:szCs w:val="24"/>
              </w:rPr>
            </w:pPr>
          </w:p>
        </w:tc>
        <w:tc>
          <w:tcPr>
            <w:tcW w:w="78" w:type="pct"/>
            <w:tcBorders>
              <w:top w:val="nil"/>
              <w:left w:val="nil"/>
              <w:bottom w:val="nil"/>
              <w:right w:val="nil"/>
            </w:tcBorders>
          </w:tcPr>
          <w:p w:rsidRPr="006637FF" w:rsidR="007F0CB2" w:rsidP="006637FF" w:rsidRDefault="007F0CB2">
            <w:pPr>
              <w:rPr>
                <w:szCs w:val="24"/>
              </w:rPr>
            </w:pPr>
          </w:p>
        </w:tc>
        <w:tc>
          <w:tcPr>
            <w:tcW w:w="3487" w:type="pct"/>
            <w:tcBorders>
              <w:top w:val="nil"/>
              <w:left w:val="nil"/>
              <w:bottom w:val="nil"/>
              <w:right w:val="nil"/>
            </w:tcBorders>
          </w:tcPr>
          <w:p w:rsidRPr="006637FF" w:rsidR="007F0CB2" w:rsidP="007F0CB2" w:rsidRDefault="007F0CB2">
            <w:r>
              <w:rPr>
                <w:b/>
              </w:rPr>
              <w:t>De Voorzitter: dhr. Baudet</w:t>
            </w:r>
            <w:r w:rsidRPr="007F0CB2">
              <w:rPr>
                <w:b/>
              </w:rPr>
              <w:t xml:space="preserve"> wenst zijn motie op stuk nr. 3</w:t>
            </w:r>
            <w:r>
              <w:rPr>
                <w:b/>
              </w:rPr>
              <w:t>31</w:t>
            </w:r>
            <w:r w:rsidRPr="007F0CB2">
              <w:rPr>
                <w:b/>
              </w:rPr>
              <w:t xml:space="preserve"> te wijzigen. De gewijzigde motie is 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32 813, nr. 329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motie-Klaver c.s. over geen verzoeken aan planbureaus doen om de publicatie van doorrekeningen uit te stellen tot er een kabinetsappreciatie is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32 813, nr. 331</w:t>
            </w:r>
            <w:r w:rsidR="007F0CB2">
              <w:rPr>
                <w:b/>
                <w:color w:val="000000"/>
                <w:szCs w:val="24"/>
              </w:rPr>
              <w:t xml:space="preserve">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w:t>
            </w:r>
            <w:r w:rsidR="007F0CB2">
              <w:t xml:space="preserve">gewijzigde </w:t>
            </w:r>
            <w:r w:rsidRPr="006637FF">
              <w:t xml:space="preserve">motie-Baudet over openbaarmaking van alle gespreksverslagen van de besprekingen aan de klimaattafels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32 813, nr. 332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motie-Baudet over uitvoering van de op 5 februari 2019 in de Eerste Kamer aangenomen motie over openbaarmaking van de verslagen van de klimaattafels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17. Stemmingen over: moties ingediend bij het VAO Turkije</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32 623, nr. 260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motie-Karabulut c.s. over inspanningen voor vrijlating van Nederlandse politieke gevangenen in Turkije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32 623, nr. 261</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motie-Karabulut over beëindigen van de EU-toetredingsgesprekken met Turkije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32 623, nr. 262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motie-De Roon over terugdringen van de invloed van de Turkse overheid in Nederland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32 623, nr. 263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motie-Voordewind c.s. over afstand nemen van de uitspraken van de Turkse president over de Armeense genocide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32 623, nr. 264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motie-Öztürk over het optimaliseren van de handelsrelatie met Turkije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32 623, nr. 265</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r w:rsidRPr="006637FF">
              <w:t xml:space="preserve">-de motie-Omtzigt/Koopmans over het formeel stoppen met de EU-toetredingsonderhandelingen </w:t>
            </w:r>
          </w:p>
        </w:tc>
      </w:tr>
      <w:tr w:rsidRPr="006637FF" w:rsidR="00A56DE0" w:rsidTr="009D46AA">
        <w:trPr>
          <w:trHeight w:val="146"/>
        </w:trPr>
        <w:tc>
          <w:tcPr>
            <w:tcW w:w="1435" w:type="pct"/>
            <w:tcBorders>
              <w:top w:val="nil"/>
              <w:left w:val="nil"/>
              <w:bottom w:val="nil"/>
              <w:right w:val="nil"/>
            </w:tcBorders>
          </w:tcPr>
          <w:p w:rsidRPr="006637FF"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6637FF" w:rsidR="00A56DE0" w:rsidP="006637FF" w:rsidRDefault="00A56DE0">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18. Stemmingen in verband met: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33 785, nr. 20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Brief van de vaste commissie voor Justitie en Veiligheid over het opmaken van een voordracht van drie kandidaten ter vervulling van een vacature van raadsheer in de civiele kamer van de Hoge Raad</w:t>
            </w:r>
          </w:p>
        </w:tc>
      </w:tr>
      <w:tr w:rsidRPr="006637FF" w:rsidR="00A56DE0" w:rsidTr="009D46AA">
        <w:trPr>
          <w:trHeight w:val="146"/>
        </w:trPr>
        <w:tc>
          <w:tcPr>
            <w:tcW w:w="1435" w:type="pct"/>
            <w:tcBorders>
              <w:top w:val="nil"/>
              <w:left w:val="nil"/>
              <w:bottom w:val="nil"/>
              <w:right w:val="nil"/>
            </w:tcBorders>
          </w:tcPr>
          <w:p w:rsidRPr="006637FF"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6637FF" w:rsidR="00A56DE0" w:rsidP="006637FF" w:rsidRDefault="00A56DE0">
            <w:pPr>
              <w:rPr>
                <w:szCs w:val="24"/>
              </w:rPr>
            </w:pPr>
          </w:p>
        </w:tc>
      </w:tr>
      <w:tr w:rsidRPr="006637FF" w:rsidR="00A56DE0" w:rsidTr="009D46AA">
        <w:trPr>
          <w:trHeight w:val="146"/>
        </w:trPr>
        <w:tc>
          <w:tcPr>
            <w:tcW w:w="1435" w:type="pct"/>
            <w:tcBorders>
              <w:top w:val="nil"/>
              <w:left w:val="nil"/>
              <w:bottom w:val="nil"/>
              <w:right w:val="nil"/>
            </w:tcBorders>
          </w:tcPr>
          <w:p w:rsidRPr="006637FF"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A56DE0" w:rsidR="00A56DE0" w:rsidP="006637FF" w:rsidRDefault="00A56DE0">
            <w:pPr>
              <w:rPr>
                <w:b/>
                <w:szCs w:val="24"/>
              </w:rPr>
            </w:pPr>
            <w:r w:rsidRPr="00A56DE0">
              <w:rPr>
                <w:b/>
                <w:szCs w:val="24"/>
              </w:rPr>
              <w:t xml:space="preserve">De Voorzitter: de fractie van de PVV verzoekt om een schriftelijke stemming over positie 2 op de voordracht.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557A9F">
            <w:pPr>
              <w:rPr>
                <w:b/>
                <w:szCs w:val="24"/>
              </w:rPr>
            </w:pPr>
            <w:r>
              <w:rPr>
                <w:b/>
                <w:szCs w:val="24"/>
              </w:rPr>
              <w:t>1</w:t>
            </w:r>
            <w:r w:rsidRPr="006637FF" w:rsidR="006637FF">
              <w:rPr>
                <w:b/>
                <w:szCs w:val="24"/>
              </w:rPr>
              <w:t>. dhr. mr. F.J.P. Lock</w:t>
            </w:r>
          </w:p>
          <w:p w:rsidRPr="006637FF" w:rsidR="006637FF" w:rsidP="006637FF" w:rsidRDefault="006637FF">
            <w:pPr>
              <w:rPr>
                <w:b/>
                <w:szCs w:val="24"/>
              </w:rPr>
            </w:pPr>
            <w:r w:rsidRPr="006637FF">
              <w:rPr>
                <w:b/>
                <w:szCs w:val="24"/>
              </w:rPr>
              <w:t>2. dhr. mr. M. Kuijer</w:t>
            </w:r>
          </w:p>
          <w:p w:rsidRPr="006637FF" w:rsidR="006637FF" w:rsidP="006637FF" w:rsidRDefault="006637FF">
            <w:pPr>
              <w:rPr>
                <w:szCs w:val="24"/>
              </w:rPr>
            </w:pPr>
            <w:r w:rsidRPr="006637FF">
              <w:rPr>
                <w:b/>
                <w:szCs w:val="24"/>
              </w:rPr>
              <w:lastRenderedPageBreak/>
              <w:t>3. mw. mr. C. Caminada</w:t>
            </w:r>
            <w:r w:rsidRPr="006637FF">
              <w:rPr>
                <w:szCs w:val="24"/>
              </w:rPr>
              <w:t xml:space="preserve">  </w:t>
            </w:r>
          </w:p>
        </w:tc>
      </w:tr>
      <w:tr w:rsidRPr="006637FF" w:rsidR="0086730E" w:rsidTr="009D46AA">
        <w:trPr>
          <w:trHeight w:val="146"/>
        </w:trPr>
        <w:tc>
          <w:tcPr>
            <w:tcW w:w="1435" w:type="pct"/>
            <w:tcBorders>
              <w:top w:val="nil"/>
              <w:left w:val="nil"/>
              <w:bottom w:val="nil"/>
              <w:right w:val="nil"/>
            </w:tcBorders>
          </w:tcPr>
          <w:p w:rsidRPr="006637FF" w:rsidR="0086730E" w:rsidP="006637FF" w:rsidRDefault="0086730E">
            <w:pPr>
              <w:rPr>
                <w:b/>
                <w:color w:val="000000"/>
                <w:szCs w:val="24"/>
              </w:rPr>
            </w:pPr>
          </w:p>
        </w:tc>
        <w:tc>
          <w:tcPr>
            <w:tcW w:w="78" w:type="pct"/>
            <w:tcBorders>
              <w:top w:val="nil"/>
              <w:left w:val="nil"/>
              <w:bottom w:val="nil"/>
              <w:right w:val="nil"/>
            </w:tcBorders>
          </w:tcPr>
          <w:p w:rsidRPr="006637FF" w:rsidR="0086730E" w:rsidP="006637FF" w:rsidRDefault="0086730E">
            <w:pPr>
              <w:rPr>
                <w:szCs w:val="24"/>
              </w:rPr>
            </w:pPr>
          </w:p>
        </w:tc>
        <w:tc>
          <w:tcPr>
            <w:tcW w:w="3487" w:type="pct"/>
            <w:tcBorders>
              <w:top w:val="nil"/>
              <w:left w:val="nil"/>
              <w:bottom w:val="nil"/>
              <w:right w:val="nil"/>
            </w:tcBorders>
          </w:tcPr>
          <w:p w:rsidRPr="006637FF" w:rsidR="0086730E" w:rsidP="006637FF" w:rsidRDefault="0086730E">
            <w:pPr>
              <w:rPr>
                <w:b/>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F51D5C">
            <w:pPr>
              <w:rPr>
                <w:b/>
                <w:color w:val="000000"/>
                <w:szCs w:val="24"/>
              </w:rPr>
            </w:pPr>
            <w:r>
              <w:rPr>
                <w:b/>
                <w:color w:val="000000"/>
                <w:szCs w:val="24"/>
              </w:rPr>
              <w:t>Stemmingen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86730E">
            <w:pPr>
              <w:rPr>
                <w:szCs w:val="24"/>
              </w:rPr>
            </w:pPr>
            <w:r>
              <w:rPr>
                <w:szCs w:val="24"/>
              </w:rPr>
              <w:t xml:space="preserve">18a. </w:t>
            </w:r>
            <w:r w:rsidRPr="006637FF" w:rsidR="00F51D5C">
              <w:rPr>
                <w:szCs w:val="24"/>
              </w:rPr>
              <w:t>Stemmingen in verband met:</w:t>
            </w:r>
          </w:p>
        </w:tc>
      </w:tr>
      <w:tr w:rsidRPr="006637FF" w:rsidR="0086730E" w:rsidTr="009D46AA">
        <w:trPr>
          <w:trHeight w:val="146"/>
        </w:trPr>
        <w:tc>
          <w:tcPr>
            <w:tcW w:w="1435" w:type="pct"/>
            <w:tcBorders>
              <w:top w:val="nil"/>
              <w:left w:val="nil"/>
              <w:bottom w:val="nil"/>
              <w:right w:val="nil"/>
            </w:tcBorders>
          </w:tcPr>
          <w:p w:rsidRPr="006637FF" w:rsidR="0086730E" w:rsidP="006637FF" w:rsidRDefault="00F51D5C">
            <w:pPr>
              <w:rPr>
                <w:b/>
                <w:color w:val="000000"/>
                <w:szCs w:val="24"/>
              </w:rPr>
            </w:pPr>
            <w:r>
              <w:rPr>
                <w:b/>
                <w:color w:val="000000"/>
                <w:szCs w:val="24"/>
              </w:rPr>
              <w:t>33 785, nr. 21</w:t>
            </w:r>
          </w:p>
        </w:tc>
        <w:tc>
          <w:tcPr>
            <w:tcW w:w="78" w:type="pct"/>
            <w:tcBorders>
              <w:top w:val="nil"/>
              <w:left w:val="nil"/>
              <w:bottom w:val="nil"/>
              <w:right w:val="nil"/>
            </w:tcBorders>
          </w:tcPr>
          <w:p w:rsidRPr="006637FF" w:rsidR="0086730E" w:rsidP="006637FF" w:rsidRDefault="0086730E">
            <w:pPr>
              <w:rPr>
                <w:szCs w:val="24"/>
              </w:rPr>
            </w:pPr>
          </w:p>
        </w:tc>
        <w:tc>
          <w:tcPr>
            <w:tcW w:w="3487" w:type="pct"/>
            <w:tcBorders>
              <w:top w:val="nil"/>
              <w:left w:val="nil"/>
              <w:bottom w:val="nil"/>
              <w:right w:val="nil"/>
            </w:tcBorders>
          </w:tcPr>
          <w:p w:rsidR="0086730E" w:rsidP="00F51D5C" w:rsidRDefault="00F51D5C">
            <w:pPr>
              <w:rPr>
                <w:szCs w:val="24"/>
              </w:rPr>
            </w:pPr>
            <w:r w:rsidRPr="006637FF">
              <w:rPr>
                <w:szCs w:val="24"/>
              </w:rPr>
              <w:t xml:space="preserve">Brief van de vaste commissie voor Justitie en Veiligheid over het opmaken van een voordracht van drie kandidaten ter vervulling van een vacature van raadsheer in de </w:t>
            </w:r>
            <w:r>
              <w:rPr>
                <w:szCs w:val="24"/>
              </w:rPr>
              <w:t>strafkamer</w:t>
            </w:r>
            <w:r w:rsidRPr="006637FF">
              <w:rPr>
                <w:szCs w:val="24"/>
              </w:rPr>
              <w:t xml:space="preserve"> van de Hoge Raad</w:t>
            </w:r>
          </w:p>
        </w:tc>
      </w:tr>
      <w:tr w:rsidRPr="006637FF" w:rsidR="00A56DE0" w:rsidTr="009D46AA">
        <w:trPr>
          <w:trHeight w:val="146"/>
        </w:trPr>
        <w:tc>
          <w:tcPr>
            <w:tcW w:w="1435" w:type="pct"/>
            <w:tcBorders>
              <w:top w:val="nil"/>
              <w:left w:val="nil"/>
              <w:bottom w:val="nil"/>
              <w:right w:val="nil"/>
            </w:tcBorders>
          </w:tcPr>
          <w:p w:rsidRPr="006637FF"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6637FF" w:rsidR="00A56DE0" w:rsidP="006637FF" w:rsidRDefault="00A56DE0">
            <w:pPr>
              <w:rPr>
                <w:szCs w:val="24"/>
              </w:rPr>
            </w:pPr>
          </w:p>
        </w:tc>
      </w:tr>
      <w:tr w:rsidRPr="006637FF" w:rsidR="00A56DE0" w:rsidTr="009D46AA">
        <w:trPr>
          <w:trHeight w:val="146"/>
        </w:trPr>
        <w:tc>
          <w:tcPr>
            <w:tcW w:w="1435" w:type="pct"/>
            <w:tcBorders>
              <w:top w:val="nil"/>
              <w:left w:val="nil"/>
              <w:bottom w:val="nil"/>
              <w:right w:val="nil"/>
            </w:tcBorders>
          </w:tcPr>
          <w:p w:rsidRPr="006637FF"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6637FF" w:rsidR="00A56DE0" w:rsidP="00A56DE0" w:rsidRDefault="00A56DE0">
            <w:pPr>
              <w:rPr>
                <w:szCs w:val="24"/>
              </w:rPr>
            </w:pPr>
            <w:r w:rsidRPr="00A56DE0">
              <w:rPr>
                <w:b/>
                <w:szCs w:val="24"/>
              </w:rPr>
              <w:t>De Voorzitter: de fractie van de PVV verzoekt om een schriftelijke stemming over positie</w:t>
            </w:r>
            <w:r>
              <w:rPr>
                <w:b/>
                <w:szCs w:val="24"/>
              </w:rPr>
              <w:t xml:space="preserve"> 1</w:t>
            </w:r>
            <w:r w:rsidRPr="00A56DE0">
              <w:rPr>
                <w:b/>
                <w:szCs w:val="24"/>
              </w:rPr>
              <w:t xml:space="preserve"> op de voordracht.</w:t>
            </w:r>
          </w:p>
        </w:tc>
      </w:tr>
      <w:tr w:rsidRPr="006637FF" w:rsidR="00F51D5C" w:rsidTr="009D46AA">
        <w:trPr>
          <w:trHeight w:val="146"/>
        </w:trPr>
        <w:tc>
          <w:tcPr>
            <w:tcW w:w="1435" w:type="pct"/>
            <w:tcBorders>
              <w:top w:val="nil"/>
              <w:left w:val="nil"/>
              <w:bottom w:val="nil"/>
              <w:right w:val="nil"/>
            </w:tcBorders>
          </w:tcPr>
          <w:p w:rsidRPr="006637FF" w:rsidR="00F51D5C" w:rsidP="006637FF" w:rsidRDefault="00F51D5C">
            <w:pPr>
              <w:rPr>
                <w:b/>
                <w:color w:val="000000"/>
                <w:szCs w:val="24"/>
              </w:rPr>
            </w:pPr>
          </w:p>
        </w:tc>
        <w:tc>
          <w:tcPr>
            <w:tcW w:w="78" w:type="pct"/>
            <w:tcBorders>
              <w:top w:val="nil"/>
              <w:left w:val="nil"/>
              <w:bottom w:val="nil"/>
              <w:right w:val="nil"/>
            </w:tcBorders>
          </w:tcPr>
          <w:p w:rsidRPr="006637FF" w:rsidR="00F51D5C" w:rsidP="006637FF" w:rsidRDefault="00F51D5C">
            <w:pPr>
              <w:rPr>
                <w:szCs w:val="24"/>
              </w:rPr>
            </w:pPr>
          </w:p>
        </w:tc>
        <w:tc>
          <w:tcPr>
            <w:tcW w:w="3487" w:type="pct"/>
            <w:tcBorders>
              <w:top w:val="nil"/>
              <w:left w:val="nil"/>
              <w:bottom w:val="nil"/>
              <w:right w:val="nil"/>
            </w:tcBorders>
          </w:tcPr>
          <w:p w:rsidRPr="006637FF" w:rsidR="00F51D5C" w:rsidP="006637FF" w:rsidRDefault="00F51D5C">
            <w:pPr>
              <w:rPr>
                <w:szCs w:val="24"/>
              </w:rPr>
            </w:pPr>
          </w:p>
        </w:tc>
      </w:tr>
      <w:tr w:rsidRPr="006637FF" w:rsidR="00F7174D" w:rsidTr="009D46AA">
        <w:trPr>
          <w:trHeight w:val="146"/>
        </w:trPr>
        <w:tc>
          <w:tcPr>
            <w:tcW w:w="1435" w:type="pct"/>
            <w:tcBorders>
              <w:top w:val="nil"/>
              <w:left w:val="nil"/>
              <w:bottom w:val="nil"/>
              <w:right w:val="nil"/>
            </w:tcBorders>
          </w:tcPr>
          <w:p w:rsidRPr="006637FF" w:rsidR="00F7174D" w:rsidP="006637FF" w:rsidRDefault="00F7174D">
            <w:pPr>
              <w:rPr>
                <w:b/>
                <w:color w:val="000000"/>
                <w:szCs w:val="24"/>
              </w:rPr>
            </w:pPr>
          </w:p>
        </w:tc>
        <w:tc>
          <w:tcPr>
            <w:tcW w:w="78" w:type="pct"/>
            <w:tcBorders>
              <w:top w:val="nil"/>
              <w:left w:val="nil"/>
              <w:bottom w:val="nil"/>
              <w:right w:val="nil"/>
            </w:tcBorders>
          </w:tcPr>
          <w:p w:rsidRPr="006637FF" w:rsidR="00F7174D" w:rsidP="006637FF" w:rsidRDefault="00F7174D">
            <w:pPr>
              <w:rPr>
                <w:szCs w:val="24"/>
              </w:rPr>
            </w:pPr>
          </w:p>
        </w:tc>
        <w:tc>
          <w:tcPr>
            <w:tcW w:w="3487" w:type="pct"/>
            <w:tcBorders>
              <w:top w:val="nil"/>
              <w:left w:val="nil"/>
              <w:bottom w:val="nil"/>
              <w:right w:val="nil"/>
            </w:tcBorders>
          </w:tcPr>
          <w:p w:rsidRPr="006637FF" w:rsidR="00F7174D" w:rsidP="00F7174D" w:rsidRDefault="00F7174D">
            <w:pPr>
              <w:rPr>
                <w:b/>
                <w:szCs w:val="24"/>
              </w:rPr>
            </w:pPr>
            <w:r>
              <w:rPr>
                <w:b/>
                <w:szCs w:val="24"/>
              </w:rPr>
              <w:t>1</w:t>
            </w:r>
            <w:r w:rsidRPr="006637FF">
              <w:rPr>
                <w:b/>
                <w:szCs w:val="24"/>
              </w:rPr>
              <w:t>. dhr. mr. M. Kuijer</w:t>
            </w:r>
          </w:p>
          <w:p w:rsidR="00F7174D" w:rsidP="00F7174D" w:rsidRDefault="00F7174D">
            <w:pPr>
              <w:rPr>
                <w:b/>
                <w:szCs w:val="24"/>
              </w:rPr>
            </w:pPr>
            <w:r>
              <w:rPr>
                <w:b/>
                <w:szCs w:val="24"/>
              </w:rPr>
              <w:t>2</w:t>
            </w:r>
            <w:r w:rsidRPr="006637FF">
              <w:rPr>
                <w:b/>
                <w:szCs w:val="24"/>
              </w:rPr>
              <w:t>. mw. mr. C. Caminada</w:t>
            </w:r>
          </w:p>
          <w:p w:rsidRPr="00F7174D" w:rsidR="007A42F0" w:rsidP="00F7174D" w:rsidRDefault="007A42F0">
            <w:pPr>
              <w:rPr>
                <w:b/>
                <w:szCs w:val="24"/>
              </w:rPr>
            </w:pPr>
            <w:r>
              <w:rPr>
                <w:b/>
                <w:szCs w:val="24"/>
              </w:rPr>
              <w:t>3</w:t>
            </w:r>
            <w:r w:rsidRPr="006637FF">
              <w:rPr>
                <w:b/>
                <w:szCs w:val="24"/>
              </w:rPr>
              <w:t>. dhr. mr. F.J.P. Lock</w:t>
            </w:r>
          </w:p>
        </w:tc>
      </w:tr>
      <w:tr w:rsidRPr="006637FF" w:rsidR="00F51D5C" w:rsidTr="009D46AA">
        <w:trPr>
          <w:trHeight w:val="146"/>
        </w:trPr>
        <w:tc>
          <w:tcPr>
            <w:tcW w:w="1435" w:type="pct"/>
            <w:tcBorders>
              <w:top w:val="nil"/>
              <w:left w:val="nil"/>
              <w:bottom w:val="nil"/>
              <w:right w:val="nil"/>
            </w:tcBorders>
          </w:tcPr>
          <w:p w:rsidRPr="006637FF" w:rsidR="00F51D5C" w:rsidP="006637FF" w:rsidRDefault="00F51D5C">
            <w:pPr>
              <w:rPr>
                <w:b/>
                <w:color w:val="000000"/>
                <w:szCs w:val="24"/>
              </w:rPr>
            </w:pPr>
          </w:p>
        </w:tc>
        <w:tc>
          <w:tcPr>
            <w:tcW w:w="78" w:type="pct"/>
            <w:tcBorders>
              <w:top w:val="nil"/>
              <w:left w:val="nil"/>
              <w:bottom w:val="nil"/>
              <w:right w:val="nil"/>
            </w:tcBorders>
          </w:tcPr>
          <w:p w:rsidRPr="006637FF" w:rsidR="00F51D5C" w:rsidP="006637FF" w:rsidRDefault="00F51D5C">
            <w:pPr>
              <w:rPr>
                <w:szCs w:val="24"/>
              </w:rPr>
            </w:pPr>
          </w:p>
        </w:tc>
        <w:tc>
          <w:tcPr>
            <w:tcW w:w="3487" w:type="pct"/>
            <w:tcBorders>
              <w:top w:val="nil"/>
              <w:left w:val="nil"/>
              <w:bottom w:val="nil"/>
              <w:right w:val="nil"/>
            </w:tcBorders>
          </w:tcPr>
          <w:p w:rsidRPr="006637FF" w:rsidR="00F51D5C" w:rsidP="006637FF" w:rsidRDefault="00F51D5C">
            <w:pPr>
              <w:rPr>
                <w:szCs w:val="24"/>
              </w:rPr>
            </w:pPr>
          </w:p>
        </w:tc>
      </w:tr>
      <w:tr w:rsidRPr="006637FF" w:rsidR="0086730E" w:rsidTr="009D46AA">
        <w:trPr>
          <w:trHeight w:val="146"/>
        </w:trPr>
        <w:tc>
          <w:tcPr>
            <w:tcW w:w="1435" w:type="pct"/>
            <w:tcBorders>
              <w:top w:val="nil"/>
              <w:left w:val="nil"/>
              <w:bottom w:val="nil"/>
              <w:right w:val="nil"/>
            </w:tcBorders>
          </w:tcPr>
          <w:p w:rsidRPr="006637FF" w:rsidR="0086730E" w:rsidP="00F7174D" w:rsidRDefault="00F7174D">
            <w:pPr>
              <w:rPr>
                <w:b/>
                <w:color w:val="000000"/>
                <w:szCs w:val="24"/>
              </w:rPr>
            </w:pPr>
            <w:r>
              <w:rPr>
                <w:b/>
                <w:color w:val="000000"/>
                <w:szCs w:val="24"/>
              </w:rPr>
              <w:t>Stemmingen</w:t>
            </w:r>
          </w:p>
        </w:tc>
        <w:tc>
          <w:tcPr>
            <w:tcW w:w="78" w:type="pct"/>
            <w:tcBorders>
              <w:top w:val="nil"/>
              <w:left w:val="nil"/>
              <w:bottom w:val="nil"/>
              <w:right w:val="nil"/>
            </w:tcBorders>
          </w:tcPr>
          <w:p w:rsidRPr="006637FF" w:rsidR="0086730E" w:rsidP="006637FF" w:rsidRDefault="0086730E">
            <w:pPr>
              <w:rPr>
                <w:szCs w:val="24"/>
              </w:rPr>
            </w:pPr>
          </w:p>
        </w:tc>
        <w:tc>
          <w:tcPr>
            <w:tcW w:w="3487" w:type="pct"/>
            <w:tcBorders>
              <w:top w:val="nil"/>
              <w:left w:val="nil"/>
              <w:bottom w:val="nil"/>
              <w:right w:val="nil"/>
            </w:tcBorders>
          </w:tcPr>
          <w:p w:rsidR="0086730E" w:rsidP="006637FF" w:rsidRDefault="0086730E">
            <w:pPr>
              <w:rPr>
                <w:szCs w:val="24"/>
              </w:rPr>
            </w:pPr>
            <w:r>
              <w:rPr>
                <w:szCs w:val="24"/>
              </w:rPr>
              <w:t>18b.</w:t>
            </w:r>
            <w:r w:rsidR="00F51D5C">
              <w:rPr>
                <w:szCs w:val="24"/>
              </w:rPr>
              <w:t xml:space="preserve"> </w:t>
            </w:r>
            <w:r w:rsidRPr="006637FF" w:rsidR="00F51D5C">
              <w:rPr>
                <w:szCs w:val="24"/>
              </w:rPr>
              <w:t>Stemmingen in verband met:</w:t>
            </w:r>
          </w:p>
        </w:tc>
      </w:tr>
      <w:tr w:rsidRPr="006637FF" w:rsidR="0086730E" w:rsidTr="009D46AA">
        <w:trPr>
          <w:trHeight w:val="146"/>
        </w:trPr>
        <w:tc>
          <w:tcPr>
            <w:tcW w:w="1435" w:type="pct"/>
            <w:tcBorders>
              <w:top w:val="nil"/>
              <w:left w:val="nil"/>
              <w:bottom w:val="nil"/>
              <w:right w:val="nil"/>
            </w:tcBorders>
          </w:tcPr>
          <w:p w:rsidRPr="006637FF" w:rsidR="0086730E" w:rsidP="006637FF" w:rsidRDefault="00F7174D">
            <w:pPr>
              <w:rPr>
                <w:b/>
                <w:color w:val="000000"/>
                <w:szCs w:val="24"/>
              </w:rPr>
            </w:pPr>
            <w:r>
              <w:rPr>
                <w:b/>
                <w:color w:val="000000"/>
                <w:szCs w:val="24"/>
              </w:rPr>
              <w:t>33 785, nr. 22</w:t>
            </w:r>
          </w:p>
        </w:tc>
        <w:tc>
          <w:tcPr>
            <w:tcW w:w="78" w:type="pct"/>
            <w:tcBorders>
              <w:top w:val="nil"/>
              <w:left w:val="nil"/>
              <w:bottom w:val="nil"/>
              <w:right w:val="nil"/>
            </w:tcBorders>
          </w:tcPr>
          <w:p w:rsidRPr="006637FF" w:rsidR="0086730E" w:rsidP="006637FF" w:rsidRDefault="0086730E">
            <w:pPr>
              <w:rPr>
                <w:szCs w:val="24"/>
              </w:rPr>
            </w:pPr>
          </w:p>
        </w:tc>
        <w:tc>
          <w:tcPr>
            <w:tcW w:w="3487" w:type="pct"/>
            <w:tcBorders>
              <w:top w:val="nil"/>
              <w:left w:val="nil"/>
              <w:bottom w:val="nil"/>
              <w:right w:val="nil"/>
            </w:tcBorders>
          </w:tcPr>
          <w:p w:rsidR="0086730E" w:rsidP="00F51D5C" w:rsidRDefault="00F51D5C">
            <w:pPr>
              <w:rPr>
                <w:szCs w:val="24"/>
              </w:rPr>
            </w:pPr>
            <w:r w:rsidRPr="006637FF">
              <w:rPr>
                <w:szCs w:val="24"/>
              </w:rPr>
              <w:t xml:space="preserve">Brief van de vaste commissie voor Justitie en Veiligheid over het opmaken van een voordracht van drie kandidaten ter vervulling van een vacature van raadsheer in de </w:t>
            </w:r>
            <w:r>
              <w:rPr>
                <w:szCs w:val="24"/>
              </w:rPr>
              <w:t xml:space="preserve">strafkamer </w:t>
            </w:r>
            <w:r w:rsidRPr="006637FF">
              <w:rPr>
                <w:szCs w:val="24"/>
              </w:rPr>
              <w:t>van de Hoge Raad</w:t>
            </w:r>
          </w:p>
        </w:tc>
      </w:tr>
      <w:tr w:rsidRPr="006637FF" w:rsidR="00A56DE0" w:rsidTr="009D46AA">
        <w:trPr>
          <w:trHeight w:val="146"/>
        </w:trPr>
        <w:tc>
          <w:tcPr>
            <w:tcW w:w="1435" w:type="pct"/>
            <w:tcBorders>
              <w:top w:val="nil"/>
              <w:left w:val="nil"/>
              <w:bottom w:val="nil"/>
              <w:right w:val="nil"/>
            </w:tcBorders>
          </w:tcPr>
          <w:p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6637FF" w:rsidR="00A56DE0" w:rsidP="00F51D5C" w:rsidRDefault="00A56DE0">
            <w:pPr>
              <w:rPr>
                <w:szCs w:val="24"/>
              </w:rPr>
            </w:pPr>
          </w:p>
        </w:tc>
      </w:tr>
      <w:tr w:rsidRPr="006637FF" w:rsidR="00A56DE0" w:rsidTr="009D46AA">
        <w:trPr>
          <w:trHeight w:val="146"/>
        </w:trPr>
        <w:tc>
          <w:tcPr>
            <w:tcW w:w="1435" w:type="pct"/>
            <w:tcBorders>
              <w:top w:val="nil"/>
              <w:left w:val="nil"/>
              <w:bottom w:val="nil"/>
              <w:right w:val="nil"/>
            </w:tcBorders>
          </w:tcPr>
          <w:p w:rsidR="00A56DE0" w:rsidP="006637FF" w:rsidRDefault="00A56DE0">
            <w:pPr>
              <w:rPr>
                <w:b/>
                <w:color w:val="000000"/>
                <w:szCs w:val="24"/>
              </w:rPr>
            </w:pPr>
          </w:p>
        </w:tc>
        <w:tc>
          <w:tcPr>
            <w:tcW w:w="78" w:type="pct"/>
            <w:tcBorders>
              <w:top w:val="nil"/>
              <w:left w:val="nil"/>
              <w:bottom w:val="nil"/>
              <w:right w:val="nil"/>
            </w:tcBorders>
          </w:tcPr>
          <w:p w:rsidRPr="006637FF" w:rsidR="00A56DE0" w:rsidP="006637FF" w:rsidRDefault="00A56DE0">
            <w:pPr>
              <w:rPr>
                <w:szCs w:val="24"/>
              </w:rPr>
            </w:pPr>
          </w:p>
        </w:tc>
        <w:tc>
          <w:tcPr>
            <w:tcW w:w="3487" w:type="pct"/>
            <w:tcBorders>
              <w:top w:val="nil"/>
              <w:left w:val="nil"/>
              <w:bottom w:val="nil"/>
              <w:right w:val="nil"/>
            </w:tcBorders>
          </w:tcPr>
          <w:p w:rsidRPr="00A56DE0" w:rsidR="00A56DE0" w:rsidP="00F51D5C" w:rsidRDefault="00A56DE0">
            <w:pPr>
              <w:rPr>
                <w:b/>
                <w:szCs w:val="24"/>
              </w:rPr>
            </w:pPr>
            <w:r w:rsidRPr="00A56DE0">
              <w:rPr>
                <w:b/>
                <w:szCs w:val="24"/>
              </w:rPr>
              <w:t>De Voorzitter: de fractie van de PVV verzoekt om een schriftelijke stemming over positie 2 op de voordracht.</w:t>
            </w:r>
          </w:p>
        </w:tc>
      </w:tr>
      <w:tr w:rsidRPr="006637FF" w:rsidR="00F7174D" w:rsidTr="009D46AA">
        <w:trPr>
          <w:trHeight w:val="146"/>
        </w:trPr>
        <w:tc>
          <w:tcPr>
            <w:tcW w:w="1435" w:type="pct"/>
            <w:tcBorders>
              <w:top w:val="nil"/>
              <w:left w:val="nil"/>
              <w:bottom w:val="nil"/>
              <w:right w:val="nil"/>
            </w:tcBorders>
          </w:tcPr>
          <w:p w:rsidR="00F7174D" w:rsidP="006637FF" w:rsidRDefault="00F7174D">
            <w:pPr>
              <w:rPr>
                <w:b/>
                <w:color w:val="000000"/>
                <w:szCs w:val="24"/>
              </w:rPr>
            </w:pPr>
          </w:p>
        </w:tc>
        <w:tc>
          <w:tcPr>
            <w:tcW w:w="78" w:type="pct"/>
            <w:tcBorders>
              <w:top w:val="nil"/>
              <w:left w:val="nil"/>
              <w:bottom w:val="nil"/>
              <w:right w:val="nil"/>
            </w:tcBorders>
          </w:tcPr>
          <w:p w:rsidRPr="006637FF" w:rsidR="00F7174D" w:rsidP="006637FF" w:rsidRDefault="00F7174D">
            <w:pPr>
              <w:rPr>
                <w:szCs w:val="24"/>
              </w:rPr>
            </w:pPr>
          </w:p>
        </w:tc>
        <w:tc>
          <w:tcPr>
            <w:tcW w:w="3487" w:type="pct"/>
            <w:tcBorders>
              <w:top w:val="nil"/>
              <w:left w:val="nil"/>
              <w:bottom w:val="nil"/>
              <w:right w:val="nil"/>
            </w:tcBorders>
          </w:tcPr>
          <w:p w:rsidRPr="006637FF" w:rsidR="00F7174D" w:rsidP="00F51D5C" w:rsidRDefault="00F7174D">
            <w:pPr>
              <w:rPr>
                <w:szCs w:val="24"/>
              </w:rPr>
            </w:pPr>
          </w:p>
        </w:tc>
      </w:tr>
      <w:tr w:rsidRPr="006637FF" w:rsidR="00F7174D" w:rsidTr="009D46AA">
        <w:trPr>
          <w:trHeight w:val="146"/>
        </w:trPr>
        <w:tc>
          <w:tcPr>
            <w:tcW w:w="1435" w:type="pct"/>
            <w:tcBorders>
              <w:top w:val="nil"/>
              <w:left w:val="nil"/>
              <w:bottom w:val="nil"/>
              <w:right w:val="nil"/>
            </w:tcBorders>
          </w:tcPr>
          <w:p w:rsidR="00F7174D" w:rsidP="006637FF" w:rsidRDefault="00F7174D">
            <w:pPr>
              <w:rPr>
                <w:b/>
                <w:color w:val="000000"/>
                <w:szCs w:val="24"/>
              </w:rPr>
            </w:pPr>
          </w:p>
        </w:tc>
        <w:tc>
          <w:tcPr>
            <w:tcW w:w="78" w:type="pct"/>
            <w:tcBorders>
              <w:top w:val="nil"/>
              <w:left w:val="nil"/>
              <w:bottom w:val="nil"/>
              <w:right w:val="nil"/>
            </w:tcBorders>
          </w:tcPr>
          <w:p w:rsidRPr="006637FF" w:rsidR="00F7174D" w:rsidP="006637FF" w:rsidRDefault="00F7174D">
            <w:pPr>
              <w:rPr>
                <w:szCs w:val="24"/>
              </w:rPr>
            </w:pPr>
          </w:p>
        </w:tc>
        <w:tc>
          <w:tcPr>
            <w:tcW w:w="3487" w:type="pct"/>
            <w:tcBorders>
              <w:top w:val="nil"/>
              <w:left w:val="nil"/>
              <w:bottom w:val="nil"/>
              <w:right w:val="nil"/>
            </w:tcBorders>
          </w:tcPr>
          <w:p w:rsidR="007A42F0" w:rsidP="00F7174D" w:rsidRDefault="007A42F0">
            <w:pPr>
              <w:rPr>
                <w:b/>
                <w:szCs w:val="24"/>
              </w:rPr>
            </w:pPr>
            <w:r>
              <w:rPr>
                <w:b/>
                <w:szCs w:val="24"/>
              </w:rPr>
              <w:t>1</w:t>
            </w:r>
            <w:r w:rsidRPr="006637FF">
              <w:rPr>
                <w:b/>
                <w:szCs w:val="24"/>
              </w:rPr>
              <w:t>. mw. mr. C. Caminada</w:t>
            </w:r>
            <w:r>
              <w:rPr>
                <w:b/>
                <w:szCs w:val="24"/>
              </w:rPr>
              <w:t xml:space="preserve"> </w:t>
            </w:r>
          </w:p>
          <w:p w:rsidRPr="006637FF" w:rsidR="007A42F0" w:rsidP="007A42F0" w:rsidRDefault="007A42F0">
            <w:pPr>
              <w:rPr>
                <w:b/>
                <w:szCs w:val="24"/>
              </w:rPr>
            </w:pPr>
            <w:r>
              <w:rPr>
                <w:b/>
                <w:szCs w:val="24"/>
              </w:rPr>
              <w:t>2</w:t>
            </w:r>
            <w:r w:rsidRPr="006637FF">
              <w:rPr>
                <w:b/>
                <w:szCs w:val="24"/>
              </w:rPr>
              <w:t>. dhr. mr. M. Kuijer</w:t>
            </w:r>
          </w:p>
          <w:p w:rsidRPr="006637FF" w:rsidR="00F7174D" w:rsidP="007A42F0" w:rsidRDefault="00F7174D">
            <w:pPr>
              <w:rPr>
                <w:szCs w:val="24"/>
              </w:rPr>
            </w:pPr>
            <w:r>
              <w:rPr>
                <w:b/>
                <w:szCs w:val="24"/>
              </w:rPr>
              <w:t>3</w:t>
            </w:r>
            <w:r w:rsidRPr="006637FF">
              <w:rPr>
                <w:b/>
                <w:szCs w:val="24"/>
              </w:rPr>
              <w:t>. dhr. mr. F.J.P. Lock</w:t>
            </w:r>
          </w:p>
        </w:tc>
      </w:tr>
      <w:tr w:rsidRPr="006637FF" w:rsidR="00F7174D" w:rsidTr="009D46AA">
        <w:trPr>
          <w:trHeight w:val="146"/>
        </w:trPr>
        <w:tc>
          <w:tcPr>
            <w:tcW w:w="1435" w:type="pct"/>
            <w:tcBorders>
              <w:top w:val="nil"/>
              <w:left w:val="nil"/>
              <w:bottom w:val="nil"/>
              <w:right w:val="nil"/>
            </w:tcBorders>
          </w:tcPr>
          <w:p w:rsidR="00F7174D" w:rsidP="006637FF" w:rsidRDefault="00F7174D">
            <w:pPr>
              <w:rPr>
                <w:b/>
                <w:color w:val="000000"/>
                <w:szCs w:val="24"/>
              </w:rPr>
            </w:pPr>
          </w:p>
        </w:tc>
        <w:tc>
          <w:tcPr>
            <w:tcW w:w="78" w:type="pct"/>
            <w:tcBorders>
              <w:top w:val="nil"/>
              <w:left w:val="nil"/>
              <w:bottom w:val="nil"/>
              <w:right w:val="nil"/>
            </w:tcBorders>
          </w:tcPr>
          <w:p w:rsidRPr="006637FF" w:rsidR="00F7174D" w:rsidP="006637FF" w:rsidRDefault="00F7174D">
            <w:pPr>
              <w:rPr>
                <w:szCs w:val="24"/>
              </w:rPr>
            </w:pPr>
          </w:p>
        </w:tc>
        <w:tc>
          <w:tcPr>
            <w:tcW w:w="3487" w:type="pct"/>
            <w:tcBorders>
              <w:top w:val="nil"/>
              <w:left w:val="nil"/>
              <w:bottom w:val="nil"/>
              <w:right w:val="nil"/>
            </w:tcBorders>
          </w:tcPr>
          <w:p w:rsidRPr="006637FF" w:rsidR="00F7174D" w:rsidP="00F7174D" w:rsidRDefault="00F7174D">
            <w:pPr>
              <w:rPr>
                <w:b/>
                <w:szCs w:val="24"/>
              </w:rPr>
            </w:pP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 xml:space="preserve">Stemmingen </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19. Stemmingen over: moties ingediend bij het Verantwoordingsdebat</w:t>
            </w:r>
          </w:p>
        </w:tc>
      </w:tr>
      <w:tr w:rsidRPr="006637FF" w:rsidR="00C20B66" w:rsidTr="009D46AA">
        <w:trPr>
          <w:trHeight w:val="146"/>
        </w:trPr>
        <w:tc>
          <w:tcPr>
            <w:tcW w:w="1435" w:type="pct"/>
            <w:tcBorders>
              <w:top w:val="nil"/>
              <w:left w:val="nil"/>
              <w:bottom w:val="nil"/>
              <w:right w:val="nil"/>
            </w:tcBorders>
          </w:tcPr>
          <w:p w:rsidRPr="006637FF" w:rsidR="00C20B66" w:rsidP="006637FF" w:rsidRDefault="00C20B66">
            <w:pPr>
              <w:rPr>
                <w:b/>
                <w:color w:val="000000"/>
                <w:szCs w:val="24"/>
              </w:rPr>
            </w:pPr>
          </w:p>
        </w:tc>
        <w:tc>
          <w:tcPr>
            <w:tcW w:w="78" w:type="pct"/>
            <w:tcBorders>
              <w:top w:val="nil"/>
              <w:left w:val="nil"/>
              <w:bottom w:val="nil"/>
              <w:right w:val="nil"/>
            </w:tcBorders>
          </w:tcPr>
          <w:p w:rsidRPr="006637FF" w:rsidR="00C20B66" w:rsidP="006637FF" w:rsidRDefault="00C20B66">
            <w:pPr>
              <w:rPr>
                <w:szCs w:val="24"/>
              </w:rPr>
            </w:pPr>
          </w:p>
        </w:tc>
        <w:tc>
          <w:tcPr>
            <w:tcW w:w="3487" w:type="pct"/>
            <w:tcBorders>
              <w:top w:val="nil"/>
              <w:left w:val="nil"/>
              <w:bottom w:val="nil"/>
              <w:right w:val="nil"/>
            </w:tcBorders>
          </w:tcPr>
          <w:p w:rsidRPr="00C20B66" w:rsidR="00C20B66" w:rsidP="00432C39" w:rsidRDefault="00C20B66">
            <w:pPr>
              <w:rPr>
                <w:b/>
                <w:szCs w:val="24"/>
              </w:rPr>
            </w:pPr>
            <w:r w:rsidRPr="00C20B66">
              <w:rPr>
                <w:b/>
                <w:szCs w:val="24"/>
              </w:rPr>
              <w:t xml:space="preserve">De Voorzitter: dhr. Van Rooijen verzoekt zijn moties op stuk nrs. 27 en 28 aan te houden. </w:t>
            </w:r>
            <w:r w:rsidR="00432C39">
              <w:rPr>
                <w:b/>
                <w:szCs w:val="24"/>
              </w:rPr>
              <w:t>Dhr. Bruins wenst zijn motie op stuk nr. 2</w:t>
            </w:r>
            <w:r w:rsidRPr="00432C39" w:rsidR="00432C39">
              <w:rPr>
                <w:b/>
                <w:szCs w:val="24"/>
              </w:rPr>
              <w:t>1 te wijzigen. De gewijzigde motie is rondgedeeld. Ik neem aan dat wij daar nu over kunnen stemmen.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35 200, nr. 13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motie-Tony van Dijck/Wilders over terugdraaien van de btw-verhoging op boodschappen, de verhoging van de energiebelasting en afschaffen van het eigen risico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35 200, nr. 14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w:t>
            </w:r>
            <w:r w:rsidRPr="006637FF">
              <w:t xml:space="preserve">Tony van Dijck/Fritsma over intrekken van </w:t>
            </w:r>
            <w:r w:rsidRPr="006637FF">
              <w:rPr>
                <w:szCs w:val="24"/>
              </w:rPr>
              <w:t xml:space="preserve">de asielvergunningen van alle tot Nederland toegelaten Syriërs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r w:rsidRPr="006637FF">
              <w:rPr>
                <w:b/>
                <w:color w:val="000000"/>
                <w:szCs w:val="24"/>
              </w:rPr>
              <w:t>35 200, nr. 15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motie-Snels/Bruins over een commissie van mensen uit het bedrijfsleven en de accountancy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16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motie-Alkaya over aanvullende maatregelen om huishoudens te compenseren voor de in 2018 misgelopen koopkrachtgroei</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17</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motie-Alkaya over een groter deel van de bedrijfswinsten uitkeren aan werknemers</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18</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motie-Alkaya over in 2019 750 miljoen investeren in de jeugdzorg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19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motie-Nijboer over inzichtelijk maken wat incidentele en structurele componenten van de diverse mee-en tegenvallers zijn</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20</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motie-Bruins c.s. over de samenstelling van de Studiegroepen Begrotingsruimte en Duurzame Economische Groei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21</w:t>
            </w:r>
            <w:r w:rsidR="00432C39">
              <w:rPr>
                <w:b/>
                <w:color w:val="000000"/>
                <w:szCs w:val="24"/>
              </w:rPr>
              <w:t xml:space="preserve"> (gewijzigd)</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w:t>
            </w:r>
            <w:r w:rsidR="00432C39">
              <w:rPr>
                <w:szCs w:val="24"/>
              </w:rPr>
              <w:t xml:space="preserve">gewijzigde </w:t>
            </w:r>
            <w:r w:rsidRPr="006637FF">
              <w:rPr>
                <w:szCs w:val="24"/>
              </w:rPr>
              <w:t>motie-Bruins c.s. over uitbreiding van de taakopvatting van het BIT</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22</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motie-Van Raan/Thieme over het uitroepen van de </w:t>
            </w:r>
            <w:r w:rsidRPr="006637FF">
              <w:rPr>
                <w:szCs w:val="24"/>
              </w:rPr>
              <w:lastRenderedPageBreak/>
              <w:t>klimaatnoodtoestand</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lastRenderedPageBreak/>
              <w:t>35 200, nr. 23</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motie-Van Raan/Thieme over het uitroepen van de biodiversiteitsnoodtoestand</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24</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motie-Van Raan over wetenschappelijke bureaus vragen</w:t>
            </w:r>
          </w:p>
          <w:p w:rsidRPr="006637FF" w:rsidR="006637FF" w:rsidP="006637FF" w:rsidRDefault="006637FF">
            <w:pPr>
              <w:rPr>
                <w:szCs w:val="24"/>
              </w:rPr>
            </w:pPr>
            <w:r w:rsidRPr="006637FF">
              <w:rPr>
                <w:szCs w:val="24"/>
              </w:rPr>
              <w:t xml:space="preserve">integrale beleidsopties te ontwikkelen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25</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motie-Van Rooijen over benoemen van een tweede staatssecretaris van Financiën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26</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motie-Van Rooijen/Van Brenk over verhogen van het wettelijk minimumloon met 3% extra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27</w:t>
            </w:r>
            <w:r w:rsidR="00C20B66">
              <w:rPr>
                <w:b/>
                <w:color w:val="000000"/>
                <w:szCs w:val="24"/>
              </w:rPr>
              <w:t xml:space="preserve">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-de motie-Van Rooijen over dezelfde lange termijnrente voor pensioenfondsen als voor verzekeraars</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28</w:t>
            </w:r>
            <w:r w:rsidR="00C20B66">
              <w:rPr>
                <w:b/>
                <w:color w:val="000000"/>
                <w:szCs w:val="24"/>
              </w:rPr>
              <w:t xml:space="preserve"> (aangehouden)</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motie-Van Rooijen/Van Brenk over afschaffen van de fiscale RVU-heffing van 52% bij Defensie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r w:rsidRPr="006637FF">
              <w:rPr>
                <w:b/>
                <w:color w:val="000000"/>
                <w:szCs w:val="24"/>
              </w:rPr>
              <w:t>35 200, nr. 29</w:t>
            </w: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r w:rsidRPr="006637FF">
              <w:rPr>
                <w:szCs w:val="24"/>
              </w:rPr>
              <w:t xml:space="preserve">-de motie-Stoffer/Nijboer over volwaardig meenemen van de gevolgen van ons handelen voor ontwikkelingslanden </w:t>
            </w:r>
          </w:p>
        </w:tc>
      </w:tr>
      <w:tr w:rsidRPr="006637FF" w:rsidR="006637FF" w:rsidTr="009D46AA">
        <w:trPr>
          <w:trHeight w:val="146"/>
        </w:trPr>
        <w:tc>
          <w:tcPr>
            <w:tcW w:w="1435" w:type="pct"/>
            <w:tcBorders>
              <w:top w:val="nil"/>
              <w:left w:val="nil"/>
              <w:bottom w:val="nil"/>
              <w:right w:val="nil"/>
            </w:tcBorders>
          </w:tcPr>
          <w:p w:rsidRPr="006637FF" w:rsidR="006637FF" w:rsidP="006637FF" w:rsidRDefault="006637FF">
            <w:pPr>
              <w:rPr>
                <w:b/>
                <w:color w:val="000000"/>
                <w:szCs w:val="24"/>
              </w:rPr>
            </w:pPr>
          </w:p>
        </w:tc>
        <w:tc>
          <w:tcPr>
            <w:tcW w:w="78" w:type="pct"/>
            <w:tcBorders>
              <w:top w:val="nil"/>
              <w:left w:val="nil"/>
              <w:bottom w:val="nil"/>
              <w:right w:val="nil"/>
            </w:tcBorders>
          </w:tcPr>
          <w:p w:rsidRPr="006637FF" w:rsidR="006637FF" w:rsidP="006637FF" w:rsidRDefault="006637FF">
            <w:pPr>
              <w:rPr>
                <w:szCs w:val="24"/>
              </w:rPr>
            </w:pPr>
          </w:p>
        </w:tc>
        <w:tc>
          <w:tcPr>
            <w:tcW w:w="3487" w:type="pct"/>
            <w:tcBorders>
              <w:top w:val="nil"/>
              <w:left w:val="nil"/>
              <w:bottom w:val="nil"/>
              <w:right w:val="nil"/>
            </w:tcBorders>
          </w:tcPr>
          <w:p w:rsidRPr="006637FF" w:rsidR="006637FF" w:rsidP="006637FF" w:rsidRDefault="006637FF">
            <w:pPr>
              <w:rPr>
                <w:szCs w:val="24"/>
              </w:rPr>
            </w:pPr>
          </w:p>
        </w:tc>
      </w:tr>
    </w:tbl>
    <w:p w:rsidR="00631383" w:rsidP="0041189F" w:rsidRDefault="00631383">
      <w:pPr>
        <w:rPr>
          <w:sz w:val="32"/>
        </w:rPr>
      </w:pPr>
    </w:p>
    <w:sectPr w:rsidR="00631383"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1D4" w:rsidRDefault="00A851D4">
      <w:r>
        <w:separator/>
      </w:r>
    </w:p>
  </w:endnote>
  <w:endnote w:type="continuationSeparator" w:id="0">
    <w:p w:rsidR="00A851D4" w:rsidRDefault="00A8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D4" w:rsidRDefault="00A851D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851D4" w:rsidRDefault="00A851D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D4" w:rsidRDefault="00A851D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4B03">
      <w:rPr>
        <w:rStyle w:val="Paginanummer"/>
        <w:noProof/>
      </w:rPr>
      <w:t>3</w:t>
    </w:r>
    <w:r>
      <w:rPr>
        <w:rStyle w:val="Paginanummer"/>
      </w:rPr>
      <w:fldChar w:fldCharType="end"/>
    </w:r>
  </w:p>
  <w:p w:rsidR="00A851D4" w:rsidRDefault="00A851D4">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1D4" w:rsidRDefault="00A851D4">
      <w:r>
        <w:separator/>
      </w:r>
    </w:p>
  </w:footnote>
  <w:footnote w:type="continuationSeparator" w:id="0">
    <w:p w:rsidR="00A851D4" w:rsidRDefault="00A85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E4B728"/>
    <w:lvl w:ilvl="0">
      <w:start w:val="1"/>
      <w:numFmt w:val="decimal"/>
      <w:lvlText w:val="%1."/>
      <w:lvlJc w:val="left"/>
      <w:pPr>
        <w:tabs>
          <w:tab w:val="num" w:pos="1492"/>
        </w:tabs>
        <w:ind w:left="1492" w:hanging="360"/>
      </w:pPr>
    </w:lvl>
  </w:abstractNum>
  <w:abstractNum w:abstractNumId="1">
    <w:nsid w:val="FFFFFF7D"/>
    <w:multiLevelType w:val="singleLevel"/>
    <w:tmpl w:val="28F4A6C0"/>
    <w:lvl w:ilvl="0">
      <w:start w:val="1"/>
      <w:numFmt w:val="decimal"/>
      <w:lvlText w:val="%1."/>
      <w:lvlJc w:val="left"/>
      <w:pPr>
        <w:tabs>
          <w:tab w:val="num" w:pos="1209"/>
        </w:tabs>
        <w:ind w:left="1209" w:hanging="360"/>
      </w:pPr>
    </w:lvl>
  </w:abstractNum>
  <w:abstractNum w:abstractNumId="2">
    <w:nsid w:val="FFFFFF7E"/>
    <w:multiLevelType w:val="singleLevel"/>
    <w:tmpl w:val="690EBA7E"/>
    <w:lvl w:ilvl="0">
      <w:start w:val="1"/>
      <w:numFmt w:val="decimal"/>
      <w:lvlText w:val="%1."/>
      <w:lvlJc w:val="left"/>
      <w:pPr>
        <w:tabs>
          <w:tab w:val="num" w:pos="926"/>
        </w:tabs>
        <w:ind w:left="926" w:hanging="360"/>
      </w:pPr>
    </w:lvl>
  </w:abstractNum>
  <w:abstractNum w:abstractNumId="3">
    <w:nsid w:val="FFFFFF7F"/>
    <w:multiLevelType w:val="singleLevel"/>
    <w:tmpl w:val="8130A2B4"/>
    <w:lvl w:ilvl="0">
      <w:start w:val="1"/>
      <w:numFmt w:val="decimal"/>
      <w:lvlText w:val="%1."/>
      <w:lvlJc w:val="left"/>
      <w:pPr>
        <w:tabs>
          <w:tab w:val="num" w:pos="643"/>
        </w:tabs>
        <w:ind w:left="643" w:hanging="360"/>
      </w:pPr>
    </w:lvl>
  </w:abstractNum>
  <w:abstractNum w:abstractNumId="4">
    <w:nsid w:val="FFFFFF80"/>
    <w:multiLevelType w:val="singleLevel"/>
    <w:tmpl w:val="FBB05D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5269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2600B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903D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4809A0"/>
    <w:lvl w:ilvl="0">
      <w:start w:val="1"/>
      <w:numFmt w:val="decimal"/>
      <w:lvlText w:val="%1."/>
      <w:lvlJc w:val="left"/>
      <w:pPr>
        <w:tabs>
          <w:tab w:val="num" w:pos="360"/>
        </w:tabs>
        <w:ind w:left="360" w:hanging="360"/>
      </w:pPr>
    </w:lvl>
  </w:abstractNum>
  <w:abstractNum w:abstractNumId="9">
    <w:nsid w:val="FFFFFF89"/>
    <w:multiLevelType w:val="singleLevel"/>
    <w:tmpl w:val="016E4F1C"/>
    <w:lvl w:ilvl="0">
      <w:start w:val="1"/>
      <w:numFmt w:val="bullet"/>
      <w:lvlText w:val=""/>
      <w:lvlJc w:val="left"/>
      <w:pPr>
        <w:tabs>
          <w:tab w:val="num" w:pos="360"/>
        </w:tabs>
        <w:ind w:left="360" w:hanging="360"/>
      </w:pPr>
      <w:rPr>
        <w:rFonts w:ascii="Symbol" w:hAnsi="Symbol" w:hint="default"/>
      </w:rPr>
    </w:lvl>
  </w:abstractNum>
  <w:abstractNum w:abstractNumId="10">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11">
    <w:nsid w:val="27564079"/>
    <w:multiLevelType w:val="hybridMultilevel"/>
    <w:tmpl w:val="A6128B64"/>
    <w:lvl w:ilvl="0" w:tplc="6DC206EA">
      <w:start w:val="2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CD36077"/>
    <w:multiLevelType w:val="hybridMultilevel"/>
    <w:tmpl w:val="127C8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522FE3"/>
    <w:multiLevelType w:val="hybridMultilevel"/>
    <w:tmpl w:val="CFAEC644"/>
    <w:lvl w:ilvl="0" w:tplc="11A0658A">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4">
    <w:nsid w:val="44EE14D1"/>
    <w:multiLevelType w:val="hybridMultilevel"/>
    <w:tmpl w:val="72C690DC"/>
    <w:lvl w:ilvl="0" w:tplc="96FE2EB0">
      <w:start w:val="1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666021D"/>
    <w:multiLevelType w:val="hybridMultilevel"/>
    <w:tmpl w:val="A60EFE3E"/>
    <w:lvl w:ilvl="0" w:tplc="DB2A592E">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6">
    <w:nsid w:val="6A853CDF"/>
    <w:multiLevelType w:val="hybridMultilevel"/>
    <w:tmpl w:val="FC90A9A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1862"/>
    <w:rsid w:val="00001A98"/>
    <w:rsid w:val="00002111"/>
    <w:rsid w:val="00004B0B"/>
    <w:rsid w:val="00005D9C"/>
    <w:rsid w:val="00006528"/>
    <w:rsid w:val="0001032C"/>
    <w:rsid w:val="00011572"/>
    <w:rsid w:val="00013D1A"/>
    <w:rsid w:val="000158E9"/>
    <w:rsid w:val="00021FDA"/>
    <w:rsid w:val="0002411B"/>
    <w:rsid w:val="00024AEF"/>
    <w:rsid w:val="00024D76"/>
    <w:rsid w:val="000250BC"/>
    <w:rsid w:val="00025841"/>
    <w:rsid w:val="00030D44"/>
    <w:rsid w:val="00031CBD"/>
    <w:rsid w:val="000334A0"/>
    <w:rsid w:val="000349A4"/>
    <w:rsid w:val="00041985"/>
    <w:rsid w:val="00045640"/>
    <w:rsid w:val="00045EA5"/>
    <w:rsid w:val="0004681A"/>
    <w:rsid w:val="000469F5"/>
    <w:rsid w:val="00047040"/>
    <w:rsid w:val="00051FBA"/>
    <w:rsid w:val="000527DE"/>
    <w:rsid w:val="00055199"/>
    <w:rsid w:val="0005547E"/>
    <w:rsid w:val="000554CF"/>
    <w:rsid w:val="0005589C"/>
    <w:rsid w:val="00060A06"/>
    <w:rsid w:val="000610A1"/>
    <w:rsid w:val="00062C4C"/>
    <w:rsid w:val="00063F20"/>
    <w:rsid w:val="000651C4"/>
    <w:rsid w:val="00065960"/>
    <w:rsid w:val="00066994"/>
    <w:rsid w:val="00067955"/>
    <w:rsid w:val="000702D5"/>
    <w:rsid w:val="00073BF5"/>
    <w:rsid w:val="00073FD2"/>
    <w:rsid w:val="00074712"/>
    <w:rsid w:val="000748A5"/>
    <w:rsid w:val="000770A6"/>
    <w:rsid w:val="0008051E"/>
    <w:rsid w:val="00081881"/>
    <w:rsid w:val="00082C53"/>
    <w:rsid w:val="0008425E"/>
    <w:rsid w:val="00084BB6"/>
    <w:rsid w:val="00085A3C"/>
    <w:rsid w:val="0008605A"/>
    <w:rsid w:val="0008789C"/>
    <w:rsid w:val="00087A88"/>
    <w:rsid w:val="00091AEC"/>
    <w:rsid w:val="000922BA"/>
    <w:rsid w:val="00092FB9"/>
    <w:rsid w:val="00095664"/>
    <w:rsid w:val="00095A33"/>
    <w:rsid w:val="000A04AA"/>
    <w:rsid w:val="000A0833"/>
    <w:rsid w:val="000A0AC6"/>
    <w:rsid w:val="000A188D"/>
    <w:rsid w:val="000A2367"/>
    <w:rsid w:val="000A37F6"/>
    <w:rsid w:val="000A46CF"/>
    <w:rsid w:val="000A5006"/>
    <w:rsid w:val="000A6925"/>
    <w:rsid w:val="000B0135"/>
    <w:rsid w:val="000B4E50"/>
    <w:rsid w:val="000B4EE7"/>
    <w:rsid w:val="000B517C"/>
    <w:rsid w:val="000B531F"/>
    <w:rsid w:val="000B633E"/>
    <w:rsid w:val="000B67F2"/>
    <w:rsid w:val="000C0F4D"/>
    <w:rsid w:val="000C1771"/>
    <w:rsid w:val="000C2442"/>
    <w:rsid w:val="000C2CB6"/>
    <w:rsid w:val="000C485C"/>
    <w:rsid w:val="000C5B77"/>
    <w:rsid w:val="000C6CE9"/>
    <w:rsid w:val="000D1961"/>
    <w:rsid w:val="000D1EA0"/>
    <w:rsid w:val="000D3BFA"/>
    <w:rsid w:val="000D3EE8"/>
    <w:rsid w:val="000D7375"/>
    <w:rsid w:val="000D7528"/>
    <w:rsid w:val="000E2E82"/>
    <w:rsid w:val="000E36F1"/>
    <w:rsid w:val="000E588F"/>
    <w:rsid w:val="000E674A"/>
    <w:rsid w:val="000F1057"/>
    <w:rsid w:val="000F3E32"/>
    <w:rsid w:val="000F5824"/>
    <w:rsid w:val="000F61D1"/>
    <w:rsid w:val="000F7843"/>
    <w:rsid w:val="00100921"/>
    <w:rsid w:val="00101930"/>
    <w:rsid w:val="001030F1"/>
    <w:rsid w:val="00103AAF"/>
    <w:rsid w:val="00104EF3"/>
    <w:rsid w:val="00105887"/>
    <w:rsid w:val="001069D4"/>
    <w:rsid w:val="00106A2E"/>
    <w:rsid w:val="0010717A"/>
    <w:rsid w:val="001075B3"/>
    <w:rsid w:val="001078CD"/>
    <w:rsid w:val="001101C7"/>
    <w:rsid w:val="00115047"/>
    <w:rsid w:val="00115FC2"/>
    <w:rsid w:val="00121B2B"/>
    <w:rsid w:val="001239ED"/>
    <w:rsid w:val="00123B70"/>
    <w:rsid w:val="00125B15"/>
    <w:rsid w:val="00126F25"/>
    <w:rsid w:val="00130624"/>
    <w:rsid w:val="00130B89"/>
    <w:rsid w:val="00131AED"/>
    <w:rsid w:val="00135E9C"/>
    <w:rsid w:val="00136568"/>
    <w:rsid w:val="00136FF0"/>
    <w:rsid w:val="00140DFD"/>
    <w:rsid w:val="00141A0D"/>
    <w:rsid w:val="00141E1E"/>
    <w:rsid w:val="001439C6"/>
    <w:rsid w:val="001447F5"/>
    <w:rsid w:val="001474B0"/>
    <w:rsid w:val="00152E28"/>
    <w:rsid w:val="001545C0"/>
    <w:rsid w:val="001573C1"/>
    <w:rsid w:val="00160901"/>
    <w:rsid w:val="00160BC6"/>
    <w:rsid w:val="001635F2"/>
    <w:rsid w:val="001654FF"/>
    <w:rsid w:val="00165721"/>
    <w:rsid w:val="00165A86"/>
    <w:rsid w:val="00165EB1"/>
    <w:rsid w:val="00165EC1"/>
    <w:rsid w:val="00167676"/>
    <w:rsid w:val="00167E9E"/>
    <w:rsid w:val="00172322"/>
    <w:rsid w:val="00177E68"/>
    <w:rsid w:val="0018158B"/>
    <w:rsid w:val="00183F5F"/>
    <w:rsid w:val="00186849"/>
    <w:rsid w:val="00192030"/>
    <w:rsid w:val="001939F6"/>
    <w:rsid w:val="00195DC3"/>
    <w:rsid w:val="001A2D8A"/>
    <w:rsid w:val="001A3BA1"/>
    <w:rsid w:val="001A46F2"/>
    <w:rsid w:val="001A61CB"/>
    <w:rsid w:val="001B07FD"/>
    <w:rsid w:val="001B346E"/>
    <w:rsid w:val="001B55F2"/>
    <w:rsid w:val="001C08FC"/>
    <w:rsid w:val="001C178A"/>
    <w:rsid w:val="001C2954"/>
    <w:rsid w:val="001C4CEC"/>
    <w:rsid w:val="001C52FB"/>
    <w:rsid w:val="001C56D5"/>
    <w:rsid w:val="001D0D5E"/>
    <w:rsid w:val="001D2334"/>
    <w:rsid w:val="001D5D6E"/>
    <w:rsid w:val="001D6B69"/>
    <w:rsid w:val="001D6B72"/>
    <w:rsid w:val="001E44C4"/>
    <w:rsid w:val="001F2224"/>
    <w:rsid w:val="001F3798"/>
    <w:rsid w:val="001F450A"/>
    <w:rsid w:val="001F7987"/>
    <w:rsid w:val="002011DD"/>
    <w:rsid w:val="002013BD"/>
    <w:rsid w:val="00201650"/>
    <w:rsid w:val="00201CE1"/>
    <w:rsid w:val="00202D90"/>
    <w:rsid w:val="002055C8"/>
    <w:rsid w:val="00205717"/>
    <w:rsid w:val="002069D0"/>
    <w:rsid w:val="00206C61"/>
    <w:rsid w:val="00207BDD"/>
    <w:rsid w:val="002100A8"/>
    <w:rsid w:val="002110D1"/>
    <w:rsid w:val="00211227"/>
    <w:rsid w:val="00214C77"/>
    <w:rsid w:val="00215619"/>
    <w:rsid w:val="00221B6D"/>
    <w:rsid w:val="0022427B"/>
    <w:rsid w:val="002243C1"/>
    <w:rsid w:val="0022489A"/>
    <w:rsid w:val="00225A41"/>
    <w:rsid w:val="00225D70"/>
    <w:rsid w:val="00227FA6"/>
    <w:rsid w:val="00231842"/>
    <w:rsid w:val="00231B32"/>
    <w:rsid w:val="00235900"/>
    <w:rsid w:val="00242324"/>
    <w:rsid w:val="0024462D"/>
    <w:rsid w:val="00245040"/>
    <w:rsid w:val="00245A03"/>
    <w:rsid w:val="0024706A"/>
    <w:rsid w:val="002474CD"/>
    <w:rsid w:val="00250D42"/>
    <w:rsid w:val="0025109A"/>
    <w:rsid w:val="00251F0F"/>
    <w:rsid w:val="00252072"/>
    <w:rsid w:val="002520FB"/>
    <w:rsid w:val="00253D5B"/>
    <w:rsid w:val="00257B34"/>
    <w:rsid w:val="00257C8E"/>
    <w:rsid w:val="002620DE"/>
    <w:rsid w:val="00263C4C"/>
    <w:rsid w:val="00264D57"/>
    <w:rsid w:val="002653D6"/>
    <w:rsid w:val="00270AAE"/>
    <w:rsid w:val="00271468"/>
    <w:rsid w:val="00271D44"/>
    <w:rsid w:val="0027367C"/>
    <w:rsid w:val="00273EBC"/>
    <w:rsid w:val="00274395"/>
    <w:rsid w:val="00274FBB"/>
    <w:rsid w:val="002779E7"/>
    <w:rsid w:val="002835F5"/>
    <w:rsid w:val="0028726C"/>
    <w:rsid w:val="00287674"/>
    <w:rsid w:val="00291294"/>
    <w:rsid w:val="00292B8E"/>
    <w:rsid w:val="002945DC"/>
    <w:rsid w:val="00295912"/>
    <w:rsid w:val="00295AF1"/>
    <w:rsid w:val="00297A32"/>
    <w:rsid w:val="002B21E1"/>
    <w:rsid w:val="002B2ECA"/>
    <w:rsid w:val="002B51A2"/>
    <w:rsid w:val="002B533D"/>
    <w:rsid w:val="002B693C"/>
    <w:rsid w:val="002B6AE8"/>
    <w:rsid w:val="002B7BBD"/>
    <w:rsid w:val="002C1F59"/>
    <w:rsid w:val="002C2D95"/>
    <w:rsid w:val="002C3868"/>
    <w:rsid w:val="002C5526"/>
    <w:rsid w:val="002C7C1D"/>
    <w:rsid w:val="002D1F77"/>
    <w:rsid w:val="002D3084"/>
    <w:rsid w:val="002E0E78"/>
    <w:rsid w:val="002E28CB"/>
    <w:rsid w:val="002E290A"/>
    <w:rsid w:val="002E4FEB"/>
    <w:rsid w:val="002E74E6"/>
    <w:rsid w:val="002F313C"/>
    <w:rsid w:val="002F4243"/>
    <w:rsid w:val="002F4A70"/>
    <w:rsid w:val="002F6A42"/>
    <w:rsid w:val="0030026D"/>
    <w:rsid w:val="00301399"/>
    <w:rsid w:val="00302BC5"/>
    <w:rsid w:val="003043DF"/>
    <w:rsid w:val="0030474B"/>
    <w:rsid w:val="0030520A"/>
    <w:rsid w:val="0030667C"/>
    <w:rsid w:val="00306711"/>
    <w:rsid w:val="0031242A"/>
    <w:rsid w:val="00312675"/>
    <w:rsid w:val="003135FC"/>
    <w:rsid w:val="0031784D"/>
    <w:rsid w:val="0032084E"/>
    <w:rsid w:val="003219D4"/>
    <w:rsid w:val="00321EF8"/>
    <w:rsid w:val="003226A1"/>
    <w:rsid w:val="00322786"/>
    <w:rsid w:val="003239E7"/>
    <w:rsid w:val="00323F2F"/>
    <w:rsid w:val="003273FA"/>
    <w:rsid w:val="00330394"/>
    <w:rsid w:val="00331D65"/>
    <w:rsid w:val="00332B35"/>
    <w:rsid w:val="00332FBC"/>
    <w:rsid w:val="00333998"/>
    <w:rsid w:val="00334A99"/>
    <w:rsid w:val="00341E76"/>
    <w:rsid w:val="003500DD"/>
    <w:rsid w:val="00350DBA"/>
    <w:rsid w:val="00351963"/>
    <w:rsid w:val="0035574A"/>
    <w:rsid w:val="00357154"/>
    <w:rsid w:val="003625F8"/>
    <w:rsid w:val="00362E00"/>
    <w:rsid w:val="00364539"/>
    <w:rsid w:val="00364E5F"/>
    <w:rsid w:val="003711E1"/>
    <w:rsid w:val="00371849"/>
    <w:rsid w:val="00375144"/>
    <w:rsid w:val="0038350D"/>
    <w:rsid w:val="00384EED"/>
    <w:rsid w:val="0038541F"/>
    <w:rsid w:val="003857B3"/>
    <w:rsid w:val="00386AB7"/>
    <w:rsid w:val="003877B9"/>
    <w:rsid w:val="00387B43"/>
    <w:rsid w:val="0039101A"/>
    <w:rsid w:val="00391CCA"/>
    <w:rsid w:val="0039255D"/>
    <w:rsid w:val="00393E6F"/>
    <w:rsid w:val="00394612"/>
    <w:rsid w:val="00394975"/>
    <w:rsid w:val="00395F12"/>
    <w:rsid w:val="00397792"/>
    <w:rsid w:val="003978AC"/>
    <w:rsid w:val="003A0292"/>
    <w:rsid w:val="003A029E"/>
    <w:rsid w:val="003A2C06"/>
    <w:rsid w:val="003A4938"/>
    <w:rsid w:val="003A5BAA"/>
    <w:rsid w:val="003A6BA9"/>
    <w:rsid w:val="003B1109"/>
    <w:rsid w:val="003B2D2D"/>
    <w:rsid w:val="003B397A"/>
    <w:rsid w:val="003B4CCE"/>
    <w:rsid w:val="003B52CC"/>
    <w:rsid w:val="003B77FA"/>
    <w:rsid w:val="003C01E7"/>
    <w:rsid w:val="003C1C91"/>
    <w:rsid w:val="003C3503"/>
    <w:rsid w:val="003C7F7E"/>
    <w:rsid w:val="003D09B8"/>
    <w:rsid w:val="003D1F01"/>
    <w:rsid w:val="003D2F5C"/>
    <w:rsid w:val="003D37BF"/>
    <w:rsid w:val="003D4379"/>
    <w:rsid w:val="003D5BC9"/>
    <w:rsid w:val="003D657B"/>
    <w:rsid w:val="003D7E7A"/>
    <w:rsid w:val="003E08A7"/>
    <w:rsid w:val="003E1055"/>
    <w:rsid w:val="003E6E26"/>
    <w:rsid w:val="003E7893"/>
    <w:rsid w:val="003F0723"/>
    <w:rsid w:val="003F0ADB"/>
    <w:rsid w:val="003F4354"/>
    <w:rsid w:val="003F45C0"/>
    <w:rsid w:val="003F58C4"/>
    <w:rsid w:val="003F5DDB"/>
    <w:rsid w:val="003F66E9"/>
    <w:rsid w:val="00400587"/>
    <w:rsid w:val="004009DB"/>
    <w:rsid w:val="0040300B"/>
    <w:rsid w:val="004030EC"/>
    <w:rsid w:val="00405702"/>
    <w:rsid w:val="00405B5E"/>
    <w:rsid w:val="00405D05"/>
    <w:rsid w:val="00405FCC"/>
    <w:rsid w:val="004108E7"/>
    <w:rsid w:val="0041189F"/>
    <w:rsid w:val="004140D8"/>
    <w:rsid w:val="00415790"/>
    <w:rsid w:val="00421417"/>
    <w:rsid w:val="00421D4D"/>
    <w:rsid w:val="004222BD"/>
    <w:rsid w:val="004306C4"/>
    <w:rsid w:val="00431F96"/>
    <w:rsid w:val="00432C39"/>
    <w:rsid w:val="00434256"/>
    <w:rsid w:val="00436855"/>
    <w:rsid w:val="00441831"/>
    <w:rsid w:val="004419CD"/>
    <w:rsid w:val="00442C4E"/>
    <w:rsid w:val="004435ED"/>
    <w:rsid w:val="00445719"/>
    <w:rsid w:val="00445C5A"/>
    <w:rsid w:val="00445F01"/>
    <w:rsid w:val="00447DA2"/>
    <w:rsid w:val="00452226"/>
    <w:rsid w:val="00452FDD"/>
    <w:rsid w:val="0045355B"/>
    <w:rsid w:val="00455355"/>
    <w:rsid w:val="00455918"/>
    <w:rsid w:val="00456809"/>
    <w:rsid w:val="004605AA"/>
    <w:rsid w:val="00460633"/>
    <w:rsid w:val="00460D0D"/>
    <w:rsid w:val="00460E94"/>
    <w:rsid w:val="004612E2"/>
    <w:rsid w:val="004626F6"/>
    <w:rsid w:val="00463872"/>
    <w:rsid w:val="00463C58"/>
    <w:rsid w:val="00465185"/>
    <w:rsid w:val="004711FF"/>
    <w:rsid w:val="0047343B"/>
    <w:rsid w:val="004757F1"/>
    <w:rsid w:val="00476D32"/>
    <w:rsid w:val="0048013C"/>
    <w:rsid w:val="0048048C"/>
    <w:rsid w:val="004809B7"/>
    <w:rsid w:val="00484029"/>
    <w:rsid w:val="004844C0"/>
    <w:rsid w:val="0048515E"/>
    <w:rsid w:val="004869A6"/>
    <w:rsid w:val="004911CF"/>
    <w:rsid w:val="00492024"/>
    <w:rsid w:val="004941E0"/>
    <w:rsid w:val="00495DE6"/>
    <w:rsid w:val="00496483"/>
    <w:rsid w:val="00497E8D"/>
    <w:rsid w:val="004A0482"/>
    <w:rsid w:val="004A150C"/>
    <w:rsid w:val="004A1D7D"/>
    <w:rsid w:val="004A336F"/>
    <w:rsid w:val="004A3B8C"/>
    <w:rsid w:val="004A6384"/>
    <w:rsid w:val="004B0B4D"/>
    <w:rsid w:val="004B1CF3"/>
    <w:rsid w:val="004B2C9B"/>
    <w:rsid w:val="004B3930"/>
    <w:rsid w:val="004B41C9"/>
    <w:rsid w:val="004B46CE"/>
    <w:rsid w:val="004B48FD"/>
    <w:rsid w:val="004B7CF5"/>
    <w:rsid w:val="004B7D7A"/>
    <w:rsid w:val="004C0115"/>
    <w:rsid w:val="004C0172"/>
    <w:rsid w:val="004C4F66"/>
    <w:rsid w:val="004D1084"/>
    <w:rsid w:val="004D1A16"/>
    <w:rsid w:val="004D41ED"/>
    <w:rsid w:val="004D69B1"/>
    <w:rsid w:val="004D6AB8"/>
    <w:rsid w:val="004D7902"/>
    <w:rsid w:val="004E31EA"/>
    <w:rsid w:val="004E3CF0"/>
    <w:rsid w:val="004E3F51"/>
    <w:rsid w:val="004E6113"/>
    <w:rsid w:val="004F0A40"/>
    <w:rsid w:val="004F424A"/>
    <w:rsid w:val="004F7030"/>
    <w:rsid w:val="005008FB"/>
    <w:rsid w:val="0050217F"/>
    <w:rsid w:val="005061DC"/>
    <w:rsid w:val="00506B7B"/>
    <w:rsid w:val="005122BC"/>
    <w:rsid w:val="00512533"/>
    <w:rsid w:val="00512F5A"/>
    <w:rsid w:val="005167E0"/>
    <w:rsid w:val="005178A8"/>
    <w:rsid w:val="00520D30"/>
    <w:rsid w:val="00525917"/>
    <w:rsid w:val="00526EC8"/>
    <w:rsid w:val="00527151"/>
    <w:rsid w:val="005320DF"/>
    <w:rsid w:val="00532E93"/>
    <w:rsid w:val="00533FAD"/>
    <w:rsid w:val="00535460"/>
    <w:rsid w:val="005357C7"/>
    <w:rsid w:val="00535DAE"/>
    <w:rsid w:val="00535FC1"/>
    <w:rsid w:val="005363D4"/>
    <w:rsid w:val="00540CCA"/>
    <w:rsid w:val="005411DF"/>
    <w:rsid w:val="005419A6"/>
    <w:rsid w:val="00541DF4"/>
    <w:rsid w:val="005423EA"/>
    <w:rsid w:val="005435D7"/>
    <w:rsid w:val="00543B3E"/>
    <w:rsid w:val="005463F9"/>
    <w:rsid w:val="005465E0"/>
    <w:rsid w:val="0055008B"/>
    <w:rsid w:val="0055244A"/>
    <w:rsid w:val="005533A8"/>
    <w:rsid w:val="00553462"/>
    <w:rsid w:val="005535A6"/>
    <w:rsid w:val="00553FD7"/>
    <w:rsid w:val="00555266"/>
    <w:rsid w:val="005557F6"/>
    <w:rsid w:val="00557A9F"/>
    <w:rsid w:val="00565320"/>
    <w:rsid w:val="005718B5"/>
    <w:rsid w:val="00571C5E"/>
    <w:rsid w:val="00571C6C"/>
    <w:rsid w:val="00572B60"/>
    <w:rsid w:val="00573471"/>
    <w:rsid w:val="00577DBB"/>
    <w:rsid w:val="00580A83"/>
    <w:rsid w:val="0058240F"/>
    <w:rsid w:val="00582F75"/>
    <w:rsid w:val="00583A67"/>
    <w:rsid w:val="00585E92"/>
    <w:rsid w:val="00587469"/>
    <w:rsid w:val="00587C80"/>
    <w:rsid w:val="00587CB2"/>
    <w:rsid w:val="005912C5"/>
    <w:rsid w:val="005913D8"/>
    <w:rsid w:val="005916D2"/>
    <w:rsid w:val="0059382B"/>
    <w:rsid w:val="005A11D7"/>
    <w:rsid w:val="005A11E7"/>
    <w:rsid w:val="005A2CFE"/>
    <w:rsid w:val="005A3541"/>
    <w:rsid w:val="005A453F"/>
    <w:rsid w:val="005A537F"/>
    <w:rsid w:val="005A6188"/>
    <w:rsid w:val="005A693B"/>
    <w:rsid w:val="005B217D"/>
    <w:rsid w:val="005B2431"/>
    <w:rsid w:val="005B279F"/>
    <w:rsid w:val="005B5A92"/>
    <w:rsid w:val="005C1155"/>
    <w:rsid w:val="005C1684"/>
    <w:rsid w:val="005C6F42"/>
    <w:rsid w:val="005C73BD"/>
    <w:rsid w:val="005C7833"/>
    <w:rsid w:val="005D1979"/>
    <w:rsid w:val="005D3394"/>
    <w:rsid w:val="005D4547"/>
    <w:rsid w:val="005D4D03"/>
    <w:rsid w:val="005D5E68"/>
    <w:rsid w:val="005D6E4B"/>
    <w:rsid w:val="005E1F29"/>
    <w:rsid w:val="005E421E"/>
    <w:rsid w:val="005F1471"/>
    <w:rsid w:val="005F171B"/>
    <w:rsid w:val="005F4912"/>
    <w:rsid w:val="005F49B1"/>
    <w:rsid w:val="005F661D"/>
    <w:rsid w:val="005F6D30"/>
    <w:rsid w:val="005F6DC1"/>
    <w:rsid w:val="00600B31"/>
    <w:rsid w:val="00600C03"/>
    <w:rsid w:val="006016E3"/>
    <w:rsid w:val="00604F25"/>
    <w:rsid w:val="00607A08"/>
    <w:rsid w:val="00611874"/>
    <w:rsid w:val="00612BF3"/>
    <w:rsid w:val="006171CF"/>
    <w:rsid w:val="006177FD"/>
    <w:rsid w:val="00620D7B"/>
    <w:rsid w:val="00622A67"/>
    <w:rsid w:val="00622D93"/>
    <w:rsid w:val="00623727"/>
    <w:rsid w:val="006261DA"/>
    <w:rsid w:val="00626374"/>
    <w:rsid w:val="00626FB5"/>
    <w:rsid w:val="00631383"/>
    <w:rsid w:val="006317A4"/>
    <w:rsid w:val="00633C39"/>
    <w:rsid w:val="00634DF2"/>
    <w:rsid w:val="00635A63"/>
    <w:rsid w:val="006363AA"/>
    <w:rsid w:val="00636B69"/>
    <w:rsid w:val="00636CCC"/>
    <w:rsid w:val="0063750C"/>
    <w:rsid w:val="00641156"/>
    <w:rsid w:val="006420EF"/>
    <w:rsid w:val="00643A2D"/>
    <w:rsid w:val="0064503E"/>
    <w:rsid w:val="00645734"/>
    <w:rsid w:val="00647CF4"/>
    <w:rsid w:val="006515C8"/>
    <w:rsid w:val="00651CE7"/>
    <w:rsid w:val="00651EEA"/>
    <w:rsid w:val="00652BF2"/>
    <w:rsid w:val="00655828"/>
    <w:rsid w:val="006575C5"/>
    <w:rsid w:val="006637FF"/>
    <w:rsid w:val="00663CC9"/>
    <w:rsid w:val="00664514"/>
    <w:rsid w:val="00666798"/>
    <w:rsid w:val="00671712"/>
    <w:rsid w:val="006732AB"/>
    <w:rsid w:val="00673809"/>
    <w:rsid w:val="00674847"/>
    <w:rsid w:val="006770C7"/>
    <w:rsid w:val="00680C2C"/>
    <w:rsid w:val="0068141D"/>
    <w:rsid w:val="00681736"/>
    <w:rsid w:val="0068197C"/>
    <w:rsid w:val="00683985"/>
    <w:rsid w:val="00685068"/>
    <w:rsid w:val="00685849"/>
    <w:rsid w:val="006862B6"/>
    <w:rsid w:val="00686641"/>
    <w:rsid w:val="006921CC"/>
    <w:rsid w:val="00692E97"/>
    <w:rsid w:val="00695233"/>
    <w:rsid w:val="00695884"/>
    <w:rsid w:val="0069779D"/>
    <w:rsid w:val="006A0DAC"/>
    <w:rsid w:val="006A1CA6"/>
    <w:rsid w:val="006A3975"/>
    <w:rsid w:val="006A7601"/>
    <w:rsid w:val="006B02CD"/>
    <w:rsid w:val="006B0735"/>
    <w:rsid w:val="006B3487"/>
    <w:rsid w:val="006B37C9"/>
    <w:rsid w:val="006B5166"/>
    <w:rsid w:val="006B6549"/>
    <w:rsid w:val="006C087A"/>
    <w:rsid w:val="006C0D14"/>
    <w:rsid w:val="006C4375"/>
    <w:rsid w:val="006C5A98"/>
    <w:rsid w:val="006C7992"/>
    <w:rsid w:val="006D1E94"/>
    <w:rsid w:val="006D4AF4"/>
    <w:rsid w:val="006D6B3D"/>
    <w:rsid w:val="006E1684"/>
    <w:rsid w:val="006E1D8B"/>
    <w:rsid w:val="006E43BA"/>
    <w:rsid w:val="006E4BA6"/>
    <w:rsid w:val="006F34CA"/>
    <w:rsid w:val="006F5F7C"/>
    <w:rsid w:val="006F6B7D"/>
    <w:rsid w:val="007009D8"/>
    <w:rsid w:val="00700D27"/>
    <w:rsid w:val="00700E00"/>
    <w:rsid w:val="00701ED5"/>
    <w:rsid w:val="00703D22"/>
    <w:rsid w:val="007122BA"/>
    <w:rsid w:val="007132FE"/>
    <w:rsid w:val="007170B1"/>
    <w:rsid w:val="00717798"/>
    <w:rsid w:val="00717907"/>
    <w:rsid w:val="00721053"/>
    <w:rsid w:val="00721185"/>
    <w:rsid w:val="0072143A"/>
    <w:rsid w:val="0072181D"/>
    <w:rsid w:val="00722CDF"/>
    <w:rsid w:val="0072416B"/>
    <w:rsid w:val="00726B6A"/>
    <w:rsid w:val="00733EF7"/>
    <w:rsid w:val="0073474B"/>
    <w:rsid w:val="00734D76"/>
    <w:rsid w:val="007366C1"/>
    <w:rsid w:val="00736C19"/>
    <w:rsid w:val="00736D6D"/>
    <w:rsid w:val="007376C1"/>
    <w:rsid w:val="00744412"/>
    <w:rsid w:val="00744C22"/>
    <w:rsid w:val="00745C19"/>
    <w:rsid w:val="00746527"/>
    <w:rsid w:val="00746CC5"/>
    <w:rsid w:val="00747853"/>
    <w:rsid w:val="00747E7E"/>
    <w:rsid w:val="0075112B"/>
    <w:rsid w:val="00751BAF"/>
    <w:rsid w:val="00755269"/>
    <w:rsid w:val="00756580"/>
    <w:rsid w:val="00760F5D"/>
    <w:rsid w:val="007636E0"/>
    <w:rsid w:val="00764097"/>
    <w:rsid w:val="007700E0"/>
    <w:rsid w:val="00770B64"/>
    <w:rsid w:val="0077268A"/>
    <w:rsid w:val="007736DC"/>
    <w:rsid w:val="00774849"/>
    <w:rsid w:val="00777055"/>
    <w:rsid w:val="0077760D"/>
    <w:rsid w:val="0077767A"/>
    <w:rsid w:val="00777CD0"/>
    <w:rsid w:val="00781936"/>
    <w:rsid w:val="0078225A"/>
    <w:rsid w:val="00786461"/>
    <w:rsid w:val="0078746A"/>
    <w:rsid w:val="00791044"/>
    <w:rsid w:val="00791535"/>
    <w:rsid w:val="00794E43"/>
    <w:rsid w:val="007970A1"/>
    <w:rsid w:val="007A110B"/>
    <w:rsid w:val="007A1473"/>
    <w:rsid w:val="007A2ADB"/>
    <w:rsid w:val="007A3587"/>
    <w:rsid w:val="007A39B4"/>
    <w:rsid w:val="007A42F0"/>
    <w:rsid w:val="007A4DE0"/>
    <w:rsid w:val="007A502A"/>
    <w:rsid w:val="007B196E"/>
    <w:rsid w:val="007B6638"/>
    <w:rsid w:val="007C09ED"/>
    <w:rsid w:val="007C1BC2"/>
    <w:rsid w:val="007C40C9"/>
    <w:rsid w:val="007C69D4"/>
    <w:rsid w:val="007D1660"/>
    <w:rsid w:val="007D169D"/>
    <w:rsid w:val="007D18C9"/>
    <w:rsid w:val="007D29AB"/>
    <w:rsid w:val="007D34AA"/>
    <w:rsid w:val="007D53E2"/>
    <w:rsid w:val="007D73BD"/>
    <w:rsid w:val="007D76C5"/>
    <w:rsid w:val="007E5E03"/>
    <w:rsid w:val="007E7ED4"/>
    <w:rsid w:val="007F00E4"/>
    <w:rsid w:val="007F0CB2"/>
    <w:rsid w:val="007F0FBC"/>
    <w:rsid w:val="007F128A"/>
    <w:rsid w:val="007F23AA"/>
    <w:rsid w:val="007F2728"/>
    <w:rsid w:val="007F30FA"/>
    <w:rsid w:val="007F32BE"/>
    <w:rsid w:val="007F4685"/>
    <w:rsid w:val="008008C3"/>
    <w:rsid w:val="00800B5C"/>
    <w:rsid w:val="00801B65"/>
    <w:rsid w:val="00801F0D"/>
    <w:rsid w:val="008053FA"/>
    <w:rsid w:val="008058AA"/>
    <w:rsid w:val="00813200"/>
    <w:rsid w:val="00813E26"/>
    <w:rsid w:val="00815A36"/>
    <w:rsid w:val="0082008A"/>
    <w:rsid w:val="00820708"/>
    <w:rsid w:val="00820CAD"/>
    <w:rsid w:val="008223D9"/>
    <w:rsid w:val="008248F6"/>
    <w:rsid w:val="00825228"/>
    <w:rsid w:val="00826528"/>
    <w:rsid w:val="00826AEA"/>
    <w:rsid w:val="00826E46"/>
    <w:rsid w:val="0082782C"/>
    <w:rsid w:val="0083052B"/>
    <w:rsid w:val="008327BB"/>
    <w:rsid w:val="0083333B"/>
    <w:rsid w:val="00833651"/>
    <w:rsid w:val="0083490D"/>
    <w:rsid w:val="00836021"/>
    <w:rsid w:val="00836439"/>
    <w:rsid w:val="00836555"/>
    <w:rsid w:val="0083671F"/>
    <w:rsid w:val="00837A07"/>
    <w:rsid w:val="0084008B"/>
    <w:rsid w:val="00842AAF"/>
    <w:rsid w:val="00842F36"/>
    <w:rsid w:val="008433E4"/>
    <w:rsid w:val="0084425A"/>
    <w:rsid w:val="00844A3F"/>
    <w:rsid w:val="00845485"/>
    <w:rsid w:val="008459DD"/>
    <w:rsid w:val="00850BE6"/>
    <w:rsid w:val="00852949"/>
    <w:rsid w:val="00852C28"/>
    <w:rsid w:val="00853BAF"/>
    <w:rsid w:val="00854AC8"/>
    <w:rsid w:val="00855C7B"/>
    <w:rsid w:val="00856965"/>
    <w:rsid w:val="00860A61"/>
    <w:rsid w:val="00862C40"/>
    <w:rsid w:val="00865FB9"/>
    <w:rsid w:val="008663D8"/>
    <w:rsid w:val="00866657"/>
    <w:rsid w:val="0086730E"/>
    <w:rsid w:val="00870819"/>
    <w:rsid w:val="00870AB9"/>
    <w:rsid w:val="00873333"/>
    <w:rsid w:val="008739A3"/>
    <w:rsid w:val="00874B04"/>
    <w:rsid w:val="008768A1"/>
    <w:rsid w:val="008801B0"/>
    <w:rsid w:val="0088039D"/>
    <w:rsid w:val="008803DC"/>
    <w:rsid w:val="0088195A"/>
    <w:rsid w:val="00881AE5"/>
    <w:rsid w:val="0088212A"/>
    <w:rsid w:val="0088215D"/>
    <w:rsid w:val="00882D4E"/>
    <w:rsid w:val="00883BCA"/>
    <w:rsid w:val="00883EB2"/>
    <w:rsid w:val="00885AA7"/>
    <w:rsid w:val="008869F0"/>
    <w:rsid w:val="008922D8"/>
    <w:rsid w:val="008926D9"/>
    <w:rsid w:val="008926FC"/>
    <w:rsid w:val="00893A46"/>
    <w:rsid w:val="00894A63"/>
    <w:rsid w:val="00895391"/>
    <w:rsid w:val="00897992"/>
    <w:rsid w:val="00897BE7"/>
    <w:rsid w:val="008A02B6"/>
    <w:rsid w:val="008A06EA"/>
    <w:rsid w:val="008A39AC"/>
    <w:rsid w:val="008A3A46"/>
    <w:rsid w:val="008A3EB8"/>
    <w:rsid w:val="008A4E44"/>
    <w:rsid w:val="008A5276"/>
    <w:rsid w:val="008A5452"/>
    <w:rsid w:val="008A5E5F"/>
    <w:rsid w:val="008B002C"/>
    <w:rsid w:val="008B1A8C"/>
    <w:rsid w:val="008B220C"/>
    <w:rsid w:val="008B4CEC"/>
    <w:rsid w:val="008B5889"/>
    <w:rsid w:val="008B5AC5"/>
    <w:rsid w:val="008C06BD"/>
    <w:rsid w:val="008C0C84"/>
    <w:rsid w:val="008C1BE4"/>
    <w:rsid w:val="008C5E19"/>
    <w:rsid w:val="008C6B15"/>
    <w:rsid w:val="008D0E5F"/>
    <w:rsid w:val="008D20F5"/>
    <w:rsid w:val="008D2232"/>
    <w:rsid w:val="008D3909"/>
    <w:rsid w:val="008D4B7D"/>
    <w:rsid w:val="008D5F9A"/>
    <w:rsid w:val="008D6B62"/>
    <w:rsid w:val="008D7545"/>
    <w:rsid w:val="008E43CF"/>
    <w:rsid w:val="008F01E4"/>
    <w:rsid w:val="008F084D"/>
    <w:rsid w:val="008F29DC"/>
    <w:rsid w:val="008F3B10"/>
    <w:rsid w:val="008F3CA4"/>
    <w:rsid w:val="008F6537"/>
    <w:rsid w:val="00900F1F"/>
    <w:rsid w:val="00901AFB"/>
    <w:rsid w:val="009021C0"/>
    <w:rsid w:val="00902788"/>
    <w:rsid w:val="00902E2A"/>
    <w:rsid w:val="00905995"/>
    <w:rsid w:val="00910E38"/>
    <w:rsid w:val="009110AE"/>
    <w:rsid w:val="00911393"/>
    <w:rsid w:val="00911408"/>
    <w:rsid w:val="00911467"/>
    <w:rsid w:val="009142BE"/>
    <w:rsid w:val="0091498C"/>
    <w:rsid w:val="0091557D"/>
    <w:rsid w:val="00915759"/>
    <w:rsid w:val="00917797"/>
    <w:rsid w:val="009250F1"/>
    <w:rsid w:val="00925709"/>
    <w:rsid w:val="00931797"/>
    <w:rsid w:val="00932B39"/>
    <w:rsid w:val="0093386A"/>
    <w:rsid w:val="00935EB0"/>
    <w:rsid w:val="00936099"/>
    <w:rsid w:val="00940FC6"/>
    <w:rsid w:val="0094262D"/>
    <w:rsid w:val="00942C71"/>
    <w:rsid w:val="00943A02"/>
    <w:rsid w:val="0094527D"/>
    <w:rsid w:val="00945D29"/>
    <w:rsid w:val="00945DFE"/>
    <w:rsid w:val="00945E75"/>
    <w:rsid w:val="00950015"/>
    <w:rsid w:val="00951E46"/>
    <w:rsid w:val="00954F83"/>
    <w:rsid w:val="00955B39"/>
    <w:rsid w:val="00957CCC"/>
    <w:rsid w:val="0096389D"/>
    <w:rsid w:val="00964806"/>
    <w:rsid w:val="00970905"/>
    <w:rsid w:val="00971B37"/>
    <w:rsid w:val="00972969"/>
    <w:rsid w:val="00980AED"/>
    <w:rsid w:val="009830BA"/>
    <w:rsid w:val="00985C17"/>
    <w:rsid w:val="00987951"/>
    <w:rsid w:val="0099253B"/>
    <w:rsid w:val="009A059C"/>
    <w:rsid w:val="009A0C9E"/>
    <w:rsid w:val="009A2947"/>
    <w:rsid w:val="009A44DA"/>
    <w:rsid w:val="009A54D6"/>
    <w:rsid w:val="009B052C"/>
    <w:rsid w:val="009B1238"/>
    <w:rsid w:val="009B2018"/>
    <w:rsid w:val="009B30C1"/>
    <w:rsid w:val="009B34B3"/>
    <w:rsid w:val="009B4E28"/>
    <w:rsid w:val="009B5D2E"/>
    <w:rsid w:val="009B7F05"/>
    <w:rsid w:val="009C1B09"/>
    <w:rsid w:val="009C3F15"/>
    <w:rsid w:val="009C40AD"/>
    <w:rsid w:val="009C4374"/>
    <w:rsid w:val="009C4470"/>
    <w:rsid w:val="009C5060"/>
    <w:rsid w:val="009C6007"/>
    <w:rsid w:val="009C6D13"/>
    <w:rsid w:val="009C6DFF"/>
    <w:rsid w:val="009C7B63"/>
    <w:rsid w:val="009D045C"/>
    <w:rsid w:val="009D10B7"/>
    <w:rsid w:val="009D1618"/>
    <w:rsid w:val="009D3906"/>
    <w:rsid w:val="009D62FA"/>
    <w:rsid w:val="009D7E07"/>
    <w:rsid w:val="009E28CA"/>
    <w:rsid w:val="009E35F1"/>
    <w:rsid w:val="009E3B8A"/>
    <w:rsid w:val="009E3E4D"/>
    <w:rsid w:val="009E55C9"/>
    <w:rsid w:val="009E571A"/>
    <w:rsid w:val="009E5DD0"/>
    <w:rsid w:val="009E633F"/>
    <w:rsid w:val="009F0592"/>
    <w:rsid w:val="009F2C2B"/>
    <w:rsid w:val="009F3208"/>
    <w:rsid w:val="009F3E41"/>
    <w:rsid w:val="009F5BE1"/>
    <w:rsid w:val="009F658B"/>
    <w:rsid w:val="00A002EF"/>
    <w:rsid w:val="00A05AE2"/>
    <w:rsid w:val="00A0689A"/>
    <w:rsid w:val="00A11CBA"/>
    <w:rsid w:val="00A11E66"/>
    <w:rsid w:val="00A11EEC"/>
    <w:rsid w:val="00A11EEE"/>
    <w:rsid w:val="00A124BE"/>
    <w:rsid w:val="00A12C21"/>
    <w:rsid w:val="00A1392C"/>
    <w:rsid w:val="00A14371"/>
    <w:rsid w:val="00A15B66"/>
    <w:rsid w:val="00A16380"/>
    <w:rsid w:val="00A17CF0"/>
    <w:rsid w:val="00A20A03"/>
    <w:rsid w:val="00A20C9E"/>
    <w:rsid w:val="00A21E7F"/>
    <w:rsid w:val="00A2332D"/>
    <w:rsid w:val="00A2440C"/>
    <w:rsid w:val="00A269D0"/>
    <w:rsid w:val="00A307BE"/>
    <w:rsid w:val="00A308BC"/>
    <w:rsid w:val="00A30984"/>
    <w:rsid w:val="00A32518"/>
    <w:rsid w:val="00A32ED7"/>
    <w:rsid w:val="00A33AB9"/>
    <w:rsid w:val="00A34C11"/>
    <w:rsid w:val="00A37C16"/>
    <w:rsid w:val="00A40629"/>
    <w:rsid w:val="00A43BF7"/>
    <w:rsid w:val="00A455CC"/>
    <w:rsid w:val="00A559CB"/>
    <w:rsid w:val="00A56DE0"/>
    <w:rsid w:val="00A56F7C"/>
    <w:rsid w:val="00A5770B"/>
    <w:rsid w:val="00A61D13"/>
    <w:rsid w:val="00A63B68"/>
    <w:rsid w:val="00A67755"/>
    <w:rsid w:val="00A70985"/>
    <w:rsid w:val="00A70B49"/>
    <w:rsid w:val="00A716D9"/>
    <w:rsid w:val="00A74109"/>
    <w:rsid w:val="00A80DA8"/>
    <w:rsid w:val="00A810B1"/>
    <w:rsid w:val="00A8157A"/>
    <w:rsid w:val="00A840D2"/>
    <w:rsid w:val="00A851D4"/>
    <w:rsid w:val="00A859A9"/>
    <w:rsid w:val="00A85BE8"/>
    <w:rsid w:val="00A86BAB"/>
    <w:rsid w:val="00A87D5D"/>
    <w:rsid w:val="00A901C7"/>
    <w:rsid w:val="00A9072D"/>
    <w:rsid w:val="00A90C5E"/>
    <w:rsid w:val="00A90E6A"/>
    <w:rsid w:val="00A91488"/>
    <w:rsid w:val="00A915E8"/>
    <w:rsid w:val="00A95558"/>
    <w:rsid w:val="00A96F3B"/>
    <w:rsid w:val="00A97FC7"/>
    <w:rsid w:val="00AA23D9"/>
    <w:rsid w:val="00AA5B1E"/>
    <w:rsid w:val="00AA6536"/>
    <w:rsid w:val="00AA682F"/>
    <w:rsid w:val="00AA6E4E"/>
    <w:rsid w:val="00AA7B3F"/>
    <w:rsid w:val="00AB127D"/>
    <w:rsid w:val="00AB4FD2"/>
    <w:rsid w:val="00AC1CDF"/>
    <w:rsid w:val="00AC2C27"/>
    <w:rsid w:val="00AC5A70"/>
    <w:rsid w:val="00AC65D8"/>
    <w:rsid w:val="00AC7EC7"/>
    <w:rsid w:val="00AD2E63"/>
    <w:rsid w:val="00AD3DA6"/>
    <w:rsid w:val="00AD7825"/>
    <w:rsid w:val="00AE1367"/>
    <w:rsid w:val="00AE22B6"/>
    <w:rsid w:val="00AE2CB2"/>
    <w:rsid w:val="00AE38E7"/>
    <w:rsid w:val="00AE6B36"/>
    <w:rsid w:val="00AE6CA0"/>
    <w:rsid w:val="00AF1B39"/>
    <w:rsid w:val="00AF3DEF"/>
    <w:rsid w:val="00AF50BC"/>
    <w:rsid w:val="00AF5925"/>
    <w:rsid w:val="00AF59D7"/>
    <w:rsid w:val="00AF5AA4"/>
    <w:rsid w:val="00AF70CA"/>
    <w:rsid w:val="00B00E45"/>
    <w:rsid w:val="00B03060"/>
    <w:rsid w:val="00B03F80"/>
    <w:rsid w:val="00B0437F"/>
    <w:rsid w:val="00B060F7"/>
    <w:rsid w:val="00B06F77"/>
    <w:rsid w:val="00B11265"/>
    <w:rsid w:val="00B11857"/>
    <w:rsid w:val="00B131B2"/>
    <w:rsid w:val="00B140D3"/>
    <w:rsid w:val="00B14C28"/>
    <w:rsid w:val="00B15287"/>
    <w:rsid w:val="00B153B3"/>
    <w:rsid w:val="00B17244"/>
    <w:rsid w:val="00B17E16"/>
    <w:rsid w:val="00B208C9"/>
    <w:rsid w:val="00B25477"/>
    <w:rsid w:val="00B258B5"/>
    <w:rsid w:val="00B26B56"/>
    <w:rsid w:val="00B30B68"/>
    <w:rsid w:val="00B30B7D"/>
    <w:rsid w:val="00B31A9A"/>
    <w:rsid w:val="00B32D62"/>
    <w:rsid w:val="00B33D88"/>
    <w:rsid w:val="00B33ED2"/>
    <w:rsid w:val="00B340E5"/>
    <w:rsid w:val="00B34DFB"/>
    <w:rsid w:val="00B40BA5"/>
    <w:rsid w:val="00B42F32"/>
    <w:rsid w:val="00B43356"/>
    <w:rsid w:val="00B439DE"/>
    <w:rsid w:val="00B4407D"/>
    <w:rsid w:val="00B461F9"/>
    <w:rsid w:val="00B50522"/>
    <w:rsid w:val="00B51E40"/>
    <w:rsid w:val="00B51E7D"/>
    <w:rsid w:val="00B54951"/>
    <w:rsid w:val="00B55469"/>
    <w:rsid w:val="00B60846"/>
    <w:rsid w:val="00B615FC"/>
    <w:rsid w:val="00B65084"/>
    <w:rsid w:val="00B650A2"/>
    <w:rsid w:val="00B65E18"/>
    <w:rsid w:val="00B67254"/>
    <w:rsid w:val="00B67533"/>
    <w:rsid w:val="00B70FD8"/>
    <w:rsid w:val="00B72943"/>
    <w:rsid w:val="00B73ACA"/>
    <w:rsid w:val="00B7651F"/>
    <w:rsid w:val="00B77ACE"/>
    <w:rsid w:val="00B8267E"/>
    <w:rsid w:val="00B8541D"/>
    <w:rsid w:val="00B859AC"/>
    <w:rsid w:val="00B8696E"/>
    <w:rsid w:val="00B9007D"/>
    <w:rsid w:val="00B9023E"/>
    <w:rsid w:val="00B90A87"/>
    <w:rsid w:val="00B91983"/>
    <w:rsid w:val="00B9220B"/>
    <w:rsid w:val="00B92D5F"/>
    <w:rsid w:val="00B94515"/>
    <w:rsid w:val="00B94C41"/>
    <w:rsid w:val="00B977C0"/>
    <w:rsid w:val="00BA13F5"/>
    <w:rsid w:val="00BA1AE3"/>
    <w:rsid w:val="00BA2624"/>
    <w:rsid w:val="00BA2DE6"/>
    <w:rsid w:val="00BA302F"/>
    <w:rsid w:val="00BA4369"/>
    <w:rsid w:val="00BB0561"/>
    <w:rsid w:val="00BB4980"/>
    <w:rsid w:val="00BB7A15"/>
    <w:rsid w:val="00BB7E17"/>
    <w:rsid w:val="00BC0572"/>
    <w:rsid w:val="00BC2D42"/>
    <w:rsid w:val="00BC381F"/>
    <w:rsid w:val="00BC3CFA"/>
    <w:rsid w:val="00BC5159"/>
    <w:rsid w:val="00BC62ED"/>
    <w:rsid w:val="00BC62FD"/>
    <w:rsid w:val="00BD4420"/>
    <w:rsid w:val="00BE4670"/>
    <w:rsid w:val="00BF2530"/>
    <w:rsid w:val="00BF2A40"/>
    <w:rsid w:val="00BF3A1D"/>
    <w:rsid w:val="00BF5258"/>
    <w:rsid w:val="00C018ED"/>
    <w:rsid w:val="00C11487"/>
    <w:rsid w:val="00C11EBE"/>
    <w:rsid w:val="00C12C2E"/>
    <w:rsid w:val="00C13CD6"/>
    <w:rsid w:val="00C14252"/>
    <w:rsid w:val="00C166B4"/>
    <w:rsid w:val="00C20B66"/>
    <w:rsid w:val="00C216D9"/>
    <w:rsid w:val="00C23197"/>
    <w:rsid w:val="00C23812"/>
    <w:rsid w:val="00C24DC6"/>
    <w:rsid w:val="00C25825"/>
    <w:rsid w:val="00C26C4D"/>
    <w:rsid w:val="00C31BB6"/>
    <w:rsid w:val="00C33BC0"/>
    <w:rsid w:val="00C33F40"/>
    <w:rsid w:val="00C34261"/>
    <w:rsid w:val="00C361AF"/>
    <w:rsid w:val="00C36268"/>
    <w:rsid w:val="00C3658D"/>
    <w:rsid w:val="00C37147"/>
    <w:rsid w:val="00C37B09"/>
    <w:rsid w:val="00C37B84"/>
    <w:rsid w:val="00C37EAE"/>
    <w:rsid w:val="00C426DA"/>
    <w:rsid w:val="00C42AFC"/>
    <w:rsid w:val="00C4664E"/>
    <w:rsid w:val="00C46ABE"/>
    <w:rsid w:val="00C46B75"/>
    <w:rsid w:val="00C516B6"/>
    <w:rsid w:val="00C52069"/>
    <w:rsid w:val="00C52436"/>
    <w:rsid w:val="00C55847"/>
    <w:rsid w:val="00C56403"/>
    <w:rsid w:val="00C567DD"/>
    <w:rsid w:val="00C6111E"/>
    <w:rsid w:val="00C64541"/>
    <w:rsid w:val="00C64812"/>
    <w:rsid w:val="00C659C3"/>
    <w:rsid w:val="00C72B04"/>
    <w:rsid w:val="00C734EF"/>
    <w:rsid w:val="00C74482"/>
    <w:rsid w:val="00C75B53"/>
    <w:rsid w:val="00C76A16"/>
    <w:rsid w:val="00C76D83"/>
    <w:rsid w:val="00C80AD5"/>
    <w:rsid w:val="00C819C1"/>
    <w:rsid w:val="00C84BD7"/>
    <w:rsid w:val="00C854AE"/>
    <w:rsid w:val="00C86F64"/>
    <w:rsid w:val="00C87CC5"/>
    <w:rsid w:val="00C87DC0"/>
    <w:rsid w:val="00C93477"/>
    <w:rsid w:val="00C93859"/>
    <w:rsid w:val="00C942EF"/>
    <w:rsid w:val="00CA18FB"/>
    <w:rsid w:val="00CA242A"/>
    <w:rsid w:val="00CA39DE"/>
    <w:rsid w:val="00CA4613"/>
    <w:rsid w:val="00CA4EA6"/>
    <w:rsid w:val="00CB0B1D"/>
    <w:rsid w:val="00CB114E"/>
    <w:rsid w:val="00CB7269"/>
    <w:rsid w:val="00CB763C"/>
    <w:rsid w:val="00CB7B31"/>
    <w:rsid w:val="00CC0195"/>
    <w:rsid w:val="00CC127D"/>
    <w:rsid w:val="00CC1F3E"/>
    <w:rsid w:val="00CC283F"/>
    <w:rsid w:val="00CC3691"/>
    <w:rsid w:val="00CC3DB6"/>
    <w:rsid w:val="00CC44BC"/>
    <w:rsid w:val="00CC700F"/>
    <w:rsid w:val="00CC7A8D"/>
    <w:rsid w:val="00CC7D36"/>
    <w:rsid w:val="00CD334B"/>
    <w:rsid w:val="00CD5693"/>
    <w:rsid w:val="00CD6010"/>
    <w:rsid w:val="00CD6207"/>
    <w:rsid w:val="00CD68C7"/>
    <w:rsid w:val="00CE03D1"/>
    <w:rsid w:val="00CE0CCD"/>
    <w:rsid w:val="00CE3A4B"/>
    <w:rsid w:val="00CE50F9"/>
    <w:rsid w:val="00CE6ECF"/>
    <w:rsid w:val="00CE766D"/>
    <w:rsid w:val="00CF08B6"/>
    <w:rsid w:val="00CF0A0D"/>
    <w:rsid w:val="00CF1329"/>
    <w:rsid w:val="00CF2C08"/>
    <w:rsid w:val="00CF3DC0"/>
    <w:rsid w:val="00CF6BD1"/>
    <w:rsid w:val="00D001A9"/>
    <w:rsid w:val="00D035E1"/>
    <w:rsid w:val="00D05A67"/>
    <w:rsid w:val="00D065EB"/>
    <w:rsid w:val="00D10DAC"/>
    <w:rsid w:val="00D12132"/>
    <w:rsid w:val="00D1351C"/>
    <w:rsid w:val="00D13D73"/>
    <w:rsid w:val="00D15BB9"/>
    <w:rsid w:val="00D17A34"/>
    <w:rsid w:val="00D17E1C"/>
    <w:rsid w:val="00D201A3"/>
    <w:rsid w:val="00D21287"/>
    <w:rsid w:val="00D21824"/>
    <w:rsid w:val="00D22A54"/>
    <w:rsid w:val="00D2513E"/>
    <w:rsid w:val="00D27DDB"/>
    <w:rsid w:val="00D30A83"/>
    <w:rsid w:val="00D30C30"/>
    <w:rsid w:val="00D32956"/>
    <w:rsid w:val="00D36029"/>
    <w:rsid w:val="00D373FF"/>
    <w:rsid w:val="00D40229"/>
    <w:rsid w:val="00D405F8"/>
    <w:rsid w:val="00D428E1"/>
    <w:rsid w:val="00D42DB4"/>
    <w:rsid w:val="00D430D8"/>
    <w:rsid w:val="00D44406"/>
    <w:rsid w:val="00D44BE2"/>
    <w:rsid w:val="00D44EF3"/>
    <w:rsid w:val="00D453F7"/>
    <w:rsid w:val="00D463B3"/>
    <w:rsid w:val="00D4740C"/>
    <w:rsid w:val="00D51571"/>
    <w:rsid w:val="00D51A99"/>
    <w:rsid w:val="00D52036"/>
    <w:rsid w:val="00D52D46"/>
    <w:rsid w:val="00D533A8"/>
    <w:rsid w:val="00D551DC"/>
    <w:rsid w:val="00D5534C"/>
    <w:rsid w:val="00D55EE5"/>
    <w:rsid w:val="00D5656A"/>
    <w:rsid w:val="00D56F07"/>
    <w:rsid w:val="00D6029B"/>
    <w:rsid w:val="00D70BA9"/>
    <w:rsid w:val="00D71507"/>
    <w:rsid w:val="00D73026"/>
    <w:rsid w:val="00D7303F"/>
    <w:rsid w:val="00D73DA2"/>
    <w:rsid w:val="00D77247"/>
    <w:rsid w:val="00D80C2F"/>
    <w:rsid w:val="00D81CEB"/>
    <w:rsid w:val="00D82F3B"/>
    <w:rsid w:val="00D82FCB"/>
    <w:rsid w:val="00D83F00"/>
    <w:rsid w:val="00D85A01"/>
    <w:rsid w:val="00D86D5F"/>
    <w:rsid w:val="00D921E2"/>
    <w:rsid w:val="00D92DE7"/>
    <w:rsid w:val="00D94D78"/>
    <w:rsid w:val="00D9596C"/>
    <w:rsid w:val="00D9719C"/>
    <w:rsid w:val="00DA187C"/>
    <w:rsid w:val="00DA3DD8"/>
    <w:rsid w:val="00DA4407"/>
    <w:rsid w:val="00DA5A4A"/>
    <w:rsid w:val="00DA6401"/>
    <w:rsid w:val="00DA6876"/>
    <w:rsid w:val="00DA6E19"/>
    <w:rsid w:val="00DB28A3"/>
    <w:rsid w:val="00DC0693"/>
    <w:rsid w:val="00DC07DD"/>
    <w:rsid w:val="00DC3E2D"/>
    <w:rsid w:val="00DC6350"/>
    <w:rsid w:val="00DC6F4E"/>
    <w:rsid w:val="00DD0A91"/>
    <w:rsid w:val="00DD0E1D"/>
    <w:rsid w:val="00DD2753"/>
    <w:rsid w:val="00DD3174"/>
    <w:rsid w:val="00DD6857"/>
    <w:rsid w:val="00DE0110"/>
    <w:rsid w:val="00DE0ECB"/>
    <w:rsid w:val="00DE11B1"/>
    <w:rsid w:val="00DE5B33"/>
    <w:rsid w:val="00DE5D59"/>
    <w:rsid w:val="00DF0DC8"/>
    <w:rsid w:val="00DF4432"/>
    <w:rsid w:val="00DF544B"/>
    <w:rsid w:val="00DF631F"/>
    <w:rsid w:val="00DF6391"/>
    <w:rsid w:val="00DF6B32"/>
    <w:rsid w:val="00E004D6"/>
    <w:rsid w:val="00E02167"/>
    <w:rsid w:val="00E028A0"/>
    <w:rsid w:val="00E02FBC"/>
    <w:rsid w:val="00E031E2"/>
    <w:rsid w:val="00E03D91"/>
    <w:rsid w:val="00E0429A"/>
    <w:rsid w:val="00E04AFD"/>
    <w:rsid w:val="00E06A36"/>
    <w:rsid w:val="00E07B5E"/>
    <w:rsid w:val="00E11AFB"/>
    <w:rsid w:val="00E12377"/>
    <w:rsid w:val="00E13578"/>
    <w:rsid w:val="00E135C2"/>
    <w:rsid w:val="00E140AD"/>
    <w:rsid w:val="00E15ED3"/>
    <w:rsid w:val="00E168F1"/>
    <w:rsid w:val="00E20CF5"/>
    <w:rsid w:val="00E27AC2"/>
    <w:rsid w:val="00E310E0"/>
    <w:rsid w:val="00E311AB"/>
    <w:rsid w:val="00E317CE"/>
    <w:rsid w:val="00E326D4"/>
    <w:rsid w:val="00E32D04"/>
    <w:rsid w:val="00E3492B"/>
    <w:rsid w:val="00E35677"/>
    <w:rsid w:val="00E3633D"/>
    <w:rsid w:val="00E36F98"/>
    <w:rsid w:val="00E37497"/>
    <w:rsid w:val="00E37B62"/>
    <w:rsid w:val="00E40C42"/>
    <w:rsid w:val="00E42F32"/>
    <w:rsid w:val="00E45557"/>
    <w:rsid w:val="00E472E2"/>
    <w:rsid w:val="00E50172"/>
    <w:rsid w:val="00E5352C"/>
    <w:rsid w:val="00E55579"/>
    <w:rsid w:val="00E55BCC"/>
    <w:rsid w:val="00E60FA4"/>
    <w:rsid w:val="00E63EBD"/>
    <w:rsid w:val="00E63F9D"/>
    <w:rsid w:val="00E6482C"/>
    <w:rsid w:val="00E65206"/>
    <w:rsid w:val="00E66030"/>
    <w:rsid w:val="00E670A2"/>
    <w:rsid w:val="00E7111C"/>
    <w:rsid w:val="00E72376"/>
    <w:rsid w:val="00E74D34"/>
    <w:rsid w:val="00E756C3"/>
    <w:rsid w:val="00E76B51"/>
    <w:rsid w:val="00E8282C"/>
    <w:rsid w:val="00E8348A"/>
    <w:rsid w:val="00E85703"/>
    <w:rsid w:val="00E85C6A"/>
    <w:rsid w:val="00E86A93"/>
    <w:rsid w:val="00E87CF2"/>
    <w:rsid w:val="00E90708"/>
    <w:rsid w:val="00E9091D"/>
    <w:rsid w:val="00E90B31"/>
    <w:rsid w:val="00E91075"/>
    <w:rsid w:val="00E91A71"/>
    <w:rsid w:val="00E92095"/>
    <w:rsid w:val="00E9306E"/>
    <w:rsid w:val="00E934EB"/>
    <w:rsid w:val="00E93669"/>
    <w:rsid w:val="00E94126"/>
    <w:rsid w:val="00E94565"/>
    <w:rsid w:val="00E946AB"/>
    <w:rsid w:val="00E95787"/>
    <w:rsid w:val="00EA142E"/>
    <w:rsid w:val="00EA327B"/>
    <w:rsid w:val="00EA3502"/>
    <w:rsid w:val="00EA492F"/>
    <w:rsid w:val="00EA576F"/>
    <w:rsid w:val="00EA72E7"/>
    <w:rsid w:val="00EB0B97"/>
    <w:rsid w:val="00EB2F31"/>
    <w:rsid w:val="00EB4B03"/>
    <w:rsid w:val="00EB5901"/>
    <w:rsid w:val="00EB7FC8"/>
    <w:rsid w:val="00EC2BF4"/>
    <w:rsid w:val="00EC42C2"/>
    <w:rsid w:val="00EC4AE9"/>
    <w:rsid w:val="00EC562E"/>
    <w:rsid w:val="00EC6D8F"/>
    <w:rsid w:val="00ED20E6"/>
    <w:rsid w:val="00ED4345"/>
    <w:rsid w:val="00ED480C"/>
    <w:rsid w:val="00ED5D5B"/>
    <w:rsid w:val="00EE0BE6"/>
    <w:rsid w:val="00EE1307"/>
    <w:rsid w:val="00EE1C80"/>
    <w:rsid w:val="00EE401B"/>
    <w:rsid w:val="00EE5943"/>
    <w:rsid w:val="00EE7D81"/>
    <w:rsid w:val="00EF1D39"/>
    <w:rsid w:val="00EF349D"/>
    <w:rsid w:val="00EF38CF"/>
    <w:rsid w:val="00EF4872"/>
    <w:rsid w:val="00F011C2"/>
    <w:rsid w:val="00F02267"/>
    <w:rsid w:val="00F04FD7"/>
    <w:rsid w:val="00F0624B"/>
    <w:rsid w:val="00F0639E"/>
    <w:rsid w:val="00F07D35"/>
    <w:rsid w:val="00F11139"/>
    <w:rsid w:val="00F12054"/>
    <w:rsid w:val="00F13792"/>
    <w:rsid w:val="00F14FE4"/>
    <w:rsid w:val="00F2285D"/>
    <w:rsid w:val="00F236B3"/>
    <w:rsid w:val="00F23D0A"/>
    <w:rsid w:val="00F25327"/>
    <w:rsid w:val="00F2735D"/>
    <w:rsid w:val="00F27B29"/>
    <w:rsid w:val="00F32643"/>
    <w:rsid w:val="00F33649"/>
    <w:rsid w:val="00F3415E"/>
    <w:rsid w:val="00F3675E"/>
    <w:rsid w:val="00F37CA2"/>
    <w:rsid w:val="00F44B82"/>
    <w:rsid w:val="00F45999"/>
    <w:rsid w:val="00F4623E"/>
    <w:rsid w:val="00F468BF"/>
    <w:rsid w:val="00F506DD"/>
    <w:rsid w:val="00F51D5C"/>
    <w:rsid w:val="00F5374F"/>
    <w:rsid w:val="00F54B56"/>
    <w:rsid w:val="00F63E6D"/>
    <w:rsid w:val="00F667F8"/>
    <w:rsid w:val="00F67868"/>
    <w:rsid w:val="00F7174D"/>
    <w:rsid w:val="00F7258A"/>
    <w:rsid w:val="00F72648"/>
    <w:rsid w:val="00F75BB2"/>
    <w:rsid w:val="00F76490"/>
    <w:rsid w:val="00F80465"/>
    <w:rsid w:val="00F8290D"/>
    <w:rsid w:val="00F86F37"/>
    <w:rsid w:val="00F87B1F"/>
    <w:rsid w:val="00F9355B"/>
    <w:rsid w:val="00F95DCA"/>
    <w:rsid w:val="00F97E75"/>
    <w:rsid w:val="00FA0FF9"/>
    <w:rsid w:val="00FA106E"/>
    <w:rsid w:val="00FA19E1"/>
    <w:rsid w:val="00FA2A31"/>
    <w:rsid w:val="00FA328B"/>
    <w:rsid w:val="00FA46EF"/>
    <w:rsid w:val="00FA7DA8"/>
    <w:rsid w:val="00FB098B"/>
    <w:rsid w:val="00FB1869"/>
    <w:rsid w:val="00FB1C91"/>
    <w:rsid w:val="00FB3B98"/>
    <w:rsid w:val="00FB79EE"/>
    <w:rsid w:val="00FB7A22"/>
    <w:rsid w:val="00FC09AF"/>
    <w:rsid w:val="00FC105D"/>
    <w:rsid w:val="00FC125C"/>
    <w:rsid w:val="00FC3116"/>
    <w:rsid w:val="00FC5046"/>
    <w:rsid w:val="00FC64B7"/>
    <w:rsid w:val="00FC6B77"/>
    <w:rsid w:val="00FC786F"/>
    <w:rsid w:val="00FD28D6"/>
    <w:rsid w:val="00FD3903"/>
    <w:rsid w:val="00FD7D3B"/>
    <w:rsid w:val="00FD7F58"/>
    <w:rsid w:val="00FE103A"/>
    <w:rsid w:val="00FE18BE"/>
    <w:rsid w:val="00FE1BD8"/>
    <w:rsid w:val="00FE245C"/>
    <w:rsid w:val="00FE3332"/>
    <w:rsid w:val="00FE4301"/>
    <w:rsid w:val="00FE45DB"/>
    <w:rsid w:val="00FE4D37"/>
    <w:rsid w:val="00FE78C8"/>
    <w:rsid w:val="00FE7985"/>
    <w:rsid w:val="00FF1DC3"/>
    <w:rsid w:val="00FF3571"/>
    <w:rsid w:val="00FF7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semiHidden/>
    <w:rsid w:val="00055199"/>
    <w:rPr>
      <w:rFonts w:ascii="Tahoma" w:hAnsi="Tahoma" w:cs="Tahoma"/>
      <w:sz w:val="16"/>
      <w:szCs w:val="16"/>
    </w:rPr>
  </w:style>
  <w:style w:type="paragraph" w:styleId="Lijstalinea">
    <w:name w:val="List Paragraph"/>
    <w:basedOn w:val="Standaard"/>
    <w:uiPriority w:val="34"/>
    <w:qFormat/>
    <w:rsid w:val="00B54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tabs>
        <w:tab w:val="left" w:pos="-1440"/>
        <w:tab w:val="left" w:pos="-720"/>
      </w:tabs>
      <w:suppressAutoHyphens/>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semiHidden/>
    <w:rsid w:val="00055199"/>
    <w:rPr>
      <w:rFonts w:ascii="Tahoma" w:hAnsi="Tahoma" w:cs="Tahoma"/>
      <w:sz w:val="16"/>
      <w:szCs w:val="16"/>
    </w:rPr>
  </w:style>
  <w:style w:type="paragraph" w:styleId="Lijstalinea">
    <w:name w:val="List Paragraph"/>
    <w:basedOn w:val="Standaard"/>
    <w:uiPriority w:val="34"/>
    <w:qFormat/>
    <w:rsid w:val="00B54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2797</ap:Words>
  <ap:Characters>16080</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2018-10-11T15:25:00.0000000Z</lastPrinted>
  <dcterms:created xsi:type="dcterms:W3CDTF">2019-06-11T08:00:00.0000000Z</dcterms:created>
  <dcterms:modified xsi:type="dcterms:W3CDTF">2019-06-11T11:12:00.0000000Z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0x010100DC5879835DFE944AAB1A8602B3CCF806</vt:lpwstr>
  </property>
</Properties>
</file>