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FF3D24" w:rsidP="00FF3D24" w:rsidRDefault="00FF3D24">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FF3D24" w:rsidP="00FF3D24" w:rsidRDefault="00FF3D24">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22 mei tot  6 juni 2019 </w:t>
      </w:r>
      <w:r w:rsidRPr="006566DD">
        <w:rPr>
          <w:rFonts w:asciiTheme="minorHAnsi" w:hAnsiTheme="minorHAnsi"/>
          <w:sz w:val="20"/>
          <w:szCs w:val="20"/>
          <w:u w:val="single"/>
        </w:rPr>
        <w:t xml:space="preserve">- d.d. </w:t>
      </w:r>
      <w:r>
        <w:rPr>
          <w:rFonts w:asciiTheme="minorHAnsi" w:hAnsiTheme="minorHAnsi"/>
          <w:sz w:val="20"/>
          <w:szCs w:val="20"/>
          <w:u w:val="single"/>
        </w:rPr>
        <w:t>12 juni 2019</w:t>
      </w:r>
    </w:p>
    <w:p w:rsidRPr="006566DD" w:rsidR="00FF3D24" w:rsidP="00FF3D24" w:rsidRDefault="00FF3D24">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FF3D24" w:rsidTr="001B5DDC">
        <w:trPr>
          <w:trHeight w:val="1550"/>
        </w:trPr>
        <w:tc>
          <w:tcPr>
            <w:tcW w:w="1433"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Voortouw</w:t>
            </w:r>
          </w:p>
        </w:tc>
        <w:tc>
          <w:tcPr>
            <w:tcW w:w="1559"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FF3D24" w:rsidP="001B5DDC" w:rsidRDefault="00FF3D24">
            <w:pPr>
              <w:rPr>
                <w:rFonts w:asciiTheme="minorHAnsi" w:hAnsiTheme="minorHAnsi"/>
                <w:b/>
                <w:bCs/>
                <w:color w:val="000000"/>
                <w:sz w:val="20"/>
                <w:szCs w:val="20"/>
              </w:rPr>
            </w:pPr>
          </w:p>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Sub.toets</w:t>
            </w:r>
          </w:p>
        </w:tc>
        <w:tc>
          <w:tcPr>
            <w:tcW w:w="3686" w:type="dxa"/>
            <w:shd w:val="clear" w:color="auto" w:fill="auto"/>
            <w:textDirection w:val="btLr"/>
            <w:vAlign w:val="bottom"/>
            <w:hideMark/>
          </w:tcPr>
          <w:p w:rsidRPr="006566DD" w:rsidR="00FF3D24" w:rsidP="001B5DDC" w:rsidRDefault="00FF3D24">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C66316" w:rsidR="00FF3D24" w:rsidTr="001B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F3D24" w:rsidR="00FF3D24" w:rsidP="00FF3D24" w:rsidRDefault="00FF3D24">
            <w:pPr>
              <w:rPr>
                <w:rFonts w:asciiTheme="minorHAnsi" w:hAnsiTheme="minorHAnsi"/>
                <w:color w:val="000000"/>
                <w:sz w:val="20"/>
                <w:szCs w:val="20"/>
              </w:rPr>
            </w:pPr>
            <w:r w:rsidRPr="00FF3D24">
              <w:rPr>
                <w:rFonts w:asciiTheme="minorHAnsi" w:hAnsiTheme="minorHAnsi"/>
                <w:color w:val="000000"/>
                <w:sz w:val="20"/>
                <w:szCs w:val="20"/>
              </w:rPr>
              <w:t>29 mei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F3D24" w:rsidR="00FF3D24" w:rsidP="001B5DDC" w:rsidRDefault="00FF3D24">
            <w:pPr>
              <w:rPr>
                <w:rFonts w:asciiTheme="minorHAnsi" w:hAnsiTheme="minorHAnsi"/>
                <w:color w:val="000000"/>
                <w:sz w:val="20"/>
                <w:szCs w:val="20"/>
              </w:rPr>
            </w:pPr>
            <w:r w:rsidRPr="00FF3D24">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F3D24" w:rsidR="00FF3D24" w:rsidP="00FF3D24" w:rsidRDefault="00FF3D24">
            <w:pPr>
              <w:rPr>
                <w:rFonts w:asciiTheme="minorHAnsi" w:hAnsiTheme="minorHAnsi"/>
                <w:color w:val="000000"/>
                <w:sz w:val="20"/>
                <w:szCs w:val="20"/>
              </w:rPr>
            </w:pPr>
            <w:r w:rsidRPr="00FF3D24">
              <w:rPr>
                <w:rFonts w:asciiTheme="minorHAnsi" w:hAnsiTheme="minorHAnsi"/>
                <w:color w:val="000000"/>
                <w:sz w:val="20"/>
                <w:szCs w:val="20"/>
              </w:rPr>
              <w:t xml:space="preserve">Mededeling </w:t>
            </w:r>
          </w:p>
        </w:tc>
        <w:tc>
          <w:tcPr>
            <w:tcW w:w="5386" w:type="dxa"/>
            <w:tcBorders>
              <w:top w:val="single" w:color="auto" w:sz="4" w:space="0"/>
              <w:left w:val="nil"/>
              <w:bottom w:val="single" w:color="auto" w:sz="4" w:space="0"/>
              <w:right w:val="nil"/>
            </w:tcBorders>
            <w:shd w:val="clear" w:color="auto" w:fill="FFFFFF" w:themeFill="background1"/>
            <w:noWrap/>
          </w:tcPr>
          <w:p w:rsidRPr="00FF3D24" w:rsidR="00FF3D24" w:rsidP="001B5DDC" w:rsidRDefault="00FF3D24">
            <w:pPr>
              <w:rPr>
                <w:rFonts w:asciiTheme="minorHAnsi" w:hAnsiTheme="minorHAnsi"/>
                <w:color w:val="000000"/>
                <w:sz w:val="20"/>
                <w:szCs w:val="20"/>
              </w:rPr>
            </w:pPr>
            <w:r w:rsidRPr="00FF3D24">
              <w:rPr>
                <w:rFonts w:ascii="Calibri" w:hAnsi="Calibri"/>
                <w:color w:val="000000"/>
                <w:sz w:val="20"/>
                <w:szCs w:val="20"/>
              </w:rPr>
              <w:t>MEDEDELING VAN DE COMMISSIE AAN HET EUROPEES PARLEMENT EN DE RAAD Richtsnoeren over de verordening inzake een kader voor het vrije verkeer van niet-persoonsgebonden gegevens in de Europese Unie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F3D24" w:rsidR="00FF3D24" w:rsidP="001B5DDC" w:rsidRDefault="00A71912">
            <w:pPr>
              <w:rPr>
                <w:rFonts w:asciiTheme="minorHAnsi" w:hAnsiTheme="minorHAnsi"/>
                <w:sz w:val="20"/>
                <w:szCs w:val="20"/>
              </w:rPr>
            </w:pPr>
            <w:hyperlink w:history="1" r:id="rId9">
              <w:r w:rsidRPr="00FF3D24" w:rsidR="00FF3D24">
                <w:rPr>
                  <w:rStyle w:val="Hyperlink"/>
                  <w:rFonts w:ascii="Calibri" w:hAnsi="Calibri"/>
                  <w:sz w:val="20"/>
                  <w:szCs w:val="20"/>
                </w:rPr>
                <w:t>COM (2019) 250</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FF3D24" w:rsidR="00FF3D24" w:rsidP="001B5DDC" w:rsidRDefault="00FF3D24">
            <w:pPr>
              <w:rPr>
                <w:rFonts w:cs="Arial" w:asciiTheme="minorHAnsi" w:hAnsiTheme="minorHAnsi"/>
                <w:sz w:val="20"/>
                <w:szCs w:val="20"/>
              </w:rPr>
            </w:pPr>
            <w:r w:rsidRPr="00FF3D24">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F3D24" w:rsidR="00FF3D24" w:rsidP="001B5DDC" w:rsidRDefault="00FF3D24">
            <w:pPr>
              <w:rPr>
                <w:rFonts w:asciiTheme="minorHAnsi" w:hAnsiTheme="minorHAnsi"/>
                <w:color w:val="000000"/>
                <w:sz w:val="20"/>
                <w:szCs w:val="20"/>
              </w:rPr>
            </w:pPr>
            <w:r w:rsidRPr="00FF3D24">
              <w:rPr>
                <w:rFonts w:asciiTheme="minorHAnsi" w:hAnsiTheme="minorHAnsi"/>
                <w:color w:val="000000"/>
                <w:sz w:val="20"/>
                <w:szCs w:val="20"/>
                <w:u w:val="single"/>
              </w:rPr>
              <w:t>Behandeladvies:</w:t>
            </w:r>
            <w:r w:rsidRPr="003D1714" w:rsidR="003D1714">
              <w:rPr>
                <w:rFonts w:asciiTheme="minorHAnsi" w:hAnsiTheme="minorHAnsi"/>
                <w:color w:val="000000"/>
                <w:sz w:val="20"/>
                <w:szCs w:val="20"/>
              </w:rPr>
              <w:t xml:space="preserve"> Betrekken bij SO</w:t>
            </w:r>
            <w:r w:rsidR="003D1714">
              <w:rPr>
                <w:rFonts w:asciiTheme="minorHAnsi" w:hAnsiTheme="minorHAnsi"/>
                <w:color w:val="000000"/>
                <w:sz w:val="20"/>
                <w:szCs w:val="20"/>
              </w:rPr>
              <w:t xml:space="preserve"> informele Raad voor Concurrentievermogen d.d. 27 juni 2019. </w:t>
            </w:r>
            <w:r w:rsidRPr="003D1714" w:rsidR="003D1714">
              <w:rPr>
                <w:rFonts w:asciiTheme="minorHAnsi" w:hAnsiTheme="minorHAnsi"/>
                <w:color w:val="000000"/>
                <w:sz w:val="20"/>
                <w:szCs w:val="20"/>
              </w:rPr>
              <w:t xml:space="preserve"> </w:t>
            </w:r>
            <w:r w:rsidRPr="003D1714" w:rsidR="00483579">
              <w:rPr>
                <w:rFonts w:asciiTheme="minorHAnsi" w:hAnsiTheme="minorHAnsi"/>
                <w:color w:val="000000"/>
                <w:sz w:val="20"/>
                <w:szCs w:val="20"/>
              </w:rPr>
              <w:t xml:space="preserve"> </w:t>
            </w:r>
          </w:p>
          <w:p w:rsidR="00FF3D24" w:rsidP="00FF3D24" w:rsidRDefault="00FF3D24">
            <w:pPr>
              <w:rPr>
                <w:rFonts w:asciiTheme="minorHAnsi" w:hAnsiTheme="minorHAnsi"/>
                <w:color w:val="000000"/>
                <w:sz w:val="20"/>
                <w:szCs w:val="20"/>
              </w:rPr>
            </w:pPr>
            <w:r w:rsidRPr="00FF3D24">
              <w:rPr>
                <w:rFonts w:asciiTheme="minorHAnsi" w:hAnsiTheme="minorHAnsi"/>
                <w:color w:val="000000"/>
                <w:sz w:val="20"/>
                <w:szCs w:val="20"/>
                <w:u w:val="single"/>
              </w:rPr>
              <w:t>Noot:</w:t>
            </w:r>
            <w:r w:rsidRPr="00FF3D24">
              <w:rPr>
                <w:rFonts w:asciiTheme="minorHAnsi" w:hAnsiTheme="minorHAnsi"/>
                <w:color w:val="000000"/>
                <w:sz w:val="20"/>
                <w:szCs w:val="20"/>
              </w:rPr>
              <w:t xml:space="preserve"> </w:t>
            </w:r>
          </w:p>
          <w:p w:rsidRPr="00FF3D24" w:rsidR="00FF3D24" w:rsidP="006F2E81" w:rsidRDefault="00FF3D24">
            <w:pPr>
              <w:rPr>
                <w:rFonts w:asciiTheme="minorHAnsi" w:hAnsiTheme="minorHAnsi"/>
                <w:sz w:val="20"/>
                <w:szCs w:val="20"/>
              </w:rPr>
            </w:pPr>
            <w:r>
              <w:rPr>
                <w:rFonts w:asciiTheme="minorHAnsi" w:hAnsiTheme="minorHAnsi"/>
                <w:color w:val="000000"/>
                <w:sz w:val="20"/>
                <w:szCs w:val="20"/>
              </w:rPr>
              <w:t>Deze richtsnoeren zijn bedoeld om gebruikers, met name kleine en middelgrote ondernemingen, inzicht te helpen krijgen in de wisselwerking tussen de verordening inzake het vrije verkeer van niet-persoonsgebonden gegevens en de algemene verordening gegevensbescherming</w:t>
            </w:r>
            <w:r w:rsidR="00F50F0A">
              <w:rPr>
                <w:rFonts w:asciiTheme="minorHAnsi" w:hAnsiTheme="minorHAnsi"/>
                <w:color w:val="000000"/>
                <w:sz w:val="20"/>
                <w:szCs w:val="20"/>
              </w:rPr>
              <w:t xml:space="preserve"> (</w:t>
            </w:r>
            <w:r w:rsidR="006F2E81">
              <w:rPr>
                <w:rFonts w:asciiTheme="minorHAnsi" w:hAnsiTheme="minorHAnsi"/>
                <w:color w:val="000000"/>
                <w:sz w:val="20"/>
                <w:szCs w:val="20"/>
              </w:rPr>
              <w:t>AVG</w:t>
            </w:r>
            <w:r w:rsidR="00F50F0A">
              <w:rPr>
                <w:rFonts w:asciiTheme="minorHAnsi" w:hAnsiTheme="minorHAnsi"/>
                <w:color w:val="000000"/>
                <w:sz w:val="20"/>
                <w:szCs w:val="20"/>
              </w:rPr>
              <w:t>)</w:t>
            </w:r>
            <w:r>
              <w:rPr>
                <w:rFonts w:asciiTheme="minorHAnsi" w:hAnsiTheme="minorHAnsi"/>
                <w:color w:val="000000"/>
                <w:sz w:val="20"/>
                <w:szCs w:val="20"/>
              </w:rPr>
              <w:t>.</w:t>
            </w:r>
            <w:r w:rsidR="00F50F0A">
              <w:rPr>
                <w:rFonts w:asciiTheme="minorHAnsi" w:hAnsiTheme="minorHAnsi"/>
                <w:color w:val="000000"/>
                <w:sz w:val="20"/>
                <w:szCs w:val="20"/>
              </w:rPr>
              <w:t xml:space="preserve"> Volgens de EC wordt met de verordening inzake het vrij verkeer van niet-persoonsgebonden gegevens en de </w:t>
            </w:r>
            <w:r w:rsidR="006F2E81">
              <w:rPr>
                <w:rFonts w:asciiTheme="minorHAnsi" w:hAnsiTheme="minorHAnsi"/>
                <w:color w:val="000000"/>
                <w:sz w:val="20"/>
                <w:szCs w:val="20"/>
              </w:rPr>
              <w:t>AVG</w:t>
            </w:r>
            <w:r w:rsidR="00F50F0A">
              <w:rPr>
                <w:rFonts w:asciiTheme="minorHAnsi" w:hAnsiTheme="minorHAnsi"/>
                <w:color w:val="000000"/>
                <w:sz w:val="20"/>
                <w:szCs w:val="20"/>
              </w:rPr>
              <w:t xml:space="preserve"> </w:t>
            </w:r>
            <w:r w:rsidR="006F2E81">
              <w:rPr>
                <w:rFonts w:asciiTheme="minorHAnsi" w:hAnsiTheme="minorHAnsi"/>
                <w:color w:val="000000"/>
                <w:sz w:val="20"/>
                <w:szCs w:val="20"/>
              </w:rPr>
              <w:t xml:space="preserve">de grondslag gelegd voor het vrije verkeer van alle gegevens binnen de EU en een sterk concurrerende Europese gegevenseconomie. </w:t>
            </w:r>
            <w:r w:rsidR="00F50F0A">
              <w:rPr>
                <w:rFonts w:asciiTheme="minorHAnsi" w:hAnsiTheme="minorHAnsi"/>
                <w:color w:val="000000"/>
                <w:sz w:val="20"/>
                <w:szCs w:val="20"/>
              </w:rPr>
              <w:t xml:space="preserve"> </w:t>
            </w:r>
          </w:p>
        </w:tc>
      </w:tr>
    </w:tbl>
    <w:p w:rsidR="00FF3D24" w:rsidP="00FF3D24" w:rsidRDefault="00FF3D24">
      <w:pPr>
        <w:rPr>
          <w:rFonts w:asciiTheme="minorHAnsi" w:hAnsiTheme="minorHAnsi"/>
          <w:sz w:val="20"/>
          <w:szCs w:val="20"/>
        </w:rPr>
      </w:pPr>
    </w:p>
    <w:p w:rsidR="00FF3D24" w:rsidP="00FF3D24" w:rsidRDefault="00FF3D24">
      <w:pPr>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00FF3D24" w:rsidP="00FF3D24" w:rsidRDefault="00FF3D24">
      <w:pPr>
        <w:autoSpaceDE w:val="0"/>
        <w:autoSpaceDN w:val="0"/>
        <w:adjustRightInd w:val="0"/>
        <w:rPr>
          <w:rFonts w:asciiTheme="minorHAnsi" w:hAnsiTheme="minorHAnsi"/>
          <w:sz w:val="20"/>
          <w:szCs w:val="20"/>
        </w:rPr>
      </w:pPr>
    </w:p>
    <w:p w:rsidRPr="00DB45B6" w:rsidR="00FF3D24" w:rsidP="00FF3D24" w:rsidRDefault="00FF3D24">
      <w:pPr>
        <w:autoSpaceDE w:val="0"/>
        <w:autoSpaceDN w:val="0"/>
        <w:adjustRightInd w:val="0"/>
        <w:rPr>
          <w:rFonts w:asciiTheme="minorHAnsi" w:hAnsiTheme="minorHAnsi"/>
          <w:sz w:val="20"/>
          <w:szCs w:val="20"/>
        </w:rPr>
      </w:pPr>
      <w:r w:rsidRPr="00DB45B6">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00FF3D24" w:rsidP="00FF3D24" w:rsidRDefault="00FF3D24">
      <w:pPr>
        <w:rPr>
          <w:rFonts w:asciiTheme="minorHAnsi" w:hAnsiTheme="minorHAnsi"/>
          <w:sz w:val="20"/>
          <w:szCs w:val="20"/>
        </w:rPr>
      </w:pPr>
      <w:r w:rsidRPr="00DB45B6">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FF3D24" w:rsidP="00FF3D24" w:rsidRDefault="00FF3D24">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FF3D24" w:rsidTr="001B5DDC">
        <w:tc>
          <w:tcPr>
            <w:tcW w:w="2093" w:type="dxa"/>
          </w:tcPr>
          <w:p w:rsidRPr="00DB45B6" w:rsidR="00FF3D24" w:rsidP="001B5DDC" w:rsidRDefault="00FF3D24">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FF3D24" w:rsidP="001B5DDC" w:rsidRDefault="00FF3D24">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FF3D24" w:rsidP="001B5DDC" w:rsidRDefault="00FF3D24">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FF3D24" w:rsidTr="001B5DDC">
        <w:tc>
          <w:tcPr>
            <w:tcW w:w="14142" w:type="dxa"/>
            <w:gridSpan w:val="3"/>
          </w:tcPr>
          <w:p w:rsidRPr="00DB45B6" w:rsidR="00FF3D24" w:rsidP="001B5DDC" w:rsidRDefault="00FF3D24">
            <w:pPr>
              <w:rPr>
                <w:rFonts w:asciiTheme="minorHAnsi" w:hAnsiTheme="minorHAnsi"/>
                <w:i/>
                <w:sz w:val="20"/>
                <w:szCs w:val="20"/>
              </w:rPr>
            </w:pPr>
          </w:p>
          <w:p w:rsidRPr="00DB45B6" w:rsidR="00FF3D24" w:rsidP="001B5DDC" w:rsidRDefault="00FF3D24">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subsidiariteitstoets overwegen: let op termijn (zie hieronder).</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behandelvoorbehoud overwegen: let op termijn (zie hieronder).</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(i.h.k.v. omzetting naar nationale wetgeving).</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FF3D24" w:rsidP="001B5DDC" w:rsidRDefault="00FF3D24">
            <w:pPr>
              <w:numPr>
                <w:ilvl w:val="0"/>
                <w:numId w:val="2"/>
              </w:numPr>
              <w:ind w:left="317" w:hanging="283"/>
              <w:rPr>
                <w:rFonts w:asciiTheme="minorHAnsi" w:hAnsiTheme="minorHAnsi"/>
                <w:sz w:val="20"/>
                <w:szCs w:val="20"/>
              </w:rPr>
            </w:pP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w:t>
            </w:r>
            <w:r w:rsidRPr="00DB45B6">
              <w:rPr>
                <w:rFonts w:asciiTheme="minorHAnsi" w:hAnsiTheme="minorHAnsi"/>
                <w:sz w:val="20"/>
                <w:szCs w:val="20"/>
              </w:rPr>
              <w:lastRenderedPageBreak/>
              <w:t xml:space="preserve">kunnen besluiten ook algemeen verbindende voorschriften bevatten. In dat 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FF3D24" w:rsidP="001B5DDC" w:rsidRDefault="00FF3D24">
            <w:pPr>
              <w:numPr>
                <w:ilvl w:val="0"/>
                <w:numId w:val="2"/>
              </w:numPr>
              <w:ind w:left="317" w:hanging="283"/>
              <w:rPr>
                <w:rFonts w:asciiTheme="minorHAnsi" w:hAnsiTheme="minorHAnsi"/>
                <w:sz w:val="20"/>
                <w:szCs w:val="20"/>
              </w:rPr>
            </w:pPr>
          </w:p>
        </w:tc>
      </w:tr>
      <w:tr w:rsidRPr="00DB45B6" w:rsidR="00FF3D24" w:rsidTr="001B5DDC">
        <w:tc>
          <w:tcPr>
            <w:tcW w:w="14142" w:type="dxa"/>
            <w:gridSpan w:val="3"/>
          </w:tcPr>
          <w:p w:rsidRPr="00DB45B6" w:rsidR="00FF3D24" w:rsidP="001B5DDC" w:rsidRDefault="00FF3D24">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B45B6" w:rsidR="00FF3D24" w:rsidP="001B5DDC" w:rsidRDefault="00FF3D24">
            <w:pPr>
              <w:ind w:left="360"/>
              <w:rPr>
                <w:rFonts w:asciiTheme="minorHAnsi" w:hAnsiTheme="minorHAnsi"/>
                <w:sz w:val="20"/>
                <w:szCs w:val="20"/>
              </w:rPr>
            </w:pP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 per brief of tijdens algemeen overleg/debat bevragen over stand van zaken en appreciatie EU onderhandelingen en NL inzet.</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0">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Handelingen vastgesteld volgens de </w:t>
            </w:r>
            <w:r w:rsidRPr="00DB45B6">
              <w:rPr>
                <w:rFonts w:asciiTheme="minorHAnsi" w:hAnsiTheme="minorHAnsi"/>
                <w:sz w:val="20"/>
                <w:szCs w:val="20"/>
              </w:rPr>
              <w:lastRenderedPageBreak/>
              <w:t>regelgevingsprocedure met toetsing</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w:t>
            </w:r>
            <w:r w:rsidRPr="00DB45B6">
              <w:rPr>
                <w:rFonts w:asciiTheme="minorHAnsi" w:hAnsiTheme="minorHAnsi"/>
                <w:sz w:val="20"/>
                <w:szCs w:val="20"/>
              </w:rPr>
              <w:lastRenderedPageBreak/>
              <w:t>regelgevend comité met toetsing met vertegenwoordigers van lidstaten. Dit comité spreekt zich met gekwalificeerde meerderheid van stemmen uit over het voorstel. EP en Raad kunnen bezwaar maken.</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bevragen over stand van zaken en appreciatie EU onderhandelingen en NL </w:t>
            </w:r>
            <w:r w:rsidRPr="00DB45B6">
              <w:rPr>
                <w:rFonts w:asciiTheme="minorHAnsi" w:hAnsiTheme="minorHAnsi"/>
                <w:sz w:val="20"/>
                <w:szCs w:val="20"/>
              </w:rPr>
              <w:lastRenderedPageBreak/>
              <w:t>inzet, inclusief het voornemen van NL of andere lidstaten om binnen de Raad een bezwaarprocedure te initiëren.</w:t>
            </w:r>
          </w:p>
          <w:p w:rsidRPr="00DB45B6" w:rsidR="00FF3D24" w:rsidP="001B5DDC" w:rsidRDefault="00FF3D24">
            <w:pPr>
              <w:numPr>
                <w:ilvl w:val="0"/>
                <w:numId w:val="1"/>
              </w:numPr>
              <w:rPr>
                <w:rFonts w:asciiTheme="minorHAnsi" w:hAnsiTheme="minorHAnsi"/>
                <w:sz w:val="20"/>
                <w:szCs w:val="20"/>
              </w:rPr>
            </w:pP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FF3D24" w:rsidP="001B5DDC" w:rsidRDefault="00FF3D24">
            <w:pPr>
              <w:rPr>
                <w:rFonts w:asciiTheme="minorHAnsi" w:hAnsiTheme="minorHAnsi"/>
                <w:sz w:val="20"/>
                <w:szCs w:val="20"/>
              </w:rPr>
            </w:pP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FF3D24" w:rsidP="001B5DDC" w:rsidRDefault="00FF3D24">
            <w:pPr>
              <w:ind w:left="360"/>
              <w:rPr>
                <w:rFonts w:asciiTheme="minorHAnsi" w:hAnsiTheme="minorHAnsi"/>
                <w:sz w:val="20"/>
                <w:szCs w:val="20"/>
              </w:rPr>
            </w:pPr>
            <w:r w:rsidRPr="00DB45B6">
              <w:rPr>
                <w:rFonts w:asciiTheme="minorHAnsi" w:hAnsiTheme="minorHAnsi"/>
                <w:sz w:val="20"/>
                <w:szCs w:val="20"/>
              </w:rPr>
              <w:t>nationale wetgevingstraject (i.h.k.v. omzetting van richtlijn naar nationale wetgeving).</w:t>
            </w:r>
          </w:p>
        </w:tc>
      </w:tr>
      <w:tr w:rsidRPr="00DB45B6" w:rsidR="00FF3D24" w:rsidTr="001B5DDC">
        <w:tc>
          <w:tcPr>
            <w:tcW w:w="14142" w:type="dxa"/>
            <w:gridSpan w:val="3"/>
          </w:tcPr>
          <w:p w:rsidRPr="00DB45B6" w:rsidR="00FF3D24" w:rsidP="001B5DDC" w:rsidRDefault="00FF3D24">
            <w:pPr>
              <w:rPr>
                <w:rFonts w:asciiTheme="minorHAnsi" w:hAnsiTheme="minorHAnsi"/>
                <w:i/>
                <w:sz w:val="20"/>
                <w:szCs w:val="20"/>
              </w:rPr>
            </w:pPr>
            <w:r w:rsidRPr="00DB45B6">
              <w:rPr>
                <w:rFonts w:asciiTheme="minorHAnsi" w:hAnsiTheme="minorHAnsi"/>
                <w:i/>
                <w:sz w:val="20"/>
                <w:szCs w:val="20"/>
              </w:rPr>
              <w:t>Niet-bindende handelingen (soft-law)</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Advies, aanbeveling, mededeling</w:t>
            </w:r>
          </w:p>
          <w:p w:rsidRPr="00DB45B6" w:rsidR="00FF3D24" w:rsidP="001B5DDC" w:rsidRDefault="00FF3D24">
            <w:pPr>
              <w:jc w:val="right"/>
              <w:rPr>
                <w:rFonts w:asciiTheme="minorHAnsi" w:hAnsiTheme="minorHAnsi"/>
                <w:sz w:val="20"/>
                <w:szCs w:val="20"/>
              </w:rPr>
            </w:pPr>
          </w:p>
          <w:p w:rsidRPr="00DB45B6" w:rsidR="00FF3D24" w:rsidP="001B5DDC" w:rsidRDefault="00FF3D24">
            <w:pPr>
              <w:jc w:val="right"/>
              <w:rPr>
                <w:rFonts w:asciiTheme="minorHAnsi" w:hAnsiTheme="minorHAnsi"/>
                <w:sz w:val="20"/>
                <w:szCs w:val="20"/>
              </w:rPr>
            </w:pPr>
          </w:p>
          <w:p w:rsidRPr="00DB45B6" w:rsidR="00FF3D24" w:rsidP="001B5DDC" w:rsidRDefault="00FF3D24">
            <w:pPr>
              <w:jc w:val="right"/>
              <w:rPr>
                <w:rFonts w:asciiTheme="minorHAnsi" w:hAnsiTheme="minorHAnsi"/>
                <w:sz w:val="20"/>
                <w:szCs w:val="20"/>
              </w:rPr>
            </w:pPr>
          </w:p>
          <w:p w:rsidRPr="00DB45B6" w:rsidR="00FF3D24" w:rsidP="001B5DDC" w:rsidRDefault="00FF3D24">
            <w:pPr>
              <w:jc w:val="right"/>
              <w:rPr>
                <w:rFonts w:asciiTheme="minorHAnsi" w:hAnsiTheme="minorHAnsi"/>
                <w:sz w:val="20"/>
                <w:szCs w:val="20"/>
              </w:rPr>
            </w:pPr>
          </w:p>
          <w:p w:rsidRPr="00DB45B6" w:rsidR="00FF3D24" w:rsidP="001B5DDC" w:rsidRDefault="00FF3D24">
            <w:pPr>
              <w:jc w:val="right"/>
              <w:rPr>
                <w:rFonts w:asciiTheme="minorHAnsi" w:hAnsiTheme="minorHAnsi"/>
                <w:sz w:val="20"/>
                <w:szCs w:val="20"/>
              </w:rPr>
            </w:pPr>
          </w:p>
        </w:tc>
        <w:tc>
          <w:tcPr>
            <w:tcW w:w="6946" w:type="dxa"/>
          </w:tcPr>
          <w:p w:rsidRPr="00DB45B6" w:rsidR="00FF3D24" w:rsidP="001B5DDC" w:rsidRDefault="00FF3D24">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FF3D24" w:rsidP="001B5DDC" w:rsidRDefault="00FF3D24">
            <w:pPr>
              <w:rPr>
                <w:rFonts w:asciiTheme="minorHAnsi" w:hAnsiTheme="minorHAnsi"/>
                <w:sz w:val="20"/>
                <w:szCs w:val="20"/>
              </w:rPr>
            </w:pPr>
          </w:p>
          <w:p w:rsidRPr="00DB45B6" w:rsidR="00FF3D24" w:rsidP="001B5DDC" w:rsidRDefault="00FF3D24">
            <w:pPr>
              <w:rPr>
                <w:rFonts w:asciiTheme="minorHAnsi" w:hAnsiTheme="minorHAnsi"/>
                <w:sz w:val="20"/>
                <w:szCs w:val="20"/>
              </w:rPr>
            </w:pPr>
          </w:p>
          <w:p w:rsidRPr="00DB45B6" w:rsidR="00FF3D24" w:rsidP="001B5DDC" w:rsidRDefault="00FF3D24">
            <w:pPr>
              <w:rPr>
                <w:rFonts w:asciiTheme="minorHAnsi" w:hAnsiTheme="minorHAnsi"/>
                <w:sz w:val="20"/>
                <w:szCs w:val="20"/>
              </w:rPr>
            </w:pPr>
          </w:p>
          <w:p w:rsidRPr="00DB45B6" w:rsidR="00FF3D24" w:rsidP="001B5DDC" w:rsidRDefault="00FF3D24">
            <w:pPr>
              <w:rPr>
                <w:rFonts w:asciiTheme="minorHAnsi" w:hAnsiTheme="minorHAnsi"/>
                <w:sz w:val="20"/>
                <w:szCs w:val="20"/>
              </w:rPr>
            </w:pPr>
          </w:p>
          <w:p w:rsidRPr="00DB45B6" w:rsidR="00FF3D24" w:rsidP="001B5DDC" w:rsidRDefault="00FF3D24">
            <w:pPr>
              <w:rPr>
                <w:rFonts w:asciiTheme="minorHAnsi" w:hAnsiTheme="minorHAnsi"/>
                <w:sz w:val="20"/>
                <w:szCs w:val="20"/>
              </w:rPr>
            </w:pPr>
          </w:p>
        </w:tc>
      </w:tr>
      <w:tr w:rsidRPr="00DB45B6" w:rsidR="00FF3D24" w:rsidTr="001B5DDC">
        <w:tc>
          <w:tcPr>
            <w:tcW w:w="14142" w:type="dxa"/>
            <w:gridSpan w:val="3"/>
          </w:tcPr>
          <w:p w:rsidRPr="00DB45B6" w:rsidR="00FF3D24" w:rsidP="001B5DDC" w:rsidRDefault="00FF3D24">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FF3D24" w:rsidP="001B5DDC" w:rsidRDefault="00FF3D24">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omtrent een onderwerp. Ook doet ze aanbevelingen voor nieuw beleid. </w:t>
            </w:r>
          </w:p>
          <w:p w:rsidRPr="00DB45B6" w:rsidR="00FF3D24" w:rsidP="001B5DDC" w:rsidRDefault="00FF3D24">
            <w:pPr>
              <w:rPr>
                <w:rFonts w:asciiTheme="minorHAnsi" w:hAnsiTheme="minorHAnsi"/>
                <w:sz w:val="20"/>
                <w:szCs w:val="20"/>
              </w:rPr>
            </w:pPr>
          </w:p>
          <w:p w:rsidRPr="00DB45B6" w:rsidR="00FF3D24" w:rsidP="001B5DDC" w:rsidRDefault="00FF3D24">
            <w:pPr>
              <w:rPr>
                <w:rFonts w:asciiTheme="minorHAnsi" w:hAnsiTheme="minorHAnsi"/>
                <w:sz w:val="20"/>
                <w:szCs w:val="20"/>
              </w:rPr>
            </w:pPr>
            <w:r w:rsidRPr="00DB45B6">
              <w:rPr>
                <w:rFonts w:asciiTheme="minorHAnsi" w:hAnsiTheme="minorHAnsi"/>
                <w:sz w:val="20"/>
                <w:szCs w:val="20"/>
              </w:rPr>
              <w:t>Witboek: hierin zet de Europese Commissie uiteen hoe zij bepaalde doelen wil bereiken. Vaak worden in een witboek al concrete voorstellen uitgewerkt en toegelicht.</w:t>
            </w:r>
          </w:p>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w:t>
            </w:r>
            <w:r w:rsidRPr="00DB45B6">
              <w:rPr>
                <w:rFonts w:asciiTheme="minorHAnsi" w:hAnsiTheme="minorHAnsi"/>
                <w:sz w:val="20"/>
                <w:szCs w:val="20"/>
              </w:rPr>
              <w:lastRenderedPageBreak/>
              <w:t>vorm van een politieke dialoog) of als lid, burger of via fracties een reactie sturen aan de Europese Commissie.</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FF3D24" w:rsidP="001B5DDC" w:rsidRDefault="00FF3D24">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FF3D24" w:rsidP="001B5DDC" w:rsidRDefault="00FF3D24">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FF3D24" w:rsidP="001B5DDC" w:rsidRDefault="00FF3D24">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kabinet verzoeken om de concept-kabinetsreactie naar de Kamer te sturen voordat de definitieve versie naar de Europese Commissie wordt gestuurd, teneinde desgewenst hierover met de bewindspersoon in gesprek te treden.</w:t>
            </w:r>
          </w:p>
          <w:p w:rsidRPr="00DB45B6" w:rsidR="00FF3D24" w:rsidP="001B5DDC" w:rsidRDefault="00FF3D24">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de Kamer ontvangt krachtens de standaard-informatieafspraken de definitieve kabinetsreactie op alle consultaties van de Europese Commissie waarop het kabinet reageert.</w:t>
            </w:r>
          </w:p>
        </w:tc>
      </w:tr>
      <w:tr w:rsidRPr="00DB45B6" w:rsidR="00FF3D24" w:rsidTr="001B5DDC">
        <w:tc>
          <w:tcPr>
            <w:tcW w:w="14142" w:type="dxa"/>
            <w:gridSpan w:val="3"/>
          </w:tcPr>
          <w:p w:rsidRPr="00DB45B6" w:rsidR="00FF3D24" w:rsidP="001B5DDC" w:rsidRDefault="00FF3D24">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FF3D24" w:rsidP="001B5DDC" w:rsidRDefault="00FF3D24">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FF3D24" w:rsidP="001B5DDC" w:rsidRDefault="00FF3D24">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Elk parlement krijgt 2 stemmen, maar bij een bicameraal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 xml:space="preserve">met andere parlementen in overleg treden t.b.v. behalen meerderheid voor ’gele kaart’ (1/3 stemmen) via parlementaire vertegenwoordiging en/of fractielijnen. </w:t>
            </w:r>
          </w:p>
        </w:tc>
      </w:tr>
      <w:tr w:rsidRPr="00DB45B6" w:rsidR="00FF3D24" w:rsidTr="001B5DDC">
        <w:tc>
          <w:tcPr>
            <w:tcW w:w="2093" w:type="dxa"/>
          </w:tcPr>
          <w:p w:rsidRPr="00DB45B6" w:rsidR="00FF3D24" w:rsidP="001B5DDC" w:rsidRDefault="00FF3D24">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FF3D24" w:rsidP="001B5DDC" w:rsidRDefault="00FF3D24">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w:t>
            </w:r>
            <w:r w:rsidRPr="00DB45B6">
              <w:rPr>
                <w:rFonts w:asciiTheme="minorHAnsi" w:hAnsiTheme="minorHAnsi" w:eastAsiaTheme="minorHAnsi"/>
                <w:sz w:val="20"/>
                <w:szCs w:val="20"/>
              </w:rPr>
              <w:lastRenderedPageBreak/>
              <w:t xml:space="preserve">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w:t>
            </w:r>
            <w:r w:rsidRPr="00DB45B6">
              <w:rPr>
                <w:rFonts w:asciiTheme="minorHAnsi" w:hAnsiTheme="minorHAnsi"/>
                <w:sz w:val="20"/>
                <w:szCs w:val="20"/>
              </w:rPr>
              <w:lastRenderedPageBreak/>
              <w:t>‘behandelvoorbehoud’. Over deze brief moet plenair gestemd worden (let op de termijnen).</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FF3D24" w:rsidP="001B5DDC" w:rsidRDefault="00FF3D24">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behandelvoorbehouden binnen drie weken t.b.v. een snelle behandeling.</w:t>
            </w:r>
          </w:p>
          <w:p w:rsidRPr="00DB45B6" w:rsidR="00FF3D24" w:rsidP="001B5DDC" w:rsidRDefault="00FF3D24">
            <w:pPr>
              <w:rPr>
                <w:rFonts w:asciiTheme="minorHAnsi" w:hAnsiTheme="minorHAnsi"/>
                <w:sz w:val="20"/>
                <w:szCs w:val="20"/>
              </w:rPr>
            </w:pPr>
          </w:p>
        </w:tc>
      </w:tr>
    </w:tbl>
    <w:p w:rsidR="00FF3D24" w:rsidP="00FF3D24" w:rsidRDefault="00FF3D24"/>
    <w:p w:rsidR="00FF3D24" w:rsidP="00FF3D24" w:rsidRDefault="00FF3D24"/>
    <w:p w:rsidR="00FF3D24" w:rsidP="00FF3D24" w:rsidRDefault="00FF3D24"/>
    <w:p w:rsidR="00FF3D24" w:rsidP="00FF3D24" w:rsidRDefault="00FF3D24"/>
    <w:p w:rsidR="00FF3D24" w:rsidP="00FF3D24" w:rsidRDefault="00FF3D24"/>
    <w:p w:rsidR="00FF3D24" w:rsidP="00FF3D24" w:rsidRDefault="00FF3D24"/>
    <w:p w:rsidR="00FF3D24" w:rsidP="00FF3D24" w:rsidRDefault="00FF3D24"/>
    <w:p w:rsidR="00FF3D24" w:rsidP="00FF3D24" w:rsidRDefault="00FF3D24"/>
    <w:p w:rsidR="00F618A7" w:rsidRDefault="00F618A7"/>
    <w:sectPr w:rsidR="00F618A7" w:rsidSect="00FF3D2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24" w:rsidRDefault="00FF3D24" w:rsidP="00FF3D24">
      <w:r>
        <w:separator/>
      </w:r>
    </w:p>
  </w:endnote>
  <w:endnote w:type="continuationSeparator" w:id="0">
    <w:p w:rsidR="00FF3D24" w:rsidRDefault="00FF3D24" w:rsidP="00FF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24" w:rsidRDefault="00FF3D24" w:rsidP="00FF3D24">
      <w:r>
        <w:separator/>
      </w:r>
    </w:p>
  </w:footnote>
  <w:footnote w:type="continuationSeparator" w:id="0">
    <w:p w:rsidR="00FF3D24" w:rsidRDefault="00FF3D24" w:rsidP="00FF3D24">
      <w:r>
        <w:continuationSeparator/>
      </w:r>
    </w:p>
  </w:footnote>
  <w:footnote w:id="1">
    <w:p w:rsidR="00FF3D24" w:rsidRDefault="00FF3D24" w:rsidP="00FF3D24">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F3D24" w:rsidRPr="00B45904" w:rsidRDefault="00FF3D24" w:rsidP="00FF3D24">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24"/>
    <w:rsid w:val="003D1714"/>
    <w:rsid w:val="00433D6E"/>
    <w:rsid w:val="00483579"/>
    <w:rsid w:val="006F2E81"/>
    <w:rsid w:val="00A71912"/>
    <w:rsid w:val="00F50F0A"/>
    <w:rsid w:val="00F618A7"/>
    <w:rsid w:val="00FF3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F3D2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3D24"/>
    <w:rPr>
      <w:color w:val="0000FF"/>
      <w:u w:val="single"/>
    </w:rPr>
  </w:style>
  <w:style w:type="paragraph" w:styleId="Voetnoottekst">
    <w:name w:val="footnote text"/>
    <w:basedOn w:val="Standaard"/>
    <w:link w:val="VoetnoottekstChar"/>
    <w:rsid w:val="00FF3D24"/>
    <w:rPr>
      <w:sz w:val="20"/>
      <w:szCs w:val="20"/>
    </w:rPr>
  </w:style>
  <w:style w:type="character" w:customStyle="1" w:styleId="VoetnoottekstChar">
    <w:name w:val="Voetnoottekst Char"/>
    <w:basedOn w:val="Standaardalinea-lettertype"/>
    <w:link w:val="Voetnoottekst"/>
    <w:rsid w:val="00FF3D24"/>
  </w:style>
  <w:style w:type="table" w:styleId="Tabelraster">
    <w:name w:val="Table Grid"/>
    <w:basedOn w:val="Standaardtabel"/>
    <w:rsid w:val="00FF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F3D24"/>
    <w:rPr>
      <w:vertAlign w:val="superscript"/>
    </w:rPr>
  </w:style>
  <w:style w:type="character" w:styleId="GevolgdeHyperlink">
    <w:name w:val="FollowedHyperlink"/>
    <w:basedOn w:val="Standaardalinea-lettertype"/>
    <w:rsid w:val="00FF3D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F3D2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3D24"/>
    <w:rPr>
      <w:color w:val="0000FF"/>
      <w:u w:val="single"/>
    </w:rPr>
  </w:style>
  <w:style w:type="paragraph" w:styleId="Voetnoottekst">
    <w:name w:val="footnote text"/>
    <w:basedOn w:val="Standaard"/>
    <w:link w:val="VoetnoottekstChar"/>
    <w:rsid w:val="00FF3D24"/>
    <w:rPr>
      <w:sz w:val="20"/>
      <w:szCs w:val="20"/>
    </w:rPr>
  </w:style>
  <w:style w:type="character" w:customStyle="1" w:styleId="VoetnoottekstChar">
    <w:name w:val="Voetnoottekst Char"/>
    <w:basedOn w:val="Standaardalinea-lettertype"/>
    <w:link w:val="Voetnoottekst"/>
    <w:rsid w:val="00FF3D24"/>
  </w:style>
  <w:style w:type="table" w:styleId="Tabelraster">
    <w:name w:val="Table Grid"/>
    <w:basedOn w:val="Standaardtabel"/>
    <w:rsid w:val="00FF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F3D24"/>
    <w:rPr>
      <w:vertAlign w:val="superscript"/>
    </w:rPr>
  </w:style>
  <w:style w:type="character" w:styleId="GevolgdeHyperlink">
    <w:name w:val="FollowedHyperlink"/>
    <w:basedOn w:val="Standaardalinea-lettertype"/>
    <w:rsid w:val="00FF3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5593">
      <w:bodyDiv w:val="1"/>
      <w:marLeft w:val="0"/>
      <w:marRight w:val="0"/>
      <w:marTop w:val="0"/>
      <w:marBottom w:val="0"/>
      <w:divBdr>
        <w:top w:val="none" w:sz="0" w:space="0" w:color="auto"/>
        <w:left w:val="none" w:sz="0" w:space="0" w:color="auto"/>
        <w:bottom w:val="none" w:sz="0" w:space="0" w:color="auto"/>
        <w:right w:val="none" w:sz="0" w:space="0" w:color="auto"/>
      </w:divBdr>
    </w:div>
    <w:div w:id="13089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ur-lex.europa.eu/legal-content/NL/TXT/?qid=1559569661119&amp;uri=CELEX:52019DC0250"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2438</ap:Words>
  <ap:Characters>13409</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2019-06-12T13:17:00.0000000Z</dcterms:created>
  <dcterms:modified xsi:type="dcterms:W3CDTF">2019-06-12T13:17:00.0000000Z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