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480AFC" w:rsidRDefault="00503110" w14:paraId="506F2A76" w14:textId="20FD4F27">
            <w:pPr>
              <w:jc w:val="right"/>
              <w:rPr>
                <w:b/>
                <w:sz w:val="22"/>
                <w:szCs w:val="22"/>
              </w:rPr>
            </w:pPr>
            <w:r w:rsidRPr="00B148EA">
              <w:rPr>
                <w:b/>
              </w:rPr>
              <w:t xml:space="preserve">Commissie </w:t>
            </w:r>
            <w:r w:rsidR="00480AFC">
              <w:rPr>
                <w:b/>
              </w:rPr>
              <w:t>SZW</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503110" w:rsidRDefault="00F9440A" w14:paraId="506F2A7B" w14:textId="43D3706A">
            <w:r>
              <w:t>Aan het Presidium</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480AFC" w:rsidRDefault="005F127E" w14:paraId="506F2A89" w14:textId="5E152D94">
            <w:r w:rsidRPr="00B148EA">
              <w:t xml:space="preserve">Den Haag, </w:t>
            </w:r>
            <w:r w:rsidR="00480AFC">
              <w:t>29 mei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480AFC" w:rsidRDefault="00480AFC" w14:paraId="506F2A8C" w14:textId="30D2538D">
            <w:r>
              <w:rPr>
                <w:szCs w:val="22"/>
              </w:rPr>
              <w:t xml:space="preserve">Onderzoek </w:t>
            </w:r>
            <w:proofErr w:type="spellStart"/>
            <w:r w:rsidR="008360A8">
              <w:rPr>
                <w:szCs w:val="22"/>
              </w:rPr>
              <w:t>Rathenau</w:t>
            </w:r>
            <w:proofErr w:type="spellEnd"/>
            <w:r w:rsidR="008360A8">
              <w:rPr>
                <w:szCs w:val="22"/>
              </w:rPr>
              <w:t xml:space="preserve"> Instituut</w:t>
            </w:r>
            <w:r>
              <w:rPr>
                <w:szCs w:val="22"/>
              </w:rPr>
              <w:t xml:space="preserve"> naar digitalisering</w:t>
            </w:r>
          </w:p>
        </w:tc>
      </w:tr>
      <w:tr w:rsidRPr="00B148EA" w:rsidR="00805686" w:rsidTr="002D587E" w14:paraId="506F2A90" w14:textId="77777777">
        <w:tc>
          <w:tcPr>
            <w:tcW w:w="1809" w:type="dxa"/>
          </w:tcPr>
          <w:p w:rsidRPr="00B148EA" w:rsidR="00805686" w:rsidP="00503110" w:rsidRDefault="00C462D3" w14:paraId="506F2A8E" w14:textId="21394822">
            <w:pPr>
              <w:rPr>
                <w:sz w:val="16"/>
              </w:rPr>
            </w:pPr>
            <w:r w:rsidRPr="00C462D3">
              <w:rPr>
                <w:sz w:val="16"/>
              </w:rPr>
              <w:t>Ons kenmerk:</w:t>
            </w:r>
          </w:p>
        </w:tc>
        <w:tc>
          <w:tcPr>
            <w:tcW w:w="7839" w:type="dxa"/>
            <w:gridSpan w:val="2"/>
          </w:tcPr>
          <w:p w:rsidRPr="00B148EA" w:rsidR="00805686" w:rsidP="008360A8" w:rsidRDefault="007D2CFE" w14:paraId="506F2A8F" w14:textId="0AF461C4">
            <w:r>
              <w:t>2019Z</w:t>
            </w:r>
            <w:r w:rsidR="00637744">
              <w:t>10766</w:t>
            </w:r>
            <w:r>
              <w:t>/2019D</w:t>
            </w:r>
            <w:r w:rsidR="00637744">
              <w:t>22178</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00805686" w:rsidP="00503110" w:rsidRDefault="00805686" w14:paraId="0894A1EE" w14:textId="77777777"/>
          <w:p w:rsidR="0074441E" w:rsidP="00503110" w:rsidRDefault="0074441E" w14:paraId="4914EEB8" w14:textId="77777777"/>
          <w:p w:rsidRPr="00B148EA" w:rsidR="0074441E" w:rsidP="00503110" w:rsidRDefault="0074441E" w14:paraId="506F2A99" w14:textId="77777777"/>
        </w:tc>
      </w:tr>
      <w:tr w:rsidRPr="00B148EA" w:rsidR="00805686" w14:paraId="506F2A9C" w14:textId="77777777">
        <w:tc>
          <w:tcPr>
            <w:tcW w:w="9648" w:type="dxa"/>
            <w:gridSpan w:val="3"/>
          </w:tcPr>
          <w:p w:rsidR="002F4C05" w:rsidP="00503110" w:rsidRDefault="002F4C05" w14:paraId="71F088CA" w14:textId="77777777"/>
          <w:p w:rsidR="00805686" w:rsidP="00503110" w:rsidRDefault="00FB2DAE" w14:paraId="218C7D95" w14:textId="73392294">
            <w:r w:rsidRPr="00B60BB2">
              <w:t>Geachte</w:t>
            </w:r>
            <w:r>
              <w:t xml:space="preserve"> leden van het Presidium,</w:t>
            </w:r>
          </w:p>
          <w:p w:rsidRPr="00B148EA" w:rsidR="00F9440A" w:rsidP="00503110" w:rsidRDefault="00F9440A" w14:paraId="506F2A9B" w14:textId="77777777"/>
        </w:tc>
      </w:tr>
      <w:tr w:rsidRPr="00B148EA" w:rsidR="00805686" w14:paraId="506F2AA2" w14:textId="77777777">
        <w:tc>
          <w:tcPr>
            <w:tcW w:w="9648" w:type="dxa"/>
            <w:gridSpan w:val="3"/>
          </w:tcPr>
          <w:p w:rsidRPr="009D1455" w:rsidR="009D1455" w:rsidP="009D1455" w:rsidRDefault="005856C8" w14:paraId="290AD7FC" w14:textId="62CAC13B">
            <w:r w:rsidRPr="003071CC">
              <w:rPr>
                <w:lang w:val="nl"/>
              </w:rPr>
              <w:t xml:space="preserve">Namens de </w:t>
            </w:r>
            <w:r>
              <w:rPr>
                <w:lang w:val="nl"/>
              </w:rPr>
              <w:t xml:space="preserve">leden van de </w:t>
            </w:r>
            <w:r w:rsidRPr="003071CC">
              <w:rPr>
                <w:lang w:val="nl"/>
              </w:rPr>
              <w:t xml:space="preserve">vaste commissie voor </w:t>
            </w:r>
            <w:r w:rsidR="00480AFC">
              <w:rPr>
                <w:lang w:val="nl"/>
              </w:rPr>
              <w:t>Sociale</w:t>
            </w:r>
            <w:r w:rsidR="009D1455">
              <w:rPr>
                <w:lang w:val="nl"/>
              </w:rPr>
              <w:t xml:space="preserve"> Z</w:t>
            </w:r>
            <w:r w:rsidR="00480AFC">
              <w:rPr>
                <w:lang w:val="nl"/>
              </w:rPr>
              <w:t xml:space="preserve">aken en Werkgelegenheid </w:t>
            </w:r>
            <w:r w:rsidRPr="00DD0C51">
              <w:rPr>
                <w:lang w:val="nl"/>
              </w:rPr>
              <w:t>verzoek ik u</w:t>
            </w:r>
            <w:r>
              <w:rPr>
                <w:lang w:val="nl"/>
              </w:rPr>
              <w:t xml:space="preserve"> </w:t>
            </w:r>
            <w:r w:rsidRPr="00DD0C51">
              <w:rPr>
                <w:lang w:val="nl"/>
              </w:rPr>
              <w:t>aan de Kamer voor te s</w:t>
            </w:r>
            <w:r>
              <w:rPr>
                <w:lang w:val="nl"/>
              </w:rPr>
              <w:t>tellen</w:t>
            </w:r>
            <w:r>
              <w:rPr>
                <w:rStyle w:val="Voetnootmarkering"/>
                <w:lang w:val="nl"/>
              </w:rPr>
              <w:footnoteReference w:id="1"/>
            </w:r>
            <w:r w:rsidRPr="00DD0C51">
              <w:rPr>
                <w:lang w:val="nl"/>
              </w:rPr>
              <w:t xml:space="preserve"> </w:t>
            </w:r>
            <w:r>
              <w:rPr>
                <w:lang w:val="nl"/>
              </w:rPr>
              <w:t xml:space="preserve">om </w:t>
            </w:r>
            <w:r w:rsidR="008360A8">
              <w:rPr>
                <w:lang w:val="nl"/>
              </w:rPr>
              <w:t xml:space="preserve">het Rathenau Instituut </w:t>
            </w:r>
            <w:r w:rsidR="004A2022">
              <w:rPr>
                <w:lang w:val="nl"/>
              </w:rPr>
              <w:t xml:space="preserve">te verzoeken </w:t>
            </w:r>
            <w:r w:rsidR="009D1455">
              <w:rPr>
                <w:lang w:val="nl"/>
              </w:rPr>
              <w:t xml:space="preserve">een onderzoek </w:t>
            </w:r>
            <w:r w:rsidR="004A2022">
              <w:rPr>
                <w:lang w:val="nl"/>
              </w:rPr>
              <w:t xml:space="preserve">te verrichten </w:t>
            </w:r>
            <w:r w:rsidR="009D1455">
              <w:rPr>
                <w:lang w:val="nl"/>
              </w:rPr>
              <w:t xml:space="preserve">naar </w:t>
            </w:r>
            <w:r w:rsidRPr="004E45D8" w:rsidR="009D1455">
              <w:t>digitalisering en kwaliteit van arbeid</w:t>
            </w:r>
            <w:r w:rsidR="00370455">
              <w:t xml:space="preserve"> (zie voorstel in bijlage)</w:t>
            </w:r>
            <w:r w:rsidR="009D1455">
              <w:t xml:space="preserve">. </w:t>
            </w:r>
            <w:bookmarkStart w:name="_GoBack" w:id="0"/>
            <w:bookmarkEnd w:id="0"/>
            <w:r w:rsidR="009D1455">
              <w:t xml:space="preserve">Het onderzoek </w:t>
            </w:r>
            <w:r w:rsidRPr="009D1455" w:rsidR="009D1455">
              <w:t xml:space="preserve">valt onder </w:t>
            </w:r>
            <w:r w:rsidR="009D1455">
              <w:t xml:space="preserve">een van de thema’s van </w:t>
            </w:r>
            <w:r w:rsidRPr="009D1455" w:rsidR="009D1455">
              <w:t>de Kennisagenda van de commissie SZW</w:t>
            </w:r>
            <w:r w:rsidR="009D1455">
              <w:t xml:space="preserve"> (‘Veranderende arbeidsmarkt’)</w:t>
            </w:r>
            <w:r w:rsidRPr="009D1455" w:rsidR="009D1455">
              <w:t>.</w:t>
            </w:r>
          </w:p>
          <w:p w:rsidRPr="009D1455" w:rsidR="005856C8" w:rsidP="005856C8" w:rsidRDefault="005856C8" w14:paraId="380C05C4" w14:textId="1A2BB5B3"/>
          <w:p w:rsidRPr="00FB2DAE" w:rsidR="00805686" w:rsidP="007D2CFE" w:rsidRDefault="005856C8" w14:paraId="506F2AA1" w14:textId="23F0EDED">
            <w:pPr>
              <w:rPr>
                <w:lang w:val="nl"/>
              </w:rPr>
            </w:pPr>
            <w:r w:rsidRPr="00DD0C51">
              <w:rPr>
                <w:lang w:val="nl"/>
              </w:rPr>
              <w:t xml:space="preserve">Ik </w:t>
            </w:r>
            <w:r w:rsidR="00BC0C50">
              <w:rPr>
                <w:lang w:val="nl"/>
              </w:rPr>
              <w:t>wil u vragen</w:t>
            </w:r>
            <w:r w:rsidRPr="00DD0C51">
              <w:rPr>
                <w:lang w:val="nl"/>
              </w:rPr>
              <w:t xml:space="preserve"> te bevorderen dat de Kamer hierover zo spoedig mogelijk een beslissing neemt.</w:t>
            </w:r>
          </w:p>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F9440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00805686" w:rsidP="00503110" w:rsidRDefault="00805686" w14:paraId="506F2AAA" w14:textId="77777777">
            <w:pPr>
              <w:rPr>
                <w:rStyle w:val="Verwijzingopmerking"/>
                <w:sz w:val="18"/>
                <w:szCs w:val="18"/>
              </w:rPr>
            </w:pPr>
          </w:p>
          <w:p w:rsidRPr="00B148EA" w:rsidR="00FB2DAE" w:rsidP="00503110" w:rsidRDefault="00FB2DAE" w14:paraId="399F5165" w14:textId="77777777">
            <w:pPr>
              <w:rPr>
                <w:rStyle w:val="Verwijzingopmerking"/>
                <w:sz w:val="18"/>
                <w:szCs w:val="18"/>
              </w:rPr>
            </w:pPr>
          </w:p>
          <w:p w:rsidR="00FB2DAE" w:rsidP="00B17280" w:rsidRDefault="009D1455" w14:paraId="45D51271" w14:textId="2D9A6802">
            <w:pPr>
              <w:rPr>
                <w:szCs w:val="18"/>
              </w:rPr>
            </w:pPr>
            <w:r>
              <w:rPr>
                <w:szCs w:val="18"/>
              </w:rPr>
              <w:t>Marc Esmeijer</w:t>
            </w:r>
          </w:p>
          <w:p w:rsidRPr="003071CC" w:rsidR="00FB2DAE" w:rsidP="00FB2DAE" w:rsidRDefault="00FB2DAE" w14:paraId="3571D3EB" w14:textId="77777777">
            <w:pPr>
              <w:rPr>
                <w:lang w:val="nl"/>
              </w:rPr>
            </w:pPr>
            <w:r w:rsidRPr="003071CC">
              <w:rPr>
                <w:lang w:val="nl"/>
              </w:rPr>
              <w:t>Griffier van de vaste commissie voor</w:t>
            </w:r>
          </w:p>
          <w:p w:rsidRPr="00F9440A" w:rsidR="00805686" w:rsidP="00503110" w:rsidRDefault="009D1455" w14:paraId="506F2AAB" w14:textId="5F331990">
            <w:pPr>
              <w:rPr>
                <w:rStyle w:val="Verwijzingopmerking"/>
                <w:sz w:val="18"/>
                <w:szCs w:val="24"/>
                <w:lang w:val="en-GB"/>
              </w:rPr>
            </w:pPr>
            <w:r w:rsidRPr="009D1455">
              <w:rPr>
                <w:lang w:val="nl"/>
              </w:rPr>
              <w:t xml:space="preserve">Sociale Zaken en Werkgelegenheid </w:t>
            </w:r>
          </w:p>
        </w:tc>
      </w:tr>
    </w:tbl>
    <w:p w:rsidR="00FB2DAE" w:rsidRDefault="00FB2DAE" w14:paraId="506F2AAD" w14:textId="0A5ADF4C">
      <w:pPr>
        <w:rPr>
          <w:rStyle w:val="Verwijzingopmerking"/>
          <w:sz w:val="18"/>
          <w:szCs w:val="22"/>
          <w:lang w:val="en-GB"/>
        </w:rPr>
      </w:pPr>
    </w:p>
    <w:p w:rsidR="00FB2DAE" w:rsidRDefault="00FB2DAE" w14:paraId="5B352E04" w14:textId="77777777">
      <w:pPr>
        <w:rPr>
          <w:rStyle w:val="Verwijzingopmerking"/>
          <w:sz w:val="18"/>
          <w:szCs w:val="22"/>
          <w:lang w:val="en-GB"/>
        </w:rPr>
      </w:pPr>
      <w:r>
        <w:rPr>
          <w:rStyle w:val="Verwijzingopmerking"/>
          <w:sz w:val="18"/>
          <w:szCs w:val="22"/>
          <w:lang w:val="en-GB"/>
        </w:rPr>
        <w:br w:type="page"/>
      </w:r>
    </w:p>
    <w:p w:rsidR="00FB2DAE" w:rsidP="00FB2DAE" w:rsidRDefault="00FB2DAE" w14:paraId="4D16C832" w14:textId="77777777">
      <w:pPr>
        <w:rPr>
          <w:lang w:val="nl"/>
        </w:rPr>
      </w:pPr>
    </w:p>
    <w:p w:rsidR="00FB2DAE" w:rsidP="00FB2DAE" w:rsidRDefault="00FB2DAE" w14:paraId="7E0AFD27" w14:textId="77777777">
      <w:pPr>
        <w:rPr>
          <w:lang w:val="nl"/>
        </w:rPr>
      </w:pPr>
    </w:p>
    <w:p w:rsidR="004A2022" w:rsidP="004A2022" w:rsidRDefault="004A2022" w14:paraId="60D5E954" w14:textId="77777777">
      <w:pPr>
        <w:pStyle w:val="Kop-Huisstijl"/>
        <w:rPr>
          <w:lang w:eastAsia="zh-CN" w:bidi="hi-IN"/>
        </w:rPr>
      </w:pPr>
    </w:p>
    <w:p w:rsidR="004A2022" w:rsidP="004A2022" w:rsidRDefault="004A2022" w14:paraId="096530B5" w14:textId="77777777">
      <w:pPr>
        <w:pStyle w:val="Kop-Huisstijl"/>
        <w:rPr>
          <w:lang w:eastAsia="zh-CN" w:bidi="hi-IN"/>
        </w:rPr>
      </w:pPr>
    </w:p>
    <w:p w:rsidR="004A2022" w:rsidP="004A2022" w:rsidRDefault="004A2022" w14:paraId="70884CA7" w14:textId="77777777">
      <w:pPr>
        <w:pStyle w:val="Kop-Huisstijl"/>
        <w:rPr>
          <w:lang w:eastAsia="zh-CN" w:bidi="hi-IN"/>
        </w:rPr>
      </w:pPr>
      <w:r>
        <w:rPr>
          <w:lang w:eastAsia="zh-CN" w:bidi="hi-IN"/>
        </w:rPr>
        <w:t xml:space="preserve">Bijlage 1 Onderzoeksvoorstel van het </w:t>
      </w:r>
      <w:proofErr w:type="spellStart"/>
      <w:r>
        <w:rPr>
          <w:lang w:eastAsia="zh-CN" w:bidi="hi-IN"/>
        </w:rPr>
        <w:t>Rathenau</w:t>
      </w:r>
      <w:proofErr w:type="spellEnd"/>
      <w:r>
        <w:rPr>
          <w:lang w:eastAsia="zh-CN" w:bidi="hi-IN"/>
        </w:rPr>
        <w:t xml:space="preserve"> Instituut ‘Digitalisering en kwaliteit van arbeid’</w:t>
      </w:r>
    </w:p>
    <w:p w:rsidRPr="00D672B2" w:rsidR="004A2022" w:rsidP="004A2022" w:rsidRDefault="004A2022" w14:paraId="37F19DDA" w14:textId="77777777">
      <w:pPr>
        <w:rPr>
          <w:b/>
        </w:rPr>
      </w:pPr>
      <w:r w:rsidRPr="00D672B2">
        <w:rPr>
          <w:b/>
        </w:rPr>
        <w:t>Aanleiding</w:t>
      </w:r>
    </w:p>
    <w:p w:rsidRPr="00D672B2" w:rsidR="004A2022" w:rsidP="004A2022" w:rsidRDefault="004A2022" w14:paraId="4B417F59" w14:textId="77777777">
      <w:r w:rsidRPr="00D672B2">
        <w:t>Van oudsher proberen werkgevers de potenties en prestaties van (potentiële) medewerkers te meten, te analyseren en via gerichte interventies te verbeteren. Digitale technologieën verruimen de mogelijkheden daartoe enorm. Het zorgt voor een vergaande ‘</w:t>
      </w:r>
      <w:r w:rsidRPr="00D672B2">
        <w:rPr>
          <w:i/>
        </w:rPr>
        <w:t>digitalisering’</w:t>
      </w:r>
      <w:r w:rsidRPr="00D672B2">
        <w:t xml:space="preserve"> van werkenden. We spreken van ‘werkenden’ omdat het niet alleen gaat om mensen in loondienst of uitzendconstructies, maar ook om mensen die hun diensten aanbieden als </w:t>
      </w:r>
      <w:proofErr w:type="spellStart"/>
      <w:r w:rsidRPr="00D672B2">
        <w:t>zzp’er</w:t>
      </w:r>
      <w:proofErr w:type="spellEnd"/>
      <w:r w:rsidRPr="00D672B2">
        <w:t xml:space="preserve">, al of niet via een internetplatform. Het is onduidelijk hoe goed, betrouwbaar en effectief de ingezette technieken zijn. Ook zijn er vraagtekens over welke gegevens van werkenden wel of niet mogen worden gebruikt, en voor welk doel. Dat gaat niet alleen over de bescherming van privacy van werkenden, maar heeft bijvoorbeeld ook betrekking op hun autonomie en verantwoordelijkheid. Kortom, beslissingen die op basis van data over werkenden worden genomen, kunnen impact hebben op de kwaliteit en beleving van werk. Het is nog onduidelijk in hoeverre hier in het arbeidsrecht uitgangspunten voor zijn.  </w:t>
      </w:r>
    </w:p>
    <w:p w:rsidRPr="00D672B2" w:rsidR="004A2022" w:rsidP="004A2022" w:rsidRDefault="004A2022" w14:paraId="2ABF5A4A" w14:textId="77777777"/>
    <w:p w:rsidRPr="00D672B2" w:rsidR="004A2022" w:rsidP="004A2022" w:rsidRDefault="004A2022" w14:paraId="09F7A460" w14:textId="77777777">
      <w:pPr>
        <w:rPr>
          <w:b/>
        </w:rPr>
      </w:pPr>
      <w:r w:rsidRPr="00D672B2">
        <w:rPr>
          <w:b/>
        </w:rPr>
        <w:t>Doelstelling</w:t>
      </w:r>
    </w:p>
    <w:p w:rsidRPr="00D672B2" w:rsidR="004A2022" w:rsidP="004A2022" w:rsidRDefault="004A2022" w14:paraId="7C69A208" w14:textId="77777777">
      <w:r w:rsidRPr="00D672B2">
        <w:t xml:space="preserve">Het doel van deze verkenning is om meer inzicht te krijgen in de effecten van de digitalisering van de werkende op de kwaliteit en organisatie van werk. Met de term ‘digitalisering’ doelen wij in dit verband niet zozeer op de automatisering van bepaalde taken, maar op een trend waarbij de potenties en prestaties van werkenden steeds meer worden gemonitord, beoordeeld en gestuurd aan de hand van digitale en kwantitatief meetbare informatie. De werkende wordt daardoor </w:t>
      </w:r>
      <w:r w:rsidRPr="00D672B2">
        <w:rPr>
          <w:i/>
        </w:rPr>
        <w:t>zelf</w:t>
      </w:r>
      <w:r w:rsidRPr="00D672B2">
        <w:t xml:space="preserve"> het object van digitalisering. De focus ligt dus op recente ontwikkelingen rondom de toepassing van data en digitale technologie om het functioneren van werkenden te monitoren en sturen, en om sollicitanten te beoordelen (i.e. het personeelsbeleid). </w:t>
      </w:r>
    </w:p>
    <w:p w:rsidRPr="00D672B2" w:rsidR="004A2022" w:rsidP="004A2022" w:rsidRDefault="004A2022" w14:paraId="7B79FEB8" w14:textId="77777777"/>
    <w:p w:rsidRPr="00D672B2" w:rsidR="004A2022" w:rsidP="004A2022" w:rsidRDefault="004A2022" w14:paraId="122DD5C1" w14:textId="77777777">
      <w:r w:rsidRPr="00D672B2">
        <w:t xml:space="preserve">Om meer inzicht te verwerven, zullen we in dit onderzoek de stand van de technologie en de wetenschap op dit gebied beschrijven. We zullen ook in gaan op wat er in de praktijk gebeurt en hoe hierop wordt gereageerd door de diverse stakeholders. Tot slot formuleren we welke beleidsopties er zijn om enerzijds negatieve effecten tegen te gaan, en anderzijds positieve effecten te stimuleren.  </w:t>
      </w:r>
    </w:p>
    <w:p w:rsidRPr="00D672B2" w:rsidR="004A2022" w:rsidP="004A2022" w:rsidRDefault="004A2022" w14:paraId="036DF8CD" w14:textId="77777777"/>
    <w:p w:rsidRPr="00D672B2" w:rsidR="004A2022" w:rsidP="004A2022" w:rsidRDefault="004A2022" w14:paraId="2CEE7FFB" w14:textId="77777777">
      <w:pPr>
        <w:rPr>
          <w:b/>
        </w:rPr>
      </w:pPr>
      <w:r w:rsidRPr="00D672B2">
        <w:rPr>
          <w:b/>
        </w:rPr>
        <w:t>Onderzoeksopzet</w:t>
      </w:r>
    </w:p>
    <w:p w:rsidRPr="00D672B2" w:rsidR="004A2022" w:rsidP="004A2022" w:rsidRDefault="004A2022" w14:paraId="54B079CD" w14:textId="77777777">
      <w:r w:rsidRPr="00D672B2">
        <w:t>In de publicatie ‘</w:t>
      </w:r>
      <w:r w:rsidRPr="00D672B2">
        <w:rPr>
          <w:i/>
        </w:rPr>
        <w:t>Opwaarderen’</w:t>
      </w:r>
      <w:r w:rsidRPr="00D672B2">
        <w:t xml:space="preserve"> uit 2017 liet het </w:t>
      </w:r>
      <w:proofErr w:type="spellStart"/>
      <w:r w:rsidRPr="00D672B2">
        <w:t>Rathenau</w:t>
      </w:r>
      <w:proofErr w:type="spellEnd"/>
      <w:r w:rsidRPr="00D672B2">
        <w:t xml:space="preserve"> Instituut zien dat de huidige fase van digitalisering zich laat kenmerken door een constante cyclus van meten, analyseren en toepassen, de zogenaamde </w:t>
      </w:r>
      <w:r w:rsidRPr="00D672B2">
        <w:rPr>
          <w:i/>
        </w:rPr>
        <w:t>‘cybernetische feedback-loop’</w:t>
      </w:r>
      <w:r w:rsidRPr="00D672B2">
        <w:t xml:space="preserve"> (zie figuur 1). In de afgelopen jaren zijn steeds meer bedrijfsonderdelen op deze manier ingericht. Recent zien we dat bedrijven ook hun personeelsbeleid data-gedreven gaan vormgeven. Via digitale technologie kunnen zaken als emoties, locaties, en lichamelijke bewegingen van werkenden worden gemeten. Met behulp van algoritmen kunnen e-mails en chatberichten aspecten als gemoedstoestand, bevlogenheid, werktijden of ziekteverzuim in kaart brengen. Op basis daarvan worden gerichte interventies in het personeelsbeleid mogelijk of in de organisatie van werk. Een voorbeeld zijn de postbezorgers, waarbij eerst gemeten wordt hoe lang zij over hun rondes doen en welke routes gelopen worden. Er wordt geanalyseerd wat de meest efficiënte routes zijn en hoeveel tijd daar gemiddeld voor nodig is. Vervolgens worden vaste routes en tijden opgelegd aan postbezorgers. De ontwikkeling van de digitalisering van werkenden is ook te zien bij de werving en selectie van nieuw personeel. Ook hier worden nieuwe digitale technieken, zoals emotieherkenning, het spelen van games, ingezet om potentiele kandidaten, te meten, te analyseren, en over hun potentiele geschiktheid te besluiten. </w:t>
      </w:r>
    </w:p>
    <w:p w:rsidRPr="00D672B2" w:rsidR="004A2022" w:rsidP="004A2022" w:rsidRDefault="004A2022" w14:paraId="113DA177" w14:textId="77777777"/>
    <w:p w:rsidR="004A2022" w:rsidRDefault="004A2022" w14:paraId="1B4FD61D" w14:textId="77777777">
      <w:pPr>
        <w:rPr>
          <w:b/>
        </w:rPr>
      </w:pPr>
      <w:r>
        <w:rPr>
          <w:b/>
        </w:rPr>
        <w:br w:type="page"/>
      </w:r>
    </w:p>
    <w:p w:rsidR="004A2022" w:rsidP="004A2022" w:rsidRDefault="004A2022" w14:paraId="0A0A4688" w14:textId="77777777">
      <w:pPr>
        <w:rPr>
          <w:b/>
        </w:rPr>
      </w:pPr>
    </w:p>
    <w:p w:rsidR="004A2022" w:rsidP="004A2022" w:rsidRDefault="004A2022" w14:paraId="47407A6A" w14:textId="77777777">
      <w:pPr>
        <w:rPr>
          <w:b/>
        </w:rPr>
      </w:pPr>
    </w:p>
    <w:p w:rsidR="004A2022" w:rsidP="004A2022" w:rsidRDefault="004A2022" w14:paraId="0FA51864" w14:textId="77777777">
      <w:pPr>
        <w:rPr>
          <w:b/>
        </w:rPr>
      </w:pPr>
    </w:p>
    <w:p w:rsidRPr="00D672B2" w:rsidR="004A2022" w:rsidP="004A2022" w:rsidRDefault="004A2022" w14:paraId="04680C9B" w14:textId="6BB50A0F">
      <w:r w:rsidRPr="00D672B2">
        <w:rPr>
          <w:b/>
        </w:rPr>
        <w:t>Figuur 1.</w:t>
      </w:r>
      <w:r w:rsidRPr="00D672B2">
        <w:t xml:space="preserve"> De Cybernetische feedback-loop; meten, analyseren en toepassen</w:t>
      </w:r>
    </w:p>
    <w:p w:rsidRPr="00D672B2" w:rsidR="004A2022" w:rsidP="004A2022" w:rsidRDefault="004A2022" w14:paraId="26B83688" w14:textId="77777777">
      <w:r w:rsidRPr="00D672B2">
        <w:rPr>
          <w:noProof/>
        </w:rPr>
        <w:drawing>
          <wp:inline distT="0" distB="0" distL="0" distR="0" wp14:anchorId="590FE224" wp14:editId="51636BB0">
            <wp:extent cx="3320177" cy="20608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7620" cy="2077846"/>
                    </a:xfrm>
                    <a:prstGeom prst="rect">
                      <a:avLst/>
                    </a:prstGeom>
                  </pic:spPr>
                </pic:pic>
              </a:graphicData>
            </a:graphic>
          </wp:inline>
        </w:drawing>
      </w:r>
    </w:p>
    <w:p w:rsidRPr="001E77A2" w:rsidR="004A2022" w:rsidP="004A2022" w:rsidRDefault="004A2022" w14:paraId="0410B6EF" w14:textId="77777777">
      <w:pPr>
        <w:rPr>
          <w:sz w:val="16"/>
          <w:szCs w:val="16"/>
        </w:rPr>
      </w:pPr>
      <w:r w:rsidRPr="001E77A2">
        <w:rPr>
          <w:sz w:val="16"/>
          <w:szCs w:val="16"/>
        </w:rPr>
        <w:t xml:space="preserve">Bron: </w:t>
      </w:r>
      <w:proofErr w:type="spellStart"/>
      <w:r w:rsidRPr="001E77A2">
        <w:rPr>
          <w:sz w:val="16"/>
          <w:szCs w:val="16"/>
        </w:rPr>
        <w:t>Rathenau</w:t>
      </w:r>
      <w:proofErr w:type="spellEnd"/>
      <w:r w:rsidRPr="001E77A2">
        <w:rPr>
          <w:sz w:val="16"/>
          <w:szCs w:val="16"/>
        </w:rPr>
        <w:t xml:space="preserve"> Instituut</w:t>
      </w:r>
    </w:p>
    <w:p w:rsidRPr="00D672B2" w:rsidR="004A2022" w:rsidP="004A2022" w:rsidRDefault="004A2022" w14:paraId="104692CB" w14:textId="77777777"/>
    <w:p w:rsidRPr="00D672B2" w:rsidR="004A2022" w:rsidP="004A2022" w:rsidRDefault="004A2022" w14:paraId="7E7A3069" w14:textId="77777777">
      <w:r w:rsidRPr="00D672B2">
        <w:t xml:space="preserve">De digitalisering van werkenden is onderdeel van een veel langere trend van het optimaliseren en rationaliseren van werk (zie Van Est en Kool 2015). Standaardisering en </w:t>
      </w:r>
      <w:proofErr w:type="spellStart"/>
      <w:r w:rsidRPr="00D672B2">
        <w:t>routinisering</w:t>
      </w:r>
      <w:proofErr w:type="spellEnd"/>
      <w:r w:rsidRPr="00D672B2">
        <w:t xml:space="preserve"> van werk spelen daarin een belangrijke rol. In de Industriële Revolutie betrof die standaardisering vooral productiewerk in de fabriek. Met het (Mechanisch) Taylorisme werd de fabriek </w:t>
      </w:r>
      <w:proofErr w:type="spellStart"/>
      <w:r w:rsidRPr="00D672B2">
        <w:t>herontworpen</w:t>
      </w:r>
      <w:proofErr w:type="spellEnd"/>
      <w:r w:rsidRPr="00D672B2">
        <w:t xml:space="preserve">: complex werk werd opgedeeld in kleinere, simpelere taken, die grotendeels te automatiseren waren. Sinds de jaren ’90 van de vorige eeuw, met de opkomst van ICT, is ook de opkomst van Digitaal Taylorisme te zien (Brown et al. 2008). Diensten worden heringericht en opgeknipt in simpelere deeltaken. Die taken zijn vaak ook te outsourcen, </w:t>
      </w:r>
      <w:proofErr w:type="spellStart"/>
      <w:r w:rsidRPr="00D672B2">
        <w:t>offshoren</w:t>
      </w:r>
      <w:proofErr w:type="spellEnd"/>
      <w:r w:rsidRPr="00D672B2">
        <w:t xml:space="preserve"> en uiteindelijk te automatiseren. </w:t>
      </w:r>
    </w:p>
    <w:p w:rsidRPr="00D672B2" w:rsidR="004A2022" w:rsidP="004A2022" w:rsidRDefault="004A2022" w14:paraId="30A034F7" w14:textId="77777777"/>
    <w:p w:rsidRPr="00D672B2" w:rsidR="004A2022" w:rsidP="004A2022" w:rsidRDefault="004A2022" w14:paraId="0D1CB549" w14:textId="77777777">
      <w:r w:rsidRPr="00D672B2">
        <w:t xml:space="preserve">De opkomst van internetplatformen geeft deze ontwikkelingen weer een nieuwe dimensie. Met behulp van smartphones, apps en een platform om vraag en aanbod bij elkaar te brengen, worden hele nieuwe vormen van het organiseren van werk mogelijk, alsook nieuwe manieren om mensen die voor het platform werken te meten, te analyseren, en prestaties via gerichte interventies te verbeteren. De platformeconomie zet eigenlijk een vergrootglas op de trend die wij willen onderzoeken in deze verkenning: zij maakt de digitalisering (meten, analyseren en direct aansturen) van de werkenden duidelijk zichtbaar. </w:t>
      </w:r>
    </w:p>
    <w:p w:rsidRPr="00D672B2" w:rsidR="004A2022" w:rsidP="004A2022" w:rsidRDefault="004A2022" w14:paraId="216364EC" w14:textId="77777777"/>
    <w:p w:rsidRPr="00D672B2" w:rsidR="004A2022" w:rsidP="004A2022" w:rsidRDefault="004A2022" w14:paraId="7D237C6F" w14:textId="77777777">
      <w:pPr>
        <w:rPr>
          <w:i/>
        </w:rPr>
      </w:pPr>
      <w:r w:rsidRPr="00D672B2">
        <w:rPr>
          <w:i/>
        </w:rPr>
        <w:t>De effecten van digitalisering voor de werkende zelf</w:t>
      </w:r>
    </w:p>
    <w:p w:rsidRPr="00D672B2" w:rsidR="004A2022" w:rsidP="004A2022" w:rsidRDefault="004A2022" w14:paraId="5569B232" w14:textId="77777777">
      <w:r w:rsidRPr="00D672B2">
        <w:t xml:space="preserve">De steeds verdergaande digitalisering heeft dus niet allen invloed op de organisatie van werk ook invloed op de </w:t>
      </w:r>
      <w:r w:rsidRPr="00D672B2">
        <w:rPr>
          <w:i/>
        </w:rPr>
        <w:t>kwaliteit van werk</w:t>
      </w:r>
      <w:r w:rsidRPr="00D672B2">
        <w:t xml:space="preserve">. Kwaliteit van werk bestaat uit vier dimensies (zie o.a. Mok 1990; Witte &amp; </w:t>
      </w:r>
      <w:proofErr w:type="spellStart"/>
      <w:r w:rsidRPr="00D672B2">
        <w:t>Ruysseveldt</w:t>
      </w:r>
      <w:proofErr w:type="spellEnd"/>
      <w:r w:rsidRPr="00D672B2">
        <w:t xml:space="preserve"> 2004):</w:t>
      </w:r>
    </w:p>
    <w:p w:rsidRPr="00D672B2" w:rsidR="004A2022" w:rsidP="004A2022" w:rsidRDefault="004A2022" w14:paraId="52E61C61" w14:textId="77777777"/>
    <w:p w:rsidRPr="00D672B2" w:rsidR="004A2022" w:rsidP="004A2022" w:rsidRDefault="004A2022" w14:paraId="60DB8483" w14:textId="77777777">
      <w:pPr>
        <w:numPr>
          <w:ilvl w:val="0"/>
          <w:numId w:val="2"/>
        </w:numPr>
      </w:pPr>
      <w:r w:rsidRPr="00D672B2">
        <w:t>Arbeidsinhoud (afwisseling, autonomie, leermogelijkheden e.d.)</w:t>
      </w:r>
    </w:p>
    <w:p w:rsidRPr="00D672B2" w:rsidR="004A2022" w:rsidP="004A2022" w:rsidRDefault="004A2022" w14:paraId="6077762C" w14:textId="77777777">
      <w:pPr>
        <w:numPr>
          <w:ilvl w:val="0"/>
          <w:numId w:val="2"/>
        </w:numPr>
      </w:pPr>
      <w:r w:rsidRPr="00D672B2">
        <w:t>Arbeidsomstandigheden (veiligheid, tempo, hoeveelheid, mentale en fysieke belasting)</w:t>
      </w:r>
    </w:p>
    <w:p w:rsidRPr="00D672B2" w:rsidR="004A2022" w:rsidP="004A2022" w:rsidRDefault="004A2022" w14:paraId="61FD54FE" w14:textId="77777777">
      <w:pPr>
        <w:numPr>
          <w:ilvl w:val="0"/>
          <w:numId w:val="2"/>
        </w:numPr>
      </w:pPr>
      <w:r w:rsidRPr="00D672B2">
        <w:t>Arbeidsvoorwaarden (beloning, tijden, opleidings- en doorgroeimogelijkheden)</w:t>
      </w:r>
    </w:p>
    <w:p w:rsidRPr="00D672B2" w:rsidR="004A2022" w:rsidP="004A2022" w:rsidRDefault="004A2022" w14:paraId="4EB27A66" w14:textId="77777777">
      <w:pPr>
        <w:numPr>
          <w:ilvl w:val="0"/>
          <w:numId w:val="2"/>
        </w:numPr>
      </w:pPr>
      <w:r w:rsidRPr="00D672B2">
        <w:t>Arbeidsrelaties (met collega’s, leidinggevende, mogelijkheden voor inspraak en medezeggenschap, collectieve verhoudingen (vakbonden – werkgevers)</w:t>
      </w:r>
    </w:p>
    <w:p w:rsidRPr="00D672B2" w:rsidR="004A2022" w:rsidP="004A2022" w:rsidRDefault="004A2022" w14:paraId="300E8B00" w14:textId="77777777"/>
    <w:p w:rsidRPr="00D672B2" w:rsidR="004A2022" w:rsidP="004A2022" w:rsidRDefault="004A2022" w14:paraId="38F740B6" w14:textId="77777777">
      <w:r w:rsidRPr="00D672B2">
        <w:t xml:space="preserve">We gebruiken deze dimensies om te kijken naar mogelijke effecten van digitalisering op de werkenden zelf, hun werk en gezagsverhoudingen. De invloed van digitalisering op deze vier dimensies kan divers van aard zijn, en zowel positief zijn als negatief. Enerzijds zijn er scenario’s denkbaar waarbij het gebruik van data zorgt voor een betere ‘fit’ tussen de werkende, het werk en de werkgever, of waarbij het werkenden productiever maakt, er beter geanticipeerd kan worden op mogelijke problemen, of zorgt voor meer kansen voor mensen met een arbeidsbeperking. Anderzijds kan digitalisering ook leiden tot een verarming van het werk of zelfs tot systeemdwang: de app vertelt wat iemand moet doen en legt een bepaald tempo op. De werkende ervaart dan nauwelijks nog professionele autonomie en kan vervreemd raken van zijn of haar werk. Dit past in de trend van Digitaal Taylorisme: het vergaand standaardiseren en </w:t>
      </w:r>
      <w:proofErr w:type="spellStart"/>
      <w:r w:rsidRPr="00D672B2">
        <w:t>routiniseren</w:t>
      </w:r>
      <w:proofErr w:type="spellEnd"/>
      <w:r w:rsidRPr="00D672B2">
        <w:t xml:space="preserve"> van werk, waardoor het werk eerst </w:t>
      </w:r>
      <w:proofErr w:type="spellStart"/>
      <w:r w:rsidRPr="00D672B2">
        <w:rPr>
          <w:i/>
        </w:rPr>
        <w:t>dehumaniseert</w:t>
      </w:r>
      <w:proofErr w:type="spellEnd"/>
      <w:r w:rsidRPr="00D672B2">
        <w:t xml:space="preserve"> (de mens is de robot) en vervolgens robotiseert. </w:t>
      </w:r>
    </w:p>
    <w:p w:rsidRPr="00D672B2" w:rsidR="004A2022" w:rsidP="004A2022" w:rsidRDefault="004A2022" w14:paraId="007A6B6D" w14:textId="77777777"/>
    <w:p w:rsidRPr="00D672B2" w:rsidR="004A2022" w:rsidP="004A2022" w:rsidRDefault="004A2022" w14:paraId="7377D7E3" w14:textId="77777777">
      <w:pPr>
        <w:rPr>
          <w:b/>
        </w:rPr>
      </w:pPr>
      <w:r w:rsidRPr="00D672B2">
        <w:rPr>
          <w:b/>
        </w:rPr>
        <w:t>Onderzoeksvragen</w:t>
      </w:r>
    </w:p>
    <w:p w:rsidRPr="00D672B2" w:rsidR="004A2022" w:rsidP="004A2022" w:rsidRDefault="004A2022" w14:paraId="57A20E82" w14:textId="77777777">
      <w:r w:rsidRPr="00D672B2">
        <w:t>Wat is de huidige stand van de techniek, op welke manieren worden werkenden gemeten en geanalyseerd? Wat zijn de technische uitdagingen daarvan?</w:t>
      </w:r>
    </w:p>
    <w:p w:rsidRPr="00D672B2" w:rsidR="004A2022" w:rsidP="004A2022" w:rsidRDefault="004A2022" w14:paraId="7F137DF2" w14:textId="77777777">
      <w:r w:rsidRPr="00D672B2">
        <w:lastRenderedPageBreak/>
        <w:t>Wat zijn mogelijke effecten van de digitalisering van de werkende op de verschillende aspecten van kwaliteit van arbeid (arbeidsinhoud, omstandigheden, voorwaarden en relaties) en de organisatie van arbeid?</w:t>
      </w:r>
    </w:p>
    <w:p w:rsidRPr="00D672B2" w:rsidR="004A2022" w:rsidP="004A2022" w:rsidRDefault="004A2022" w14:paraId="29D39C42" w14:textId="77777777">
      <w:r w:rsidRPr="00D672B2">
        <w:t>Wat zijn relevante wettelijke kaders, en in hoeverre zijn deze toereikend? Hoe is toezicht en handhaving georganiseerd?</w:t>
      </w:r>
    </w:p>
    <w:p w:rsidRPr="00D672B2" w:rsidR="004A2022" w:rsidP="004A2022" w:rsidRDefault="004A2022" w14:paraId="361E66D2" w14:textId="77777777">
      <w:r w:rsidRPr="00D672B2">
        <w:t>Wat zijn, op basis van bovenstaande, relevante beleidsopties?</w:t>
      </w:r>
    </w:p>
    <w:p w:rsidRPr="00D672B2" w:rsidR="004A2022" w:rsidP="004A2022" w:rsidRDefault="004A2022" w14:paraId="475B4DC5" w14:textId="77777777">
      <w:pPr>
        <w:rPr>
          <w:b/>
        </w:rPr>
      </w:pPr>
    </w:p>
    <w:p w:rsidRPr="00D672B2" w:rsidR="004A2022" w:rsidP="004A2022" w:rsidRDefault="004A2022" w14:paraId="14C36359" w14:textId="77777777">
      <w:pPr>
        <w:rPr>
          <w:b/>
        </w:rPr>
      </w:pPr>
      <w:r w:rsidRPr="00D672B2">
        <w:rPr>
          <w:b/>
        </w:rPr>
        <w:t>Onderzoeksmethode</w:t>
      </w:r>
    </w:p>
    <w:p w:rsidR="004A2022" w:rsidP="004A2022" w:rsidRDefault="004A2022" w14:paraId="26C70C93" w14:textId="77777777">
      <w:r w:rsidRPr="00D672B2">
        <w:t>De verkenning zal voornamelijk bestaan uit literatuuronderzoek (o.a. theorie over Human Resource Management, Human Resource Analytics die ingaan op de effecten op kwaliteit van werk) en wordt aangevuld met enkele interviews met verschillende partijen, waaronder wetenschappelijke experts en technologieleveranciers (bijvoorbeeld een HR-</w:t>
      </w:r>
      <w:proofErr w:type="spellStart"/>
      <w:r w:rsidRPr="00D672B2">
        <w:t>analytics</w:t>
      </w:r>
      <w:proofErr w:type="spellEnd"/>
      <w:r w:rsidRPr="00D672B2">
        <w:t xml:space="preserve"> bedrijf als </w:t>
      </w:r>
      <w:proofErr w:type="spellStart"/>
      <w:r w:rsidRPr="00D672B2">
        <w:t>Crunchr</w:t>
      </w:r>
      <w:proofErr w:type="spellEnd"/>
      <w:r w:rsidRPr="00D672B2">
        <w:t xml:space="preserve"> en vakbonden. Aan de hand van drie praktijkvoorbeelden laten we zien hoe digitalisering van werkenden in de praktijk wordt geïmplementeerd en de ervaringen en reacties daarop van belanghebbenden. Per voorbeeld streven we naar twee interviews (bijvoorbeeld HR-afdeling en de OR-raad of de vakbond). </w:t>
      </w:r>
    </w:p>
    <w:p w:rsidRPr="00D672B2" w:rsidR="004A2022" w:rsidP="004A2022" w:rsidRDefault="004A2022" w14:paraId="3D3A2291" w14:textId="77777777">
      <w:pPr>
        <w:rPr>
          <w:b/>
        </w:rPr>
      </w:pPr>
    </w:p>
    <w:p w:rsidRPr="00D672B2" w:rsidR="004A2022" w:rsidP="004A2022" w:rsidRDefault="004A2022" w14:paraId="7A4CF33B" w14:textId="77777777">
      <w:pPr>
        <w:rPr>
          <w:b/>
        </w:rPr>
      </w:pPr>
      <w:r w:rsidRPr="00D672B2">
        <w:rPr>
          <w:b/>
        </w:rPr>
        <w:t>Voorlopige hoofdstukindeling</w:t>
      </w:r>
    </w:p>
    <w:p w:rsidRPr="00D672B2" w:rsidR="004A2022" w:rsidP="004A2022" w:rsidRDefault="004A2022" w14:paraId="751C2779" w14:textId="77777777">
      <w:pPr>
        <w:rPr>
          <w:i/>
        </w:rPr>
      </w:pPr>
      <w:r w:rsidRPr="00D672B2">
        <w:rPr>
          <w:i/>
        </w:rPr>
        <w:t>1. Geschiedenis van personeelsbeleid en opkomst van ‘HR-</w:t>
      </w:r>
      <w:proofErr w:type="spellStart"/>
      <w:r w:rsidRPr="00D672B2">
        <w:rPr>
          <w:i/>
        </w:rPr>
        <w:t>analytics</w:t>
      </w:r>
      <w:proofErr w:type="spellEnd"/>
      <w:r w:rsidRPr="00D672B2">
        <w:rPr>
          <w:i/>
        </w:rPr>
        <w:t>’</w:t>
      </w:r>
    </w:p>
    <w:p w:rsidRPr="00D672B2" w:rsidR="004A2022" w:rsidP="004A2022" w:rsidRDefault="004A2022" w14:paraId="542355B3" w14:textId="77777777">
      <w:r w:rsidRPr="00D672B2">
        <w:t xml:space="preserve">In dit hoofdstuk geven we een korte schets van de belangrijkste ontwikkelingen op het gebied van personeelsbeleid, wat we verstaan als het geheel aan maatregelen gericht op het personeel met als doel het verwezenlijken van de organisatiedoelen. We bespreken de belangrijkste trends (intrede van </w:t>
      </w:r>
      <w:proofErr w:type="spellStart"/>
      <w:r w:rsidRPr="00D672B2">
        <w:rPr>
          <w:i/>
        </w:rPr>
        <w:t>scientific</w:t>
      </w:r>
      <w:proofErr w:type="spellEnd"/>
      <w:r w:rsidRPr="00D672B2">
        <w:rPr>
          <w:i/>
        </w:rPr>
        <w:t xml:space="preserve"> management</w:t>
      </w:r>
      <w:r w:rsidRPr="00D672B2">
        <w:t xml:space="preserve">, </w:t>
      </w:r>
      <w:r w:rsidRPr="00D672B2">
        <w:rPr>
          <w:i/>
        </w:rPr>
        <w:t>human resource management</w:t>
      </w:r>
      <w:r w:rsidRPr="00D672B2">
        <w:t xml:space="preserve"> etc.) en kijken of er met de opkomst van ‘HR-</w:t>
      </w:r>
      <w:proofErr w:type="spellStart"/>
      <w:r w:rsidRPr="00D672B2">
        <w:t>analytics</w:t>
      </w:r>
      <w:proofErr w:type="spellEnd"/>
      <w:r w:rsidRPr="00D672B2">
        <w:t xml:space="preserve">’ sprake is van een kwantitatieve wending van personeelsbeleid. </w:t>
      </w:r>
    </w:p>
    <w:p w:rsidRPr="00D672B2" w:rsidR="004A2022" w:rsidP="004A2022" w:rsidRDefault="004A2022" w14:paraId="6A9BA0E5" w14:textId="77777777"/>
    <w:p w:rsidRPr="00D672B2" w:rsidR="004A2022" w:rsidP="004A2022" w:rsidRDefault="004A2022" w14:paraId="6F786E78" w14:textId="77777777">
      <w:pPr>
        <w:rPr>
          <w:i/>
        </w:rPr>
      </w:pPr>
      <w:r w:rsidRPr="00D672B2">
        <w:rPr>
          <w:i/>
        </w:rPr>
        <w:t>2. Stand van de technologie en wetenschap</w:t>
      </w:r>
    </w:p>
    <w:p w:rsidRPr="00D672B2" w:rsidR="004A2022" w:rsidP="004A2022" w:rsidRDefault="004A2022" w14:paraId="7A32E667" w14:textId="77777777">
      <w:r w:rsidRPr="00D672B2">
        <w:t xml:space="preserve">In dit hoofdstuk bespreken we de huidige mogelijkheden voor digitalisering van werkenden en geven we aan wat mogelijke ontwikkelingsrichtingen zijn. We bespreken met welke technologieën en kennis prestaties en potenties van werkenden kan worden </w:t>
      </w:r>
      <w:r w:rsidRPr="00D672B2">
        <w:rPr>
          <w:i/>
        </w:rPr>
        <w:t>gemeten</w:t>
      </w:r>
      <w:r w:rsidRPr="00D672B2">
        <w:t xml:space="preserve"> (bijv. sensoren, </w:t>
      </w:r>
      <w:proofErr w:type="spellStart"/>
      <w:r w:rsidRPr="00D672B2">
        <w:t>fitbits</w:t>
      </w:r>
      <w:proofErr w:type="spellEnd"/>
      <w:r w:rsidRPr="00D672B2">
        <w:t xml:space="preserve">, tracking), </w:t>
      </w:r>
      <w:r w:rsidRPr="00D672B2">
        <w:rPr>
          <w:i/>
        </w:rPr>
        <w:t>geanalyseerd</w:t>
      </w:r>
      <w:r w:rsidRPr="00D672B2">
        <w:t xml:space="preserve"> (bijv. AI, modellen) en </w:t>
      </w:r>
      <w:r w:rsidRPr="00D672B2">
        <w:rPr>
          <w:i/>
        </w:rPr>
        <w:t>toegepast</w:t>
      </w:r>
      <w:r w:rsidRPr="00D672B2">
        <w:t xml:space="preserve"> (nudging, persuasieve technologie, feedback). Welke kant lijkt het zich op te ontwikkelen? Wat zijn mogelijke effecten hiervan op de verschillende aspecten van de kwaliteit van werk en de organisatie van arbeid? </w:t>
      </w:r>
    </w:p>
    <w:p w:rsidRPr="00D672B2" w:rsidR="004A2022" w:rsidP="004A2022" w:rsidRDefault="004A2022" w14:paraId="0DBE0484" w14:textId="77777777"/>
    <w:p w:rsidRPr="00D672B2" w:rsidR="004A2022" w:rsidP="004A2022" w:rsidRDefault="004A2022" w14:paraId="4DC0029C" w14:textId="77777777">
      <w:pPr>
        <w:rPr>
          <w:i/>
        </w:rPr>
      </w:pPr>
      <w:r w:rsidRPr="00D672B2">
        <w:rPr>
          <w:i/>
        </w:rPr>
        <w:t xml:space="preserve">3. Wat gebeurt er in de praktijk? </w:t>
      </w:r>
    </w:p>
    <w:p w:rsidRPr="00D672B2" w:rsidR="004A2022" w:rsidP="004A2022" w:rsidRDefault="004A2022" w14:paraId="5A30FF86" w14:textId="77777777">
      <w:r w:rsidRPr="00D672B2">
        <w:t xml:space="preserve">In dit hoofdstuk bespreken we praktijkvoorbeelden van digitalisering van werkenden. We onderzoeken drie case studies van bedrijven die experimenteren met digitalisering binnen hun personeelsbeleid. De selectie van de case studies zal worden afgestemd tijdens een voortgangsbijeenkomst met de opdrachtgever (zie planning). Aan de hand van een –omwille van de korte onderzoeksperiode- beperkt aantal interviews zal een beeld worden geschetst van wat er in de praktijk gebeurt. We confronteren de verwachtingen uit het vorige hoofdstuk met de ervaringen uit de praktijk.       </w:t>
      </w:r>
    </w:p>
    <w:p w:rsidRPr="00D672B2" w:rsidR="004A2022" w:rsidP="004A2022" w:rsidRDefault="004A2022" w14:paraId="24C7A441" w14:textId="77777777"/>
    <w:p w:rsidRPr="00D672B2" w:rsidR="004A2022" w:rsidP="004A2022" w:rsidRDefault="004A2022" w14:paraId="19F50CA9" w14:textId="77777777">
      <w:pPr>
        <w:rPr>
          <w:i/>
        </w:rPr>
      </w:pPr>
      <w:r w:rsidRPr="00D672B2">
        <w:rPr>
          <w:i/>
        </w:rPr>
        <w:t xml:space="preserve">4. Wat betekent dit? </w:t>
      </w:r>
    </w:p>
    <w:p w:rsidRPr="00D672B2" w:rsidR="004A2022" w:rsidP="004A2022" w:rsidRDefault="004A2022" w14:paraId="68F367F7" w14:textId="77777777">
      <w:r w:rsidRPr="00D672B2">
        <w:t xml:space="preserve">In dit hoofdstuk schetsen we mogelijke ethische, juridische en maatschappelijke kwesties (in termen van kansen en risico’s) die verbonden zijn aan deze ontwikkeling. Wat doet digitalisering van werkenden met hun autonomie en de waardigheid van hun werk? Wat valt er te zeggen over de mentale belasting? Ook schetsen we wat relevante wettelijke kaders zijn. Hoe is toezicht en handhaving georganiseerd? In hoeverre zijn er uitgangspunten in het arbeidsrecht en zijn deze toereikend? </w:t>
      </w:r>
    </w:p>
    <w:p w:rsidRPr="00D672B2" w:rsidR="004A2022" w:rsidP="004A2022" w:rsidRDefault="004A2022" w14:paraId="5CE84DE3" w14:textId="77777777"/>
    <w:p w:rsidRPr="00D672B2" w:rsidR="004A2022" w:rsidP="004A2022" w:rsidRDefault="004A2022" w14:paraId="5700F187" w14:textId="77777777">
      <w:pPr>
        <w:rPr>
          <w:i/>
        </w:rPr>
      </w:pPr>
      <w:r w:rsidRPr="00D672B2">
        <w:rPr>
          <w:i/>
        </w:rPr>
        <w:t xml:space="preserve">5. Conclusie en hoe nu verder? </w:t>
      </w:r>
    </w:p>
    <w:p w:rsidRPr="00D672B2" w:rsidR="004A2022" w:rsidP="004A2022" w:rsidRDefault="004A2022" w14:paraId="5A3EAFBE" w14:textId="77777777">
      <w:r w:rsidRPr="00D672B2">
        <w:t xml:space="preserve">In dit hoofdstuk maken we de balans op. Wat kunnen we concluderen over de ontwikkelingen? Wat zijn beleidsopties om de digitalisering van werkenden in goede banen te leiden? </w:t>
      </w:r>
    </w:p>
    <w:p w:rsidRPr="00D672B2" w:rsidR="004A2022" w:rsidP="004A2022" w:rsidRDefault="004A2022" w14:paraId="31E8F4D9" w14:textId="77777777"/>
    <w:p w:rsidRPr="00D672B2" w:rsidR="004A2022" w:rsidP="004A2022" w:rsidRDefault="004A2022" w14:paraId="51060717" w14:textId="77777777">
      <w:pPr>
        <w:rPr>
          <w:b/>
        </w:rPr>
      </w:pPr>
      <w:r w:rsidRPr="00D672B2">
        <w:rPr>
          <w:b/>
        </w:rPr>
        <w:t>Kosten</w:t>
      </w:r>
    </w:p>
    <w:p w:rsidRPr="00D672B2" w:rsidR="004A2022" w:rsidP="004A2022" w:rsidRDefault="004A2022" w14:paraId="6F4AEA86" w14:textId="77777777">
      <w:r w:rsidRPr="00D672B2">
        <w:t xml:space="preserve">Er zijn </w:t>
      </w:r>
      <w:r w:rsidRPr="00D672B2">
        <w:rPr>
          <w:i/>
        </w:rPr>
        <w:t>geen</w:t>
      </w:r>
      <w:r w:rsidRPr="00D672B2">
        <w:t xml:space="preserve"> kosten verbonden aan het onderzoek. Een korte uitleg hiervan: Het </w:t>
      </w:r>
      <w:proofErr w:type="spellStart"/>
      <w:r w:rsidRPr="00D672B2">
        <w:t>Rathenau</w:t>
      </w:r>
      <w:proofErr w:type="spellEnd"/>
      <w:r w:rsidRPr="00D672B2">
        <w:t xml:space="preserve"> Instituut is opgericht om zowel het parlement als het brede publiek in Nederland te ondersteunen bij hun meningsvorming op ons thema: de impact van wetenschap, innovatie en technologie op ons leven. Dit staat zo in ons instellingsbesluit. Ons instituut is aangesloten bij de Koninklijke Nederlandse </w:t>
      </w:r>
      <w:proofErr w:type="spellStart"/>
      <w:r w:rsidRPr="00D672B2">
        <w:t>Akademie</w:t>
      </w:r>
      <w:proofErr w:type="spellEnd"/>
      <w:r w:rsidRPr="00D672B2">
        <w:t xml:space="preserve"> van Wetenschappen (KNAW). We staan daarmee, net als universiteiten, los van de rijksoverheid, ook al betaalt die het grootste deel van ons werk. We bepalen ons eigen werkprogramma, maar er is altijd ruimte om op verzoek van het parlement – maar ook op verzoek van diverse overheden – onderzoek te doen. Wij kunnen dat doen zonder tussenkomst van een ministerie (zoals dat wel gebeurt bij een planbureau of het RIVM bijvoorbeeld) en zijn in die zin vergelijkbaar met de Algemene Rekenkamer. En net als bij de Algemene Rekenkamer zijn er voor het parlement ook geen kosten verbonden aan onze ondersteuning, ons onderzoek in dit geval. Wij </w:t>
      </w:r>
      <w:r w:rsidRPr="00D672B2">
        <w:lastRenderedPageBreak/>
        <w:t xml:space="preserve">vragen wel overeenstemming binnen de betreffende Kamercommissie over de aanvraag en opzet van het onderzoek aan het </w:t>
      </w:r>
      <w:proofErr w:type="spellStart"/>
      <w:r w:rsidRPr="00D672B2">
        <w:t>Rathenau</w:t>
      </w:r>
      <w:proofErr w:type="spellEnd"/>
      <w:r w:rsidRPr="00D672B2">
        <w:t xml:space="preserve"> Instituut. </w:t>
      </w:r>
    </w:p>
    <w:p w:rsidRPr="00D672B2" w:rsidR="004A2022" w:rsidP="004A2022" w:rsidRDefault="004A2022" w14:paraId="28140979" w14:textId="77777777"/>
    <w:p w:rsidRPr="00D672B2" w:rsidR="004A2022" w:rsidP="004A2022" w:rsidRDefault="004A2022" w14:paraId="23BC24ED" w14:textId="77777777">
      <w:pPr>
        <w:rPr>
          <w:b/>
        </w:rPr>
      </w:pPr>
      <w:r w:rsidRPr="00D672B2">
        <w:rPr>
          <w:b/>
        </w:rPr>
        <w:t xml:space="preserve">Voorlopige Planning </w:t>
      </w:r>
    </w:p>
    <w:p w:rsidRPr="00D672B2" w:rsidR="004A2022" w:rsidP="004A2022" w:rsidRDefault="004A2022" w14:paraId="03E153E5" w14:textId="77777777">
      <w:r w:rsidRPr="00D672B2">
        <w:t xml:space="preserve">Het </w:t>
      </w:r>
      <w:proofErr w:type="spellStart"/>
      <w:r w:rsidRPr="00D672B2">
        <w:t>Rathenau</w:t>
      </w:r>
      <w:proofErr w:type="spellEnd"/>
      <w:r w:rsidRPr="00D672B2">
        <w:t xml:space="preserve"> Instituut meent dat een oplevering van het eindrapport begin november haalbaar is. Hiervoor is het wenselijk dat er twee contactmomenten met de opdrachtgever (de vaste Kamercommissie SZW) worden ingepland. Wij stellen voor om kort voor het zomerreces een voortgangsbijeenkomst in te plannen waarbij we de eerste resultaten bespreken aan de hand van een </w:t>
      </w:r>
      <w:proofErr w:type="spellStart"/>
      <w:r w:rsidRPr="00D672B2">
        <w:t>powerpoint</w:t>
      </w:r>
      <w:proofErr w:type="spellEnd"/>
      <w:r w:rsidRPr="00D672B2">
        <w:t xml:space="preserve">-presentatie, en afstemmen welke case studies er zullen worden onderzocht. Tijdens een tweede bijeenkomst in de maand voor oplevering kunnen we het conceptrapport bespreken. De planning ziet er dan als volgt uit: </w:t>
      </w:r>
    </w:p>
    <w:p w:rsidRPr="00D672B2" w:rsidR="004A2022" w:rsidP="004A2022" w:rsidRDefault="004A2022" w14:paraId="765C29B7" w14:textId="77777777"/>
    <w:tbl>
      <w:tblPr>
        <w:tblStyle w:val="Tabelraster"/>
        <w:tblW w:w="9345" w:type="dxa"/>
        <w:tblLayout w:type="fixed"/>
        <w:tblLook w:val="04A0" w:firstRow="1" w:lastRow="0" w:firstColumn="1" w:lastColumn="0" w:noHBand="0" w:noVBand="1"/>
      </w:tblPr>
      <w:tblGrid>
        <w:gridCol w:w="2669"/>
        <w:gridCol w:w="482"/>
        <w:gridCol w:w="478"/>
        <w:gridCol w:w="519"/>
        <w:gridCol w:w="520"/>
        <w:gridCol w:w="520"/>
        <w:gridCol w:w="519"/>
        <w:gridCol w:w="520"/>
        <w:gridCol w:w="520"/>
        <w:gridCol w:w="519"/>
        <w:gridCol w:w="520"/>
        <w:gridCol w:w="520"/>
        <w:gridCol w:w="519"/>
        <w:gridCol w:w="520"/>
      </w:tblGrid>
      <w:tr w:rsidRPr="00D672B2" w:rsidR="004A2022" w:rsidTr="00FE5CA0" w14:paraId="7B400B13" w14:textId="77777777">
        <w:trPr>
          <w:trHeight w:val="274"/>
        </w:trPr>
        <w:tc>
          <w:tcPr>
            <w:tcW w:w="2669" w:type="dxa"/>
            <w:tcBorders>
              <w:right w:val="single" w:color="auto" w:sz="18" w:space="0"/>
            </w:tcBorders>
          </w:tcPr>
          <w:p w:rsidRPr="00D672B2" w:rsidR="004A2022" w:rsidP="00FE5CA0" w:rsidRDefault="004A2022" w14:paraId="48B95428" w14:textId="77777777">
            <w:r w:rsidRPr="00D672B2">
              <w:t>Maand</w:t>
            </w:r>
          </w:p>
        </w:tc>
        <w:tc>
          <w:tcPr>
            <w:tcW w:w="482" w:type="dxa"/>
            <w:tcBorders>
              <w:left w:val="single" w:color="auto" w:sz="18" w:space="0"/>
            </w:tcBorders>
            <w:vAlign w:val="center"/>
          </w:tcPr>
          <w:p w:rsidRPr="001E77A2" w:rsidR="004A2022" w:rsidP="00FE5CA0" w:rsidRDefault="004A2022" w14:paraId="08DE53FB" w14:textId="77777777">
            <w:pPr>
              <w:rPr>
                <w:sz w:val="14"/>
                <w:szCs w:val="14"/>
              </w:rPr>
            </w:pPr>
            <w:r w:rsidRPr="001E77A2">
              <w:rPr>
                <w:sz w:val="14"/>
                <w:szCs w:val="14"/>
              </w:rPr>
              <w:t>mei</w:t>
            </w:r>
          </w:p>
        </w:tc>
        <w:tc>
          <w:tcPr>
            <w:tcW w:w="478" w:type="dxa"/>
            <w:vAlign w:val="center"/>
          </w:tcPr>
          <w:p w:rsidRPr="001E77A2" w:rsidR="004A2022" w:rsidP="00FE5CA0" w:rsidRDefault="004A2022" w14:paraId="544888AB" w14:textId="77777777">
            <w:pPr>
              <w:rPr>
                <w:sz w:val="14"/>
                <w:szCs w:val="14"/>
              </w:rPr>
            </w:pPr>
          </w:p>
        </w:tc>
        <w:tc>
          <w:tcPr>
            <w:tcW w:w="519" w:type="dxa"/>
            <w:vAlign w:val="center"/>
          </w:tcPr>
          <w:p w:rsidRPr="001E77A2" w:rsidR="004A2022" w:rsidP="00FE5CA0" w:rsidRDefault="004A2022" w14:paraId="7DAFE2B5" w14:textId="77777777">
            <w:pPr>
              <w:rPr>
                <w:sz w:val="14"/>
                <w:szCs w:val="14"/>
              </w:rPr>
            </w:pPr>
            <w:r w:rsidRPr="001E77A2">
              <w:rPr>
                <w:sz w:val="14"/>
                <w:szCs w:val="14"/>
              </w:rPr>
              <w:t>juni</w:t>
            </w:r>
          </w:p>
        </w:tc>
        <w:tc>
          <w:tcPr>
            <w:tcW w:w="520" w:type="dxa"/>
            <w:vAlign w:val="center"/>
          </w:tcPr>
          <w:p w:rsidRPr="001E77A2" w:rsidR="004A2022" w:rsidP="00FE5CA0" w:rsidRDefault="004A2022" w14:paraId="5F992ABF" w14:textId="77777777">
            <w:pPr>
              <w:rPr>
                <w:sz w:val="14"/>
                <w:szCs w:val="14"/>
              </w:rPr>
            </w:pPr>
          </w:p>
        </w:tc>
        <w:tc>
          <w:tcPr>
            <w:tcW w:w="520" w:type="dxa"/>
            <w:vAlign w:val="center"/>
          </w:tcPr>
          <w:p w:rsidRPr="001E77A2" w:rsidR="004A2022" w:rsidP="00FE5CA0" w:rsidRDefault="004A2022" w14:paraId="1209B7EF" w14:textId="77777777">
            <w:pPr>
              <w:rPr>
                <w:sz w:val="14"/>
                <w:szCs w:val="14"/>
              </w:rPr>
            </w:pPr>
            <w:r w:rsidRPr="001E77A2">
              <w:rPr>
                <w:sz w:val="14"/>
                <w:szCs w:val="14"/>
              </w:rPr>
              <w:t>juli</w:t>
            </w:r>
          </w:p>
        </w:tc>
        <w:tc>
          <w:tcPr>
            <w:tcW w:w="519" w:type="dxa"/>
            <w:vAlign w:val="center"/>
          </w:tcPr>
          <w:p w:rsidRPr="001E77A2" w:rsidR="004A2022" w:rsidP="00FE5CA0" w:rsidRDefault="004A2022" w14:paraId="19E1F76F" w14:textId="77777777">
            <w:pPr>
              <w:rPr>
                <w:sz w:val="14"/>
                <w:szCs w:val="14"/>
              </w:rPr>
            </w:pPr>
          </w:p>
        </w:tc>
        <w:tc>
          <w:tcPr>
            <w:tcW w:w="520" w:type="dxa"/>
            <w:vAlign w:val="center"/>
          </w:tcPr>
          <w:p w:rsidRPr="001E77A2" w:rsidR="004A2022" w:rsidP="00FE5CA0" w:rsidRDefault="004A2022" w14:paraId="0CDE2C3A" w14:textId="77777777">
            <w:pPr>
              <w:rPr>
                <w:sz w:val="14"/>
                <w:szCs w:val="14"/>
              </w:rPr>
            </w:pPr>
            <w:r w:rsidRPr="001E77A2">
              <w:rPr>
                <w:sz w:val="14"/>
                <w:szCs w:val="14"/>
              </w:rPr>
              <w:t>aug</w:t>
            </w:r>
          </w:p>
        </w:tc>
        <w:tc>
          <w:tcPr>
            <w:tcW w:w="520" w:type="dxa"/>
            <w:vAlign w:val="center"/>
          </w:tcPr>
          <w:p w:rsidRPr="001E77A2" w:rsidR="004A2022" w:rsidP="00FE5CA0" w:rsidRDefault="004A2022" w14:paraId="42536AD0" w14:textId="77777777">
            <w:pPr>
              <w:rPr>
                <w:sz w:val="14"/>
                <w:szCs w:val="14"/>
              </w:rPr>
            </w:pPr>
          </w:p>
        </w:tc>
        <w:tc>
          <w:tcPr>
            <w:tcW w:w="519" w:type="dxa"/>
            <w:vAlign w:val="center"/>
          </w:tcPr>
          <w:p w:rsidRPr="001E77A2" w:rsidR="004A2022" w:rsidP="00FE5CA0" w:rsidRDefault="004A2022" w14:paraId="15357AD1" w14:textId="77777777">
            <w:pPr>
              <w:rPr>
                <w:sz w:val="14"/>
                <w:szCs w:val="14"/>
              </w:rPr>
            </w:pPr>
            <w:r w:rsidRPr="001E77A2">
              <w:rPr>
                <w:sz w:val="14"/>
                <w:szCs w:val="14"/>
              </w:rPr>
              <w:t>sept</w:t>
            </w:r>
          </w:p>
        </w:tc>
        <w:tc>
          <w:tcPr>
            <w:tcW w:w="520" w:type="dxa"/>
            <w:vAlign w:val="center"/>
          </w:tcPr>
          <w:p w:rsidRPr="001E77A2" w:rsidR="004A2022" w:rsidP="00FE5CA0" w:rsidRDefault="004A2022" w14:paraId="3FB561D1" w14:textId="77777777">
            <w:pPr>
              <w:rPr>
                <w:sz w:val="14"/>
                <w:szCs w:val="14"/>
              </w:rPr>
            </w:pPr>
          </w:p>
        </w:tc>
        <w:tc>
          <w:tcPr>
            <w:tcW w:w="520" w:type="dxa"/>
            <w:vAlign w:val="center"/>
          </w:tcPr>
          <w:p w:rsidRPr="001E77A2" w:rsidR="004A2022" w:rsidP="00FE5CA0" w:rsidRDefault="004A2022" w14:paraId="2C766A1D" w14:textId="77777777">
            <w:pPr>
              <w:rPr>
                <w:sz w:val="14"/>
                <w:szCs w:val="14"/>
              </w:rPr>
            </w:pPr>
            <w:r w:rsidRPr="001E77A2">
              <w:rPr>
                <w:sz w:val="14"/>
                <w:szCs w:val="14"/>
              </w:rPr>
              <w:t>okt</w:t>
            </w:r>
          </w:p>
        </w:tc>
        <w:tc>
          <w:tcPr>
            <w:tcW w:w="519" w:type="dxa"/>
            <w:vAlign w:val="center"/>
          </w:tcPr>
          <w:p w:rsidRPr="001E77A2" w:rsidR="004A2022" w:rsidP="00FE5CA0" w:rsidRDefault="004A2022" w14:paraId="55D1B68C" w14:textId="77777777">
            <w:pPr>
              <w:rPr>
                <w:sz w:val="14"/>
                <w:szCs w:val="14"/>
              </w:rPr>
            </w:pPr>
          </w:p>
        </w:tc>
        <w:tc>
          <w:tcPr>
            <w:tcW w:w="520" w:type="dxa"/>
            <w:vAlign w:val="center"/>
          </w:tcPr>
          <w:p w:rsidRPr="001E77A2" w:rsidR="004A2022" w:rsidP="00FE5CA0" w:rsidRDefault="004A2022" w14:paraId="6954F4CB" w14:textId="77777777">
            <w:pPr>
              <w:rPr>
                <w:sz w:val="14"/>
                <w:szCs w:val="14"/>
              </w:rPr>
            </w:pPr>
            <w:r w:rsidRPr="001E77A2">
              <w:rPr>
                <w:sz w:val="14"/>
                <w:szCs w:val="14"/>
              </w:rPr>
              <w:t>nov</w:t>
            </w:r>
          </w:p>
        </w:tc>
      </w:tr>
      <w:tr w:rsidRPr="00D672B2" w:rsidR="004A2022" w:rsidTr="00FE5CA0" w14:paraId="22D72248" w14:textId="77777777">
        <w:trPr>
          <w:trHeight w:val="274"/>
        </w:trPr>
        <w:tc>
          <w:tcPr>
            <w:tcW w:w="2669" w:type="dxa"/>
            <w:tcBorders>
              <w:top w:val="single" w:color="auto" w:sz="18" w:space="0"/>
              <w:right w:val="single" w:color="auto" w:sz="18" w:space="0"/>
            </w:tcBorders>
          </w:tcPr>
          <w:p w:rsidRPr="00D672B2" w:rsidR="004A2022" w:rsidP="00FE5CA0" w:rsidRDefault="004A2022" w14:paraId="62F5D75B" w14:textId="77777777">
            <w:r w:rsidRPr="00D672B2">
              <w:t>Projectplan aanleveren</w:t>
            </w:r>
          </w:p>
        </w:tc>
        <w:tc>
          <w:tcPr>
            <w:tcW w:w="482" w:type="dxa"/>
            <w:tcBorders>
              <w:top w:val="single" w:color="auto" w:sz="18" w:space="0"/>
              <w:left w:val="single" w:color="auto" w:sz="18" w:space="0"/>
            </w:tcBorders>
            <w:shd w:val="clear" w:color="auto" w:fill="808080" w:themeFill="background1" w:themeFillShade="80"/>
          </w:tcPr>
          <w:p w:rsidRPr="00D672B2" w:rsidR="004A2022" w:rsidP="00FE5CA0" w:rsidRDefault="004A2022" w14:paraId="0C5396DA" w14:textId="77777777"/>
        </w:tc>
        <w:tc>
          <w:tcPr>
            <w:tcW w:w="478" w:type="dxa"/>
            <w:tcBorders>
              <w:top w:val="single" w:color="auto" w:sz="18" w:space="0"/>
            </w:tcBorders>
            <w:shd w:val="clear" w:color="auto" w:fill="FFFFFF" w:themeFill="background1"/>
          </w:tcPr>
          <w:p w:rsidRPr="00D672B2" w:rsidR="004A2022" w:rsidP="00FE5CA0" w:rsidRDefault="004A2022" w14:paraId="7DCEE609" w14:textId="77777777"/>
        </w:tc>
        <w:tc>
          <w:tcPr>
            <w:tcW w:w="519" w:type="dxa"/>
            <w:tcBorders>
              <w:top w:val="single" w:color="auto" w:sz="18" w:space="0"/>
            </w:tcBorders>
            <w:shd w:val="clear" w:color="auto" w:fill="FFFFFF" w:themeFill="background1"/>
          </w:tcPr>
          <w:p w:rsidRPr="00D672B2" w:rsidR="004A2022" w:rsidP="00FE5CA0" w:rsidRDefault="004A2022" w14:paraId="055BD3FF" w14:textId="77777777"/>
        </w:tc>
        <w:tc>
          <w:tcPr>
            <w:tcW w:w="520" w:type="dxa"/>
            <w:tcBorders>
              <w:top w:val="single" w:color="auto" w:sz="18" w:space="0"/>
            </w:tcBorders>
            <w:shd w:val="clear" w:color="auto" w:fill="FFFFFF" w:themeFill="background1"/>
          </w:tcPr>
          <w:p w:rsidRPr="00D672B2" w:rsidR="004A2022" w:rsidP="00FE5CA0" w:rsidRDefault="004A2022" w14:paraId="2EE08054" w14:textId="77777777"/>
        </w:tc>
        <w:tc>
          <w:tcPr>
            <w:tcW w:w="520" w:type="dxa"/>
            <w:tcBorders>
              <w:top w:val="single" w:color="auto" w:sz="18" w:space="0"/>
            </w:tcBorders>
            <w:shd w:val="clear" w:color="auto" w:fill="FFFFFF" w:themeFill="background1"/>
          </w:tcPr>
          <w:p w:rsidRPr="00D672B2" w:rsidR="004A2022" w:rsidP="00FE5CA0" w:rsidRDefault="004A2022" w14:paraId="75A7F42C" w14:textId="77777777"/>
        </w:tc>
        <w:tc>
          <w:tcPr>
            <w:tcW w:w="519" w:type="dxa"/>
            <w:tcBorders>
              <w:top w:val="single" w:color="auto" w:sz="18" w:space="0"/>
            </w:tcBorders>
          </w:tcPr>
          <w:p w:rsidRPr="00D672B2" w:rsidR="004A2022" w:rsidP="00FE5CA0" w:rsidRDefault="004A2022" w14:paraId="474F3E22" w14:textId="77777777"/>
        </w:tc>
        <w:tc>
          <w:tcPr>
            <w:tcW w:w="520" w:type="dxa"/>
            <w:tcBorders>
              <w:top w:val="single" w:color="auto" w:sz="18" w:space="0"/>
            </w:tcBorders>
          </w:tcPr>
          <w:p w:rsidRPr="00D672B2" w:rsidR="004A2022" w:rsidP="00FE5CA0" w:rsidRDefault="004A2022" w14:paraId="460F8BD2" w14:textId="77777777"/>
        </w:tc>
        <w:tc>
          <w:tcPr>
            <w:tcW w:w="520" w:type="dxa"/>
            <w:tcBorders>
              <w:top w:val="single" w:color="auto" w:sz="18" w:space="0"/>
            </w:tcBorders>
          </w:tcPr>
          <w:p w:rsidRPr="00D672B2" w:rsidR="004A2022" w:rsidP="00FE5CA0" w:rsidRDefault="004A2022" w14:paraId="5D73DF96" w14:textId="77777777"/>
        </w:tc>
        <w:tc>
          <w:tcPr>
            <w:tcW w:w="519" w:type="dxa"/>
            <w:tcBorders>
              <w:top w:val="single" w:color="auto" w:sz="18" w:space="0"/>
            </w:tcBorders>
          </w:tcPr>
          <w:p w:rsidRPr="00D672B2" w:rsidR="004A2022" w:rsidP="00FE5CA0" w:rsidRDefault="004A2022" w14:paraId="415577B3" w14:textId="77777777"/>
        </w:tc>
        <w:tc>
          <w:tcPr>
            <w:tcW w:w="520" w:type="dxa"/>
            <w:tcBorders>
              <w:top w:val="single" w:color="auto" w:sz="18" w:space="0"/>
            </w:tcBorders>
          </w:tcPr>
          <w:p w:rsidRPr="00D672B2" w:rsidR="004A2022" w:rsidP="00FE5CA0" w:rsidRDefault="004A2022" w14:paraId="06DDF1B0" w14:textId="77777777"/>
        </w:tc>
        <w:tc>
          <w:tcPr>
            <w:tcW w:w="520" w:type="dxa"/>
            <w:tcBorders>
              <w:top w:val="single" w:color="auto" w:sz="18" w:space="0"/>
            </w:tcBorders>
          </w:tcPr>
          <w:p w:rsidRPr="00D672B2" w:rsidR="004A2022" w:rsidP="00FE5CA0" w:rsidRDefault="004A2022" w14:paraId="0B8D9062" w14:textId="77777777"/>
        </w:tc>
        <w:tc>
          <w:tcPr>
            <w:tcW w:w="519" w:type="dxa"/>
            <w:tcBorders>
              <w:top w:val="single" w:color="auto" w:sz="18" w:space="0"/>
            </w:tcBorders>
          </w:tcPr>
          <w:p w:rsidRPr="00D672B2" w:rsidR="004A2022" w:rsidP="00FE5CA0" w:rsidRDefault="004A2022" w14:paraId="50E8AFDB" w14:textId="77777777"/>
        </w:tc>
        <w:tc>
          <w:tcPr>
            <w:tcW w:w="520" w:type="dxa"/>
            <w:tcBorders>
              <w:top w:val="single" w:color="auto" w:sz="18" w:space="0"/>
            </w:tcBorders>
          </w:tcPr>
          <w:p w:rsidRPr="00D672B2" w:rsidR="004A2022" w:rsidP="00FE5CA0" w:rsidRDefault="004A2022" w14:paraId="09AF3D81" w14:textId="77777777"/>
        </w:tc>
      </w:tr>
      <w:tr w:rsidRPr="00D672B2" w:rsidR="004A2022" w:rsidTr="00FE5CA0" w14:paraId="68C7D523" w14:textId="77777777">
        <w:trPr>
          <w:trHeight w:val="274"/>
        </w:trPr>
        <w:tc>
          <w:tcPr>
            <w:tcW w:w="2669" w:type="dxa"/>
            <w:tcBorders>
              <w:right w:val="single" w:color="auto" w:sz="18" w:space="0"/>
            </w:tcBorders>
          </w:tcPr>
          <w:p w:rsidRPr="00D672B2" w:rsidR="004A2022" w:rsidP="00FE5CA0" w:rsidRDefault="004A2022" w14:paraId="324AE246" w14:textId="77777777">
            <w:r w:rsidRPr="00D672B2">
              <w:t>Hoofdstuk 1</w:t>
            </w:r>
          </w:p>
        </w:tc>
        <w:tc>
          <w:tcPr>
            <w:tcW w:w="482" w:type="dxa"/>
            <w:tcBorders>
              <w:left w:val="single" w:color="auto" w:sz="18" w:space="0"/>
            </w:tcBorders>
            <w:shd w:val="clear" w:color="auto" w:fill="auto"/>
          </w:tcPr>
          <w:p w:rsidRPr="00D672B2" w:rsidR="004A2022" w:rsidP="00FE5CA0" w:rsidRDefault="004A2022" w14:paraId="7DD76128" w14:textId="77777777"/>
        </w:tc>
        <w:tc>
          <w:tcPr>
            <w:tcW w:w="478" w:type="dxa"/>
            <w:shd w:val="clear" w:color="auto" w:fill="D9D9D9" w:themeFill="background1" w:themeFillShade="D9"/>
          </w:tcPr>
          <w:p w:rsidRPr="00D672B2" w:rsidR="004A2022" w:rsidP="00FE5CA0" w:rsidRDefault="004A2022" w14:paraId="4AB7318B" w14:textId="77777777"/>
        </w:tc>
        <w:tc>
          <w:tcPr>
            <w:tcW w:w="519" w:type="dxa"/>
            <w:shd w:val="clear" w:color="auto" w:fill="D9D9D9" w:themeFill="background1" w:themeFillShade="D9"/>
          </w:tcPr>
          <w:p w:rsidRPr="00D672B2" w:rsidR="004A2022" w:rsidP="00FE5CA0" w:rsidRDefault="004A2022" w14:paraId="70F47EA1" w14:textId="77777777"/>
        </w:tc>
        <w:tc>
          <w:tcPr>
            <w:tcW w:w="520" w:type="dxa"/>
            <w:shd w:val="clear" w:color="auto" w:fill="D9D9D9" w:themeFill="background1" w:themeFillShade="D9"/>
          </w:tcPr>
          <w:p w:rsidRPr="00D672B2" w:rsidR="004A2022" w:rsidP="00FE5CA0" w:rsidRDefault="004A2022" w14:paraId="6EAADE39" w14:textId="77777777"/>
        </w:tc>
        <w:tc>
          <w:tcPr>
            <w:tcW w:w="520" w:type="dxa"/>
            <w:shd w:val="clear" w:color="auto" w:fill="FFFFFF" w:themeFill="background1"/>
          </w:tcPr>
          <w:p w:rsidRPr="00D672B2" w:rsidR="004A2022" w:rsidP="00FE5CA0" w:rsidRDefault="004A2022" w14:paraId="2C1C14BD" w14:textId="77777777"/>
        </w:tc>
        <w:tc>
          <w:tcPr>
            <w:tcW w:w="519" w:type="dxa"/>
            <w:shd w:val="clear" w:color="auto" w:fill="FFFFFF" w:themeFill="background1"/>
          </w:tcPr>
          <w:p w:rsidRPr="00D672B2" w:rsidR="004A2022" w:rsidP="00FE5CA0" w:rsidRDefault="004A2022" w14:paraId="4C545D04" w14:textId="77777777"/>
        </w:tc>
        <w:tc>
          <w:tcPr>
            <w:tcW w:w="520" w:type="dxa"/>
          </w:tcPr>
          <w:p w:rsidRPr="00D672B2" w:rsidR="004A2022" w:rsidP="00FE5CA0" w:rsidRDefault="004A2022" w14:paraId="5B8151CC" w14:textId="77777777"/>
        </w:tc>
        <w:tc>
          <w:tcPr>
            <w:tcW w:w="520" w:type="dxa"/>
          </w:tcPr>
          <w:p w:rsidRPr="00D672B2" w:rsidR="004A2022" w:rsidP="00FE5CA0" w:rsidRDefault="004A2022" w14:paraId="0B2BD5CE" w14:textId="77777777"/>
        </w:tc>
        <w:tc>
          <w:tcPr>
            <w:tcW w:w="519" w:type="dxa"/>
          </w:tcPr>
          <w:p w:rsidRPr="00D672B2" w:rsidR="004A2022" w:rsidP="00FE5CA0" w:rsidRDefault="004A2022" w14:paraId="2BB5F962" w14:textId="77777777"/>
        </w:tc>
        <w:tc>
          <w:tcPr>
            <w:tcW w:w="520" w:type="dxa"/>
          </w:tcPr>
          <w:p w:rsidRPr="00D672B2" w:rsidR="004A2022" w:rsidP="00FE5CA0" w:rsidRDefault="004A2022" w14:paraId="7F2CEB41" w14:textId="77777777"/>
        </w:tc>
        <w:tc>
          <w:tcPr>
            <w:tcW w:w="520" w:type="dxa"/>
          </w:tcPr>
          <w:p w:rsidRPr="00D672B2" w:rsidR="004A2022" w:rsidP="00FE5CA0" w:rsidRDefault="004A2022" w14:paraId="794A27D4" w14:textId="77777777"/>
        </w:tc>
        <w:tc>
          <w:tcPr>
            <w:tcW w:w="519" w:type="dxa"/>
          </w:tcPr>
          <w:p w:rsidRPr="00D672B2" w:rsidR="004A2022" w:rsidP="00FE5CA0" w:rsidRDefault="004A2022" w14:paraId="2CE6DCBD" w14:textId="77777777"/>
        </w:tc>
        <w:tc>
          <w:tcPr>
            <w:tcW w:w="520" w:type="dxa"/>
          </w:tcPr>
          <w:p w:rsidRPr="00D672B2" w:rsidR="004A2022" w:rsidP="00FE5CA0" w:rsidRDefault="004A2022" w14:paraId="2FAF07B7" w14:textId="77777777"/>
        </w:tc>
      </w:tr>
      <w:tr w:rsidRPr="00D672B2" w:rsidR="004A2022" w:rsidTr="00FE5CA0" w14:paraId="7259B5D4" w14:textId="77777777">
        <w:trPr>
          <w:trHeight w:val="274"/>
        </w:trPr>
        <w:tc>
          <w:tcPr>
            <w:tcW w:w="2669" w:type="dxa"/>
            <w:tcBorders>
              <w:right w:val="single" w:color="auto" w:sz="18" w:space="0"/>
            </w:tcBorders>
          </w:tcPr>
          <w:p w:rsidRPr="00D672B2" w:rsidR="004A2022" w:rsidP="00FE5CA0" w:rsidRDefault="004A2022" w14:paraId="5548A1DD" w14:textId="77777777">
            <w:r w:rsidRPr="00D672B2">
              <w:t>Hoofdstuk 2</w:t>
            </w:r>
          </w:p>
        </w:tc>
        <w:tc>
          <w:tcPr>
            <w:tcW w:w="482" w:type="dxa"/>
            <w:tcBorders>
              <w:left w:val="single" w:color="auto" w:sz="18" w:space="0"/>
            </w:tcBorders>
            <w:shd w:val="clear" w:color="auto" w:fill="auto"/>
          </w:tcPr>
          <w:p w:rsidRPr="00D672B2" w:rsidR="004A2022" w:rsidP="00FE5CA0" w:rsidRDefault="004A2022" w14:paraId="5E7688AE" w14:textId="77777777"/>
        </w:tc>
        <w:tc>
          <w:tcPr>
            <w:tcW w:w="478" w:type="dxa"/>
            <w:shd w:val="clear" w:color="auto" w:fill="D9D9D9" w:themeFill="background1" w:themeFillShade="D9"/>
          </w:tcPr>
          <w:p w:rsidRPr="00D672B2" w:rsidR="004A2022" w:rsidP="00FE5CA0" w:rsidRDefault="004A2022" w14:paraId="04665C8C" w14:textId="77777777"/>
        </w:tc>
        <w:tc>
          <w:tcPr>
            <w:tcW w:w="519" w:type="dxa"/>
            <w:shd w:val="clear" w:color="auto" w:fill="D9D9D9" w:themeFill="background1" w:themeFillShade="D9"/>
          </w:tcPr>
          <w:p w:rsidRPr="00D672B2" w:rsidR="004A2022" w:rsidP="00FE5CA0" w:rsidRDefault="004A2022" w14:paraId="65F91876" w14:textId="77777777"/>
        </w:tc>
        <w:tc>
          <w:tcPr>
            <w:tcW w:w="520" w:type="dxa"/>
            <w:shd w:val="clear" w:color="auto" w:fill="D9D9D9" w:themeFill="background1" w:themeFillShade="D9"/>
          </w:tcPr>
          <w:p w:rsidRPr="00D672B2" w:rsidR="004A2022" w:rsidP="00FE5CA0" w:rsidRDefault="004A2022" w14:paraId="202C4A26" w14:textId="77777777"/>
        </w:tc>
        <w:tc>
          <w:tcPr>
            <w:tcW w:w="520" w:type="dxa"/>
            <w:shd w:val="clear" w:color="auto" w:fill="FFFFFF" w:themeFill="background1"/>
          </w:tcPr>
          <w:p w:rsidRPr="00D672B2" w:rsidR="004A2022" w:rsidP="00FE5CA0" w:rsidRDefault="004A2022" w14:paraId="5E256121" w14:textId="77777777"/>
        </w:tc>
        <w:tc>
          <w:tcPr>
            <w:tcW w:w="519" w:type="dxa"/>
            <w:shd w:val="clear" w:color="auto" w:fill="FFFFFF" w:themeFill="background1"/>
          </w:tcPr>
          <w:p w:rsidRPr="00D672B2" w:rsidR="004A2022" w:rsidP="00FE5CA0" w:rsidRDefault="004A2022" w14:paraId="5B0C1A36" w14:textId="77777777"/>
        </w:tc>
        <w:tc>
          <w:tcPr>
            <w:tcW w:w="520" w:type="dxa"/>
          </w:tcPr>
          <w:p w:rsidRPr="00D672B2" w:rsidR="004A2022" w:rsidP="00FE5CA0" w:rsidRDefault="004A2022" w14:paraId="7A5660AE" w14:textId="77777777"/>
        </w:tc>
        <w:tc>
          <w:tcPr>
            <w:tcW w:w="520" w:type="dxa"/>
          </w:tcPr>
          <w:p w:rsidRPr="00D672B2" w:rsidR="004A2022" w:rsidP="00FE5CA0" w:rsidRDefault="004A2022" w14:paraId="5EC7F5F6" w14:textId="77777777"/>
        </w:tc>
        <w:tc>
          <w:tcPr>
            <w:tcW w:w="519" w:type="dxa"/>
          </w:tcPr>
          <w:p w:rsidRPr="00D672B2" w:rsidR="004A2022" w:rsidP="00FE5CA0" w:rsidRDefault="004A2022" w14:paraId="3833B6DC" w14:textId="77777777"/>
        </w:tc>
        <w:tc>
          <w:tcPr>
            <w:tcW w:w="520" w:type="dxa"/>
          </w:tcPr>
          <w:p w:rsidRPr="00D672B2" w:rsidR="004A2022" w:rsidP="00FE5CA0" w:rsidRDefault="004A2022" w14:paraId="32FADD41" w14:textId="77777777"/>
        </w:tc>
        <w:tc>
          <w:tcPr>
            <w:tcW w:w="520" w:type="dxa"/>
          </w:tcPr>
          <w:p w:rsidRPr="00D672B2" w:rsidR="004A2022" w:rsidP="00FE5CA0" w:rsidRDefault="004A2022" w14:paraId="5D06DD74" w14:textId="77777777"/>
        </w:tc>
        <w:tc>
          <w:tcPr>
            <w:tcW w:w="519" w:type="dxa"/>
          </w:tcPr>
          <w:p w:rsidRPr="00D672B2" w:rsidR="004A2022" w:rsidP="00FE5CA0" w:rsidRDefault="004A2022" w14:paraId="6B6A98FC" w14:textId="77777777"/>
        </w:tc>
        <w:tc>
          <w:tcPr>
            <w:tcW w:w="520" w:type="dxa"/>
          </w:tcPr>
          <w:p w:rsidRPr="00D672B2" w:rsidR="004A2022" w:rsidP="00FE5CA0" w:rsidRDefault="004A2022" w14:paraId="737BE053" w14:textId="77777777"/>
        </w:tc>
      </w:tr>
      <w:tr w:rsidRPr="00D672B2" w:rsidR="004A2022" w:rsidTr="00FE5CA0" w14:paraId="32613CE9" w14:textId="77777777">
        <w:trPr>
          <w:trHeight w:val="274"/>
        </w:trPr>
        <w:tc>
          <w:tcPr>
            <w:tcW w:w="2669" w:type="dxa"/>
            <w:tcBorders>
              <w:right w:val="single" w:color="auto" w:sz="18" w:space="0"/>
            </w:tcBorders>
          </w:tcPr>
          <w:p w:rsidRPr="00D672B2" w:rsidR="004A2022" w:rsidP="00FE5CA0" w:rsidRDefault="004A2022" w14:paraId="76A17295" w14:textId="77777777">
            <w:r w:rsidRPr="00D672B2">
              <w:t>Case studies</w:t>
            </w:r>
          </w:p>
        </w:tc>
        <w:tc>
          <w:tcPr>
            <w:tcW w:w="482" w:type="dxa"/>
            <w:tcBorders>
              <w:left w:val="single" w:color="auto" w:sz="18" w:space="0"/>
            </w:tcBorders>
            <w:shd w:val="clear" w:color="auto" w:fill="auto"/>
          </w:tcPr>
          <w:p w:rsidRPr="00D672B2" w:rsidR="004A2022" w:rsidP="00FE5CA0" w:rsidRDefault="004A2022" w14:paraId="2AB5C5FA" w14:textId="77777777"/>
        </w:tc>
        <w:tc>
          <w:tcPr>
            <w:tcW w:w="478" w:type="dxa"/>
            <w:shd w:val="clear" w:color="auto" w:fill="auto"/>
          </w:tcPr>
          <w:p w:rsidRPr="00D672B2" w:rsidR="004A2022" w:rsidP="00FE5CA0" w:rsidRDefault="004A2022" w14:paraId="1A78C770" w14:textId="77777777"/>
        </w:tc>
        <w:tc>
          <w:tcPr>
            <w:tcW w:w="519" w:type="dxa"/>
            <w:shd w:val="clear" w:color="auto" w:fill="auto"/>
          </w:tcPr>
          <w:p w:rsidRPr="00D672B2" w:rsidR="004A2022" w:rsidP="00FE5CA0" w:rsidRDefault="004A2022" w14:paraId="2687CF55" w14:textId="77777777"/>
        </w:tc>
        <w:tc>
          <w:tcPr>
            <w:tcW w:w="520" w:type="dxa"/>
            <w:shd w:val="clear" w:color="auto" w:fill="FFFFFF" w:themeFill="background1"/>
          </w:tcPr>
          <w:p w:rsidRPr="00D672B2" w:rsidR="004A2022" w:rsidP="00FE5CA0" w:rsidRDefault="004A2022" w14:paraId="4329B9D5" w14:textId="77777777"/>
        </w:tc>
        <w:tc>
          <w:tcPr>
            <w:tcW w:w="520" w:type="dxa"/>
            <w:shd w:val="clear" w:color="auto" w:fill="FFFFFF" w:themeFill="background1"/>
          </w:tcPr>
          <w:p w:rsidRPr="00D672B2" w:rsidR="004A2022" w:rsidP="00FE5CA0" w:rsidRDefault="004A2022" w14:paraId="32CB04EF" w14:textId="77777777"/>
        </w:tc>
        <w:tc>
          <w:tcPr>
            <w:tcW w:w="519" w:type="dxa"/>
            <w:shd w:val="clear" w:color="auto" w:fill="D9D9D9" w:themeFill="background1" w:themeFillShade="D9"/>
          </w:tcPr>
          <w:p w:rsidRPr="00D672B2" w:rsidR="004A2022" w:rsidP="00FE5CA0" w:rsidRDefault="004A2022" w14:paraId="31891586" w14:textId="77777777"/>
        </w:tc>
        <w:tc>
          <w:tcPr>
            <w:tcW w:w="520" w:type="dxa"/>
            <w:shd w:val="clear" w:color="auto" w:fill="D9D9D9" w:themeFill="background1" w:themeFillShade="D9"/>
          </w:tcPr>
          <w:p w:rsidRPr="00D672B2" w:rsidR="004A2022" w:rsidP="00FE5CA0" w:rsidRDefault="004A2022" w14:paraId="730B8134" w14:textId="77777777"/>
        </w:tc>
        <w:tc>
          <w:tcPr>
            <w:tcW w:w="520" w:type="dxa"/>
            <w:shd w:val="clear" w:color="auto" w:fill="D9D9D9" w:themeFill="background1" w:themeFillShade="D9"/>
          </w:tcPr>
          <w:p w:rsidRPr="00D672B2" w:rsidR="004A2022" w:rsidP="00FE5CA0" w:rsidRDefault="004A2022" w14:paraId="1B68ABB1" w14:textId="77777777"/>
        </w:tc>
        <w:tc>
          <w:tcPr>
            <w:tcW w:w="519" w:type="dxa"/>
          </w:tcPr>
          <w:p w:rsidRPr="00D672B2" w:rsidR="004A2022" w:rsidP="00FE5CA0" w:rsidRDefault="004A2022" w14:paraId="198F6C43" w14:textId="77777777"/>
        </w:tc>
        <w:tc>
          <w:tcPr>
            <w:tcW w:w="520" w:type="dxa"/>
          </w:tcPr>
          <w:p w:rsidRPr="00D672B2" w:rsidR="004A2022" w:rsidP="00FE5CA0" w:rsidRDefault="004A2022" w14:paraId="2E38FA57" w14:textId="77777777"/>
        </w:tc>
        <w:tc>
          <w:tcPr>
            <w:tcW w:w="520" w:type="dxa"/>
          </w:tcPr>
          <w:p w:rsidRPr="00D672B2" w:rsidR="004A2022" w:rsidP="00FE5CA0" w:rsidRDefault="004A2022" w14:paraId="5AE8B7B1" w14:textId="77777777"/>
        </w:tc>
        <w:tc>
          <w:tcPr>
            <w:tcW w:w="519" w:type="dxa"/>
          </w:tcPr>
          <w:p w:rsidRPr="00D672B2" w:rsidR="004A2022" w:rsidP="00FE5CA0" w:rsidRDefault="004A2022" w14:paraId="2CDBE435" w14:textId="77777777"/>
        </w:tc>
        <w:tc>
          <w:tcPr>
            <w:tcW w:w="520" w:type="dxa"/>
          </w:tcPr>
          <w:p w:rsidRPr="00D672B2" w:rsidR="004A2022" w:rsidP="00FE5CA0" w:rsidRDefault="004A2022" w14:paraId="0ACE961B" w14:textId="77777777"/>
        </w:tc>
      </w:tr>
      <w:tr w:rsidRPr="00D672B2" w:rsidR="004A2022" w:rsidTr="00FE5CA0" w14:paraId="3AD77EA9" w14:textId="77777777">
        <w:trPr>
          <w:trHeight w:val="274"/>
        </w:trPr>
        <w:tc>
          <w:tcPr>
            <w:tcW w:w="2669" w:type="dxa"/>
            <w:tcBorders>
              <w:right w:val="single" w:color="auto" w:sz="18" w:space="0"/>
            </w:tcBorders>
          </w:tcPr>
          <w:p w:rsidRPr="00D672B2" w:rsidR="004A2022" w:rsidP="00FE5CA0" w:rsidRDefault="004A2022" w14:paraId="576A8BD6" w14:textId="77777777">
            <w:r w:rsidRPr="00D672B2">
              <w:t>Voortgangsbijeenkomst</w:t>
            </w:r>
          </w:p>
        </w:tc>
        <w:tc>
          <w:tcPr>
            <w:tcW w:w="482" w:type="dxa"/>
            <w:tcBorders>
              <w:left w:val="single" w:color="auto" w:sz="18" w:space="0"/>
            </w:tcBorders>
          </w:tcPr>
          <w:p w:rsidRPr="00D672B2" w:rsidR="004A2022" w:rsidP="00FE5CA0" w:rsidRDefault="004A2022" w14:paraId="2D837EBD" w14:textId="77777777"/>
        </w:tc>
        <w:tc>
          <w:tcPr>
            <w:tcW w:w="478" w:type="dxa"/>
          </w:tcPr>
          <w:p w:rsidRPr="00D672B2" w:rsidR="004A2022" w:rsidP="00FE5CA0" w:rsidRDefault="004A2022" w14:paraId="28A1E504" w14:textId="77777777"/>
        </w:tc>
        <w:tc>
          <w:tcPr>
            <w:tcW w:w="519" w:type="dxa"/>
          </w:tcPr>
          <w:p w:rsidRPr="00D672B2" w:rsidR="004A2022" w:rsidP="00FE5CA0" w:rsidRDefault="004A2022" w14:paraId="65DB8173" w14:textId="77777777"/>
        </w:tc>
        <w:tc>
          <w:tcPr>
            <w:tcW w:w="520" w:type="dxa"/>
          </w:tcPr>
          <w:p w:rsidRPr="00D672B2" w:rsidR="004A2022" w:rsidP="00FE5CA0" w:rsidRDefault="004A2022" w14:paraId="3101FF0E" w14:textId="77777777"/>
        </w:tc>
        <w:tc>
          <w:tcPr>
            <w:tcW w:w="520" w:type="dxa"/>
            <w:shd w:val="clear" w:color="auto" w:fill="808080" w:themeFill="background1" w:themeFillShade="80"/>
          </w:tcPr>
          <w:p w:rsidRPr="00D672B2" w:rsidR="004A2022" w:rsidP="00FE5CA0" w:rsidRDefault="004A2022" w14:paraId="34A2939A" w14:textId="77777777">
            <w:pPr>
              <w:rPr>
                <w:b/>
              </w:rPr>
            </w:pPr>
            <w:r w:rsidRPr="00D672B2">
              <w:rPr>
                <w:b/>
              </w:rPr>
              <w:t>Week 27</w:t>
            </w:r>
          </w:p>
        </w:tc>
        <w:tc>
          <w:tcPr>
            <w:tcW w:w="519" w:type="dxa"/>
          </w:tcPr>
          <w:p w:rsidRPr="00D672B2" w:rsidR="004A2022" w:rsidP="00FE5CA0" w:rsidRDefault="004A2022" w14:paraId="5C055AC7" w14:textId="77777777"/>
        </w:tc>
        <w:tc>
          <w:tcPr>
            <w:tcW w:w="520" w:type="dxa"/>
            <w:shd w:val="clear" w:color="auto" w:fill="FFFFFF" w:themeFill="background1"/>
          </w:tcPr>
          <w:p w:rsidRPr="00D672B2" w:rsidR="004A2022" w:rsidP="00FE5CA0" w:rsidRDefault="004A2022" w14:paraId="54786A58" w14:textId="77777777"/>
        </w:tc>
        <w:tc>
          <w:tcPr>
            <w:tcW w:w="520" w:type="dxa"/>
          </w:tcPr>
          <w:p w:rsidRPr="00D672B2" w:rsidR="004A2022" w:rsidP="00FE5CA0" w:rsidRDefault="004A2022" w14:paraId="2A949AF2" w14:textId="77777777"/>
        </w:tc>
        <w:tc>
          <w:tcPr>
            <w:tcW w:w="519" w:type="dxa"/>
          </w:tcPr>
          <w:p w:rsidRPr="00D672B2" w:rsidR="004A2022" w:rsidP="00FE5CA0" w:rsidRDefault="004A2022" w14:paraId="2208FBC0" w14:textId="77777777"/>
        </w:tc>
        <w:tc>
          <w:tcPr>
            <w:tcW w:w="520" w:type="dxa"/>
          </w:tcPr>
          <w:p w:rsidRPr="00D672B2" w:rsidR="004A2022" w:rsidP="00FE5CA0" w:rsidRDefault="004A2022" w14:paraId="4DAEB351" w14:textId="77777777"/>
        </w:tc>
        <w:tc>
          <w:tcPr>
            <w:tcW w:w="520" w:type="dxa"/>
          </w:tcPr>
          <w:p w:rsidRPr="00D672B2" w:rsidR="004A2022" w:rsidP="00FE5CA0" w:rsidRDefault="004A2022" w14:paraId="4221F79A" w14:textId="77777777"/>
        </w:tc>
        <w:tc>
          <w:tcPr>
            <w:tcW w:w="519" w:type="dxa"/>
          </w:tcPr>
          <w:p w:rsidRPr="00D672B2" w:rsidR="004A2022" w:rsidP="00FE5CA0" w:rsidRDefault="004A2022" w14:paraId="2C24AC3C" w14:textId="77777777"/>
        </w:tc>
        <w:tc>
          <w:tcPr>
            <w:tcW w:w="520" w:type="dxa"/>
          </w:tcPr>
          <w:p w:rsidRPr="00D672B2" w:rsidR="004A2022" w:rsidP="00FE5CA0" w:rsidRDefault="004A2022" w14:paraId="15F032BF" w14:textId="77777777"/>
        </w:tc>
      </w:tr>
      <w:tr w:rsidRPr="00D672B2" w:rsidR="004A2022" w:rsidTr="00FE5CA0" w14:paraId="52D75615" w14:textId="77777777">
        <w:trPr>
          <w:trHeight w:val="274"/>
        </w:trPr>
        <w:tc>
          <w:tcPr>
            <w:tcW w:w="2669" w:type="dxa"/>
            <w:tcBorders>
              <w:right w:val="single" w:color="auto" w:sz="18" w:space="0"/>
            </w:tcBorders>
          </w:tcPr>
          <w:p w:rsidRPr="00D672B2" w:rsidR="004A2022" w:rsidP="00FE5CA0" w:rsidRDefault="004A2022" w14:paraId="7822F8DA" w14:textId="77777777">
            <w:r w:rsidRPr="00D672B2">
              <w:t>Hoofdstuk 3</w:t>
            </w:r>
          </w:p>
        </w:tc>
        <w:tc>
          <w:tcPr>
            <w:tcW w:w="482" w:type="dxa"/>
            <w:tcBorders>
              <w:left w:val="single" w:color="auto" w:sz="18" w:space="0"/>
            </w:tcBorders>
          </w:tcPr>
          <w:p w:rsidRPr="00D672B2" w:rsidR="004A2022" w:rsidP="00FE5CA0" w:rsidRDefault="004A2022" w14:paraId="70B1ACC4" w14:textId="77777777"/>
        </w:tc>
        <w:tc>
          <w:tcPr>
            <w:tcW w:w="478" w:type="dxa"/>
          </w:tcPr>
          <w:p w:rsidRPr="00D672B2" w:rsidR="004A2022" w:rsidP="00FE5CA0" w:rsidRDefault="004A2022" w14:paraId="6B3DD8DB" w14:textId="77777777"/>
        </w:tc>
        <w:tc>
          <w:tcPr>
            <w:tcW w:w="519" w:type="dxa"/>
          </w:tcPr>
          <w:p w:rsidRPr="00D672B2" w:rsidR="004A2022" w:rsidP="00FE5CA0" w:rsidRDefault="004A2022" w14:paraId="3EB53AED" w14:textId="77777777"/>
        </w:tc>
        <w:tc>
          <w:tcPr>
            <w:tcW w:w="520" w:type="dxa"/>
          </w:tcPr>
          <w:p w:rsidRPr="00D672B2" w:rsidR="004A2022" w:rsidP="00FE5CA0" w:rsidRDefault="004A2022" w14:paraId="49A26931" w14:textId="77777777"/>
        </w:tc>
        <w:tc>
          <w:tcPr>
            <w:tcW w:w="520" w:type="dxa"/>
          </w:tcPr>
          <w:p w:rsidRPr="00D672B2" w:rsidR="004A2022" w:rsidP="00FE5CA0" w:rsidRDefault="004A2022" w14:paraId="76AA677F" w14:textId="77777777"/>
        </w:tc>
        <w:tc>
          <w:tcPr>
            <w:tcW w:w="519" w:type="dxa"/>
          </w:tcPr>
          <w:p w:rsidRPr="00D672B2" w:rsidR="004A2022" w:rsidP="00FE5CA0" w:rsidRDefault="004A2022" w14:paraId="02516628" w14:textId="77777777"/>
        </w:tc>
        <w:tc>
          <w:tcPr>
            <w:tcW w:w="520" w:type="dxa"/>
            <w:shd w:val="clear" w:color="auto" w:fill="D9D9D9" w:themeFill="background1" w:themeFillShade="D9"/>
          </w:tcPr>
          <w:p w:rsidRPr="00D672B2" w:rsidR="004A2022" w:rsidP="00FE5CA0" w:rsidRDefault="004A2022" w14:paraId="07C8B91E" w14:textId="77777777"/>
        </w:tc>
        <w:tc>
          <w:tcPr>
            <w:tcW w:w="520" w:type="dxa"/>
            <w:shd w:val="clear" w:color="auto" w:fill="D9D9D9" w:themeFill="background1" w:themeFillShade="D9"/>
          </w:tcPr>
          <w:p w:rsidRPr="00D672B2" w:rsidR="004A2022" w:rsidP="00FE5CA0" w:rsidRDefault="004A2022" w14:paraId="3A726A4D" w14:textId="77777777"/>
        </w:tc>
        <w:tc>
          <w:tcPr>
            <w:tcW w:w="519" w:type="dxa"/>
            <w:shd w:val="clear" w:color="auto" w:fill="D9D9D9" w:themeFill="background1" w:themeFillShade="D9"/>
          </w:tcPr>
          <w:p w:rsidRPr="00D672B2" w:rsidR="004A2022" w:rsidP="00FE5CA0" w:rsidRDefault="004A2022" w14:paraId="5264D17F" w14:textId="77777777"/>
        </w:tc>
        <w:tc>
          <w:tcPr>
            <w:tcW w:w="520" w:type="dxa"/>
            <w:shd w:val="clear" w:color="auto" w:fill="FFFFFF" w:themeFill="background1"/>
          </w:tcPr>
          <w:p w:rsidRPr="00D672B2" w:rsidR="004A2022" w:rsidP="00FE5CA0" w:rsidRDefault="004A2022" w14:paraId="00C5D546" w14:textId="77777777"/>
        </w:tc>
        <w:tc>
          <w:tcPr>
            <w:tcW w:w="520" w:type="dxa"/>
            <w:shd w:val="clear" w:color="auto" w:fill="FFFFFF" w:themeFill="background1"/>
          </w:tcPr>
          <w:p w:rsidRPr="00D672B2" w:rsidR="004A2022" w:rsidP="00FE5CA0" w:rsidRDefault="004A2022" w14:paraId="409393A1" w14:textId="77777777"/>
        </w:tc>
        <w:tc>
          <w:tcPr>
            <w:tcW w:w="519" w:type="dxa"/>
          </w:tcPr>
          <w:p w:rsidRPr="00D672B2" w:rsidR="004A2022" w:rsidP="00FE5CA0" w:rsidRDefault="004A2022" w14:paraId="78935FFA" w14:textId="77777777"/>
        </w:tc>
        <w:tc>
          <w:tcPr>
            <w:tcW w:w="520" w:type="dxa"/>
          </w:tcPr>
          <w:p w:rsidRPr="00D672B2" w:rsidR="004A2022" w:rsidP="00FE5CA0" w:rsidRDefault="004A2022" w14:paraId="48D5F2FB" w14:textId="77777777"/>
        </w:tc>
      </w:tr>
      <w:tr w:rsidRPr="00D672B2" w:rsidR="004A2022" w:rsidTr="00FE5CA0" w14:paraId="3CB7E525" w14:textId="77777777">
        <w:trPr>
          <w:trHeight w:val="274"/>
        </w:trPr>
        <w:tc>
          <w:tcPr>
            <w:tcW w:w="2669" w:type="dxa"/>
            <w:tcBorders>
              <w:right w:val="single" w:color="auto" w:sz="18" w:space="0"/>
            </w:tcBorders>
          </w:tcPr>
          <w:p w:rsidRPr="00D672B2" w:rsidR="004A2022" w:rsidP="00FE5CA0" w:rsidRDefault="004A2022" w14:paraId="2A0E47BC" w14:textId="77777777">
            <w:r w:rsidRPr="00D672B2">
              <w:t>Hoofdstuk 4</w:t>
            </w:r>
          </w:p>
        </w:tc>
        <w:tc>
          <w:tcPr>
            <w:tcW w:w="482" w:type="dxa"/>
            <w:tcBorders>
              <w:left w:val="single" w:color="auto" w:sz="18" w:space="0"/>
            </w:tcBorders>
          </w:tcPr>
          <w:p w:rsidRPr="00D672B2" w:rsidR="004A2022" w:rsidP="00FE5CA0" w:rsidRDefault="004A2022" w14:paraId="00E2C48D" w14:textId="77777777"/>
        </w:tc>
        <w:tc>
          <w:tcPr>
            <w:tcW w:w="478" w:type="dxa"/>
          </w:tcPr>
          <w:p w:rsidRPr="00D672B2" w:rsidR="004A2022" w:rsidP="00FE5CA0" w:rsidRDefault="004A2022" w14:paraId="169B131E" w14:textId="77777777"/>
        </w:tc>
        <w:tc>
          <w:tcPr>
            <w:tcW w:w="519" w:type="dxa"/>
          </w:tcPr>
          <w:p w:rsidRPr="00D672B2" w:rsidR="004A2022" w:rsidP="00FE5CA0" w:rsidRDefault="004A2022" w14:paraId="56391AB9" w14:textId="77777777"/>
        </w:tc>
        <w:tc>
          <w:tcPr>
            <w:tcW w:w="520" w:type="dxa"/>
          </w:tcPr>
          <w:p w:rsidRPr="00D672B2" w:rsidR="004A2022" w:rsidP="00FE5CA0" w:rsidRDefault="004A2022" w14:paraId="67C312B8" w14:textId="77777777"/>
        </w:tc>
        <w:tc>
          <w:tcPr>
            <w:tcW w:w="520" w:type="dxa"/>
          </w:tcPr>
          <w:p w:rsidRPr="00D672B2" w:rsidR="004A2022" w:rsidP="00FE5CA0" w:rsidRDefault="004A2022" w14:paraId="41B20764" w14:textId="77777777"/>
        </w:tc>
        <w:tc>
          <w:tcPr>
            <w:tcW w:w="519" w:type="dxa"/>
          </w:tcPr>
          <w:p w:rsidRPr="00D672B2" w:rsidR="004A2022" w:rsidP="00FE5CA0" w:rsidRDefault="004A2022" w14:paraId="65D26C68" w14:textId="77777777"/>
        </w:tc>
        <w:tc>
          <w:tcPr>
            <w:tcW w:w="520" w:type="dxa"/>
            <w:shd w:val="clear" w:color="auto" w:fill="FFFFFF" w:themeFill="background1"/>
          </w:tcPr>
          <w:p w:rsidRPr="00D672B2" w:rsidR="004A2022" w:rsidP="00FE5CA0" w:rsidRDefault="004A2022" w14:paraId="5495ACE5" w14:textId="77777777"/>
        </w:tc>
        <w:tc>
          <w:tcPr>
            <w:tcW w:w="520" w:type="dxa"/>
            <w:shd w:val="clear" w:color="auto" w:fill="FFFFFF" w:themeFill="background1"/>
          </w:tcPr>
          <w:p w:rsidRPr="00D672B2" w:rsidR="004A2022" w:rsidP="00FE5CA0" w:rsidRDefault="004A2022" w14:paraId="0D16A23D" w14:textId="77777777"/>
        </w:tc>
        <w:tc>
          <w:tcPr>
            <w:tcW w:w="519" w:type="dxa"/>
            <w:shd w:val="clear" w:color="auto" w:fill="D9D9D9" w:themeFill="background1" w:themeFillShade="D9"/>
          </w:tcPr>
          <w:p w:rsidRPr="00D672B2" w:rsidR="004A2022" w:rsidP="00FE5CA0" w:rsidRDefault="004A2022" w14:paraId="385AB7DB" w14:textId="77777777"/>
        </w:tc>
        <w:tc>
          <w:tcPr>
            <w:tcW w:w="520" w:type="dxa"/>
            <w:shd w:val="clear" w:color="auto" w:fill="D9D9D9" w:themeFill="background1" w:themeFillShade="D9"/>
          </w:tcPr>
          <w:p w:rsidRPr="00D672B2" w:rsidR="004A2022" w:rsidP="00FE5CA0" w:rsidRDefault="004A2022" w14:paraId="0B4C2128" w14:textId="77777777"/>
        </w:tc>
        <w:tc>
          <w:tcPr>
            <w:tcW w:w="520" w:type="dxa"/>
            <w:shd w:val="clear" w:color="auto" w:fill="FFFFFF" w:themeFill="background1"/>
          </w:tcPr>
          <w:p w:rsidRPr="00D672B2" w:rsidR="004A2022" w:rsidP="00FE5CA0" w:rsidRDefault="004A2022" w14:paraId="02A0B1C9" w14:textId="77777777"/>
        </w:tc>
        <w:tc>
          <w:tcPr>
            <w:tcW w:w="519" w:type="dxa"/>
          </w:tcPr>
          <w:p w:rsidRPr="00D672B2" w:rsidR="004A2022" w:rsidP="00FE5CA0" w:rsidRDefault="004A2022" w14:paraId="69D10C9C" w14:textId="77777777"/>
        </w:tc>
        <w:tc>
          <w:tcPr>
            <w:tcW w:w="520" w:type="dxa"/>
          </w:tcPr>
          <w:p w:rsidRPr="00D672B2" w:rsidR="004A2022" w:rsidP="00FE5CA0" w:rsidRDefault="004A2022" w14:paraId="13DDBD67" w14:textId="77777777"/>
        </w:tc>
      </w:tr>
      <w:tr w:rsidRPr="00D672B2" w:rsidR="004A2022" w:rsidTr="00FE5CA0" w14:paraId="07B97337" w14:textId="77777777">
        <w:trPr>
          <w:trHeight w:val="274"/>
        </w:trPr>
        <w:tc>
          <w:tcPr>
            <w:tcW w:w="2669" w:type="dxa"/>
            <w:tcBorders>
              <w:right w:val="single" w:color="auto" w:sz="18" w:space="0"/>
            </w:tcBorders>
          </w:tcPr>
          <w:p w:rsidRPr="00D672B2" w:rsidR="004A2022" w:rsidP="00FE5CA0" w:rsidRDefault="004A2022" w14:paraId="75DE9647" w14:textId="77777777">
            <w:r w:rsidRPr="00D672B2">
              <w:t>Bespreking concept rapport</w:t>
            </w:r>
          </w:p>
        </w:tc>
        <w:tc>
          <w:tcPr>
            <w:tcW w:w="482" w:type="dxa"/>
            <w:tcBorders>
              <w:left w:val="single" w:color="auto" w:sz="18" w:space="0"/>
            </w:tcBorders>
          </w:tcPr>
          <w:p w:rsidRPr="00D672B2" w:rsidR="004A2022" w:rsidP="00FE5CA0" w:rsidRDefault="004A2022" w14:paraId="773819D3" w14:textId="77777777"/>
        </w:tc>
        <w:tc>
          <w:tcPr>
            <w:tcW w:w="478" w:type="dxa"/>
          </w:tcPr>
          <w:p w:rsidRPr="00D672B2" w:rsidR="004A2022" w:rsidP="00FE5CA0" w:rsidRDefault="004A2022" w14:paraId="3E43B38E" w14:textId="77777777"/>
        </w:tc>
        <w:tc>
          <w:tcPr>
            <w:tcW w:w="519" w:type="dxa"/>
          </w:tcPr>
          <w:p w:rsidRPr="00D672B2" w:rsidR="004A2022" w:rsidP="00FE5CA0" w:rsidRDefault="004A2022" w14:paraId="464C2AD3" w14:textId="77777777"/>
        </w:tc>
        <w:tc>
          <w:tcPr>
            <w:tcW w:w="520" w:type="dxa"/>
          </w:tcPr>
          <w:p w:rsidRPr="00D672B2" w:rsidR="004A2022" w:rsidP="00FE5CA0" w:rsidRDefault="004A2022" w14:paraId="7313AB21" w14:textId="77777777"/>
        </w:tc>
        <w:tc>
          <w:tcPr>
            <w:tcW w:w="520" w:type="dxa"/>
          </w:tcPr>
          <w:p w:rsidRPr="00D672B2" w:rsidR="004A2022" w:rsidP="00FE5CA0" w:rsidRDefault="004A2022" w14:paraId="5498FFF5" w14:textId="77777777"/>
        </w:tc>
        <w:tc>
          <w:tcPr>
            <w:tcW w:w="519" w:type="dxa"/>
          </w:tcPr>
          <w:p w:rsidRPr="00D672B2" w:rsidR="004A2022" w:rsidP="00FE5CA0" w:rsidRDefault="004A2022" w14:paraId="0CA0344C" w14:textId="77777777"/>
        </w:tc>
        <w:tc>
          <w:tcPr>
            <w:tcW w:w="520" w:type="dxa"/>
          </w:tcPr>
          <w:p w:rsidRPr="00D672B2" w:rsidR="004A2022" w:rsidP="00FE5CA0" w:rsidRDefault="004A2022" w14:paraId="7902F65D" w14:textId="77777777"/>
        </w:tc>
        <w:tc>
          <w:tcPr>
            <w:tcW w:w="520" w:type="dxa"/>
          </w:tcPr>
          <w:p w:rsidRPr="00D672B2" w:rsidR="004A2022" w:rsidP="00FE5CA0" w:rsidRDefault="004A2022" w14:paraId="01B234D1" w14:textId="77777777"/>
        </w:tc>
        <w:tc>
          <w:tcPr>
            <w:tcW w:w="519" w:type="dxa"/>
          </w:tcPr>
          <w:p w:rsidRPr="00D672B2" w:rsidR="004A2022" w:rsidP="00FE5CA0" w:rsidRDefault="004A2022" w14:paraId="2CA0E01D" w14:textId="77777777"/>
        </w:tc>
        <w:tc>
          <w:tcPr>
            <w:tcW w:w="520" w:type="dxa"/>
            <w:shd w:val="clear" w:color="auto" w:fill="FFFFFF" w:themeFill="background1"/>
          </w:tcPr>
          <w:p w:rsidRPr="00D672B2" w:rsidR="004A2022" w:rsidP="00FE5CA0" w:rsidRDefault="004A2022" w14:paraId="32C27621" w14:textId="77777777"/>
        </w:tc>
        <w:tc>
          <w:tcPr>
            <w:tcW w:w="520" w:type="dxa"/>
            <w:shd w:val="clear" w:color="auto" w:fill="808080" w:themeFill="background1" w:themeFillShade="80"/>
          </w:tcPr>
          <w:p w:rsidRPr="00D672B2" w:rsidR="004A2022" w:rsidP="00FE5CA0" w:rsidRDefault="004A2022" w14:paraId="693AA64E" w14:textId="77777777">
            <w:r w:rsidRPr="00D672B2">
              <w:rPr>
                <w:b/>
              </w:rPr>
              <w:t>Week 41</w:t>
            </w:r>
          </w:p>
        </w:tc>
        <w:tc>
          <w:tcPr>
            <w:tcW w:w="519" w:type="dxa"/>
          </w:tcPr>
          <w:p w:rsidRPr="00D672B2" w:rsidR="004A2022" w:rsidP="00FE5CA0" w:rsidRDefault="004A2022" w14:paraId="0A0AE1C5" w14:textId="77777777"/>
        </w:tc>
        <w:tc>
          <w:tcPr>
            <w:tcW w:w="520" w:type="dxa"/>
          </w:tcPr>
          <w:p w:rsidRPr="00D672B2" w:rsidR="004A2022" w:rsidP="00FE5CA0" w:rsidRDefault="004A2022" w14:paraId="5E83F777" w14:textId="77777777"/>
        </w:tc>
      </w:tr>
      <w:tr w:rsidRPr="00D672B2" w:rsidR="004A2022" w:rsidTr="00FE5CA0" w14:paraId="6DBB15BF" w14:textId="77777777">
        <w:trPr>
          <w:trHeight w:val="274"/>
        </w:trPr>
        <w:tc>
          <w:tcPr>
            <w:tcW w:w="2669" w:type="dxa"/>
            <w:tcBorders>
              <w:right w:val="single" w:color="auto" w:sz="18" w:space="0"/>
            </w:tcBorders>
          </w:tcPr>
          <w:p w:rsidRPr="00D672B2" w:rsidR="004A2022" w:rsidP="00FE5CA0" w:rsidRDefault="004A2022" w14:paraId="7085B66E" w14:textId="77777777">
            <w:r w:rsidRPr="00D672B2">
              <w:t>Afronding rapport</w:t>
            </w:r>
          </w:p>
        </w:tc>
        <w:tc>
          <w:tcPr>
            <w:tcW w:w="482" w:type="dxa"/>
            <w:tcBorders>
              <w:left w:val="single" w:color="auto" w:sz="18" w:space="0"/>
            </w:tcBorders>
          </w:tcPr>
          <w:p w:rsidRPr="00D672B2" w:rsidR="004A2022" w:rsidP="00FE5CA0" w:rsidRDefault="004A2022" w14:paraId="54B495AB" w14:textId="77777777"/>
        </w:tc>
        <w:tc>
          <w:tcPr>
            <w:tcW w:w="478" w:type="dxa"/>
          </w:tcPr>
          <w:p w:rsidRPr="00D672B2" w:rsidR="004A2022" w:rsidP="00FE5CA0" w:rsidRDefault="004A2022" w14:paraId="2EDE96C4" w14:textId="77777777"/>
        </w:tc>
        <w:tc>
          <w:tcPr>
            <w:tcW w:w="519" w:type="dxa"/>
          </w:tcPr>
          <w:p w:rsidRPr="00D672B2" w:rsidR="004A2022" w:rsidP="00FE5CA0" w:rsidRDefault="004A2022" w14:paraId="2C4AA848" w14:textId="77777777"/>
        </w:tc>
        <w:tc>
          <w:tcPr>
            <w:tcW w:w="520" w:type="dxa"/>
          </w:tcPr>
          <w:p w:rsidRPr="00D672B2" w:rsidR="004A2022" w:rsidP="00FE5CA0" w:rsidRDefault="004A2022" w14:paraId="4726AC25" w14:textId="77777777"/>
        </w:tc>
        <w:tc>
          <w:tcPr>
            <w:tcW w:w="520" w:type="dxa"/>
          </w:tcPr>
          <w:p w:rsidRPr="00D672B2" w:rsidR="004A2022" w:rsidP="00FE5CA0" w:rsidRDefault="004A2022" w14:paraId="31A6E70D" w14:textId="77777777"/>
        </w:tc>
        <w:tc>
          <w:tcPr>
            <w:tcW w:w="519" w:type="dxa"/>
          </w:tcPr>
          <w:p w:rsidRPr="00D672B2" w:rsidR="004A2022" w:rsidP="00FE5CA0" w:rsidRDefault="004A2022" w14:paraId="6AFAAEDE" w14:textId="77777777"/>
        </w:tc>
        <w:tc>
          <w:tcPr>
            <w:tcW w:w="520" w:type="dxa"/>
          </w:tcPr>
          <w:p w:rsidRPr="00D672B2" w:rsidR="004A2022" w:rsidP="00FE5CA0" w:rsidRDefault="004A2022" w14:paraId="2E136FFD" w14:textId="77777777"/>
        </w:tc>
        <w:tc>
          <w:tcPr>
            <w:tcW w:w="520" w:type="dxa"/>
          </w:tcPr>
          <w:p w:rsidRPr="00D672B2" w:rsidR="004A2022" w:rsidP="00FE5CA0" w:rsidRDefault="004A2022" w14:paraId="3ABC01C5" w14:textId="77777777"/>
        </w:tc>
        <w:tc>
          <w:tcPr>
            <w:tcW w:w="519" w:type="dxa"/>
          </w:tcPr>
          <w:p w:rsidRPr="00D672B2" w:rsidR="004A2022" w:rsidP="00FE5CA0" w:rsidRDefault="004A2022" w14:paraId="599CB9A2" w14:textId="77777777"/>
        </w:tc>
        <w:tc>
          <w:tcPr>
            <w:tcW w:w="520" w:type="dxa"/>
          </w:tcPr>
          <w:p w:rsidRPr="00D672B2" w:rsidR="004A2022" w:rsidP="00FE5CA0" w:rsidRDefault="004A2022" w14:paraId="6C8A583C" w14:textId="77777777"/>
        </w:tc>
        <w:tc>
          <w:tcPr>
            <w:tcW w:w="520" w:type="dxa"/>
            <w:shd w:val="clear" w:color="auto" w:fill="D9D9D9" w:themeFill="background1" w:themeFillShade="D9"/>
          </w:tcPr>
          <w:p w:rsidRPr="00D672B2" w:rsidR="004A2022" w:rsidP="00FE5CA0" w:rsidRDefault="004A2022" w14:paraId="1267F494" w14:textId="77777777"/>
        </w:tc>
        <w:tc>
          <w:tcPr>
            <w:tcW w:w="519" w:type="dxa"/>
            <w:shd w:val="clear" w:color="auto" w:fill="D9D9D9" w:themeFill="background1" w:themeFillShade="D9"/>
          </w:tcPr>
          <w:p w:rsidRPr="00D672B2" w:rsidR="004A2022" w:rsidP="00FE5CA0" w:rsidRDefault="004A2022" w14:paraId="391E9221" w14:textId="77777777"/>
        </w:tc>
        <w:tc>
          <w:tcPr>
            <w:tcW w:w="520" w:type="dxa"/>
            <w:shd w:val="clear" w:color="auto" w:fill="FFFFFF" w:themeFill="background1"/>
          </w:tcPr>
          <w:p w:rsidRPr="00D672B2" w:rsidR="004A2022" w:rsidP="00FE5CA0" w:rsidRDefault="004A2022" w14:paraId="64D8D6F3" w14:textId="77777777"/>
        </w:tc>
      </w:tr>
      <w:tr w:rsidRPr="00D672B2" w:rsidR="004A2022" w:rsidTr="00FE5CA0" w14:paraId="25089EA4" w14:textId="77777777">
        <w:trPr>
          <w:trHeight w:val="274"/>
        </w:trPr>
        <w:tc>
          <w:tcPr>
            <w:tcW w:w="2669" w:type="dxa"/>
            <w:tcBorders>
              <w:right w:val="single" w:color="auto" w:sz="18" w:space="0"/>
            </w:tcBorders>
          </w:tcPr>
          <w:p w:rsidRPr="00D672B2" w:rsidR="004A2022" w:rsidP="00FE5CA0" w:rsidRDefault="004A2022" w14:paraId="3D3E28B0" w14:textId="77777777">
            <w:r w:rsidRPr="00D672B2">
              <w:t>Oplevering definitief rapport</w:t>
            </w:r>
          </w:p>
        </w:tc>
        <w:tc>
          <w:tcPr>
            <w:tcW w:w="482" w:type="dxa"/>
            <w:tcBorders>
              <w:left w:val="single" w:color="auto" w:sz="18" w:space="0"/>
            </w:tcBorders>
          </w:tcPr>
          <w:p w:rsidRPr="00D672B2" w:rsidR="004A2022" w:rsidP="00FE5CA0" w:rsidRDefault="004A2022" w14:paraId="14ABBBC9" w14:textId="77777777"/>
        </w:tc>
        <w:tc>
          <w:tcPr>
            <w:tcW w:w="478" w:type="dxa"/>
          </w:tcPr>
          <w:p w:rsidRPr="00D672B2" w:rsidR="004A2022" w:rsidP="00FE5CA0" w:rsidRDefault="004A2022" w14:paraId="1B4FCB50" w14:textId="77777777"/>
        </w:tc>
        <w:tc>
          <w:tcPr>
            <w:tcW w:w="519" w:type="dxa"/>
          </w:tcPr>
          <w:p w:rsidRPr="00D672B2" w:rsidR="004A2022" w:rsidP="00FE5CA0" w:rsidRDefault="004A2022" w14:paraId="5F3785DE" w14:textId="77777777"/>
        </w:tc>
        <w:tc>
          <w:tcPr>
            <w:tcW w:w="520" w:type="dxa"/>
          </w:tcPr>
          <w:p w:rsidRPr="00D672B2" w:rsidR="004A2022" w:rsidP="00FE5CA0" w:rsidRDefault="004A2022" w14:paraId="70176C43" w14:textId="77777777"/>
        </w:tc>
        <w:tc>
          <w:tcPr>
            <w:tcW w:w="520" w:type="dxa"/>
          </w:tcPr>
          <w:p w:rsidRPr="00D672B2" w:rsidR="004A2022" w:rsidP="00FE5CA0" w:rsidRDefault="004A2022" w14:paraId="4DA145A4" w14:textId="77777777"/>
        </w:tc>
        <w:tc>
          <w:tcPr>
            <w:tcW w:w="519" w:type="dxa"/>
          </w:tcPr>
          <w:p w:rsidRPr="00D672B2" w:rsidR="004A2022" w:rsidP="00FE5CA0" w:rsidRDefault="004A2022" w14:paraId="3EF995CC" w14:textId="77777777"/>
        </w:tc>
        <w:tc>
          <w:tcPr>
            <w:tcW w:w="520" w:type="dxa"/>
          </w:tcPr>
          <w:p w:rsidRPr="00D672B2" w:rsidR="004A2022" w:rsidP="00FE5CA0" w:rsidRDefault="004A2022" w14:paraId="07F47832" w14:textId="77777777"/>
        </w:tc>
        <w:tc>
          <w:tcPr>
            <w:tcW w:w="520" w:type="dxa"/>
          </w:tcPr>
          <w:p w:rsidRPr="00D672B2" w:rsidR="004A2022" w:rsidP="00FE5CA0" w:rsidRDefault="004A2022" w14:paraId="48B3DBC6" w14:textId="77777777"/>
        </w:tc>
        <w:tc>
          <w:tcPr>
            <w:tcW w:w="519" w:type="dxa"/>
          </w:tcPr>
          <w:p w:rsidRPr="00D672B2" w:rsidR="004A2022" w:rsidP="00FE5CA0" w:rsidRDefault="004A2022" w14:paraId="37030AF4" w14:textId="77777777"/>
        </w:tc>
        <w:tc>
          <w:tcPr>
            <w:tcW w:w="520" w:type="dxa"/>
          </w:tcPr>
          <w:p w:rsidRPr="00D672B2" w:rsidR="004A2022" w:rsidP="00FE5CA0" w:rsidRDefault="004A2022" w14:paraId="0AC80C2F" w14:textId="77777777"/>
        </w:tc>
        <w:tc>
          <w:tcPr>
            <w:tcW w:w="520" w:type="dxa"/>
          </w:tcPr>
          <w:p w:rsidRPr="00D672B2" w:rsidR="004A2022" w:rsidP="00FE5CA0" w:rsidRDefault="004A2022" w14:paraId="37881CE0" w14:textId="77777777"/>
        </w:tc>
        <w:tc>
          <w:tcPr>
            <w:tcW w:w="519" w:type="dxa"/>
            <w:shd w:val="clear" w:color="auto" w:fill="FFFFFF" w:themeFill="background1"/>
          </w:tcPr>
          <w:p w:rsidRPr="00D672B2" w:rsidR="004A2022" w:rsidP="00FE5CA0" w:rsidRDefault="004A2022" w14:paraId="7BC880E2" w14:textId="77777777"/>
        </w:tc>
        <w:tc>
          <w:tcPr>
            <w:tcW w:w="520" w:type="dxa"/>
            <w:shd w:val="clear" w:color="auto" w:fill="7F7F7F" w:themeFill="text1" w:themeFillTint="80"/>
          </w:tcPr>
          <w:p w:rsidRPr="00D672B2" w:rsidR="004A2022" w:rsidP="00FE5CA0" w:rsidRDefault="004A2022" w14:paraId="56055131" w14:textId="77777777">
            <w:r w:rsidRPr="00D672B2">
              <w:rPr>
                <w:b/>
              </w:rPr>
              <w:t>Week 45</w:t>
            </w:r>
          </w:p>
        </w:tc>
      </w:tr>
    </w:tbl>
    <w:p w:rsidRPr="002C5B60" w:rsidR="004A2022" w:rsidP="004A2022" w:rsidRDefault="004A2022" w14:paraId="56BACB40" w14:textId="77777777">
      <w:pPr>
        <w:rPr>
          <w:b/>
        </w:rPr>
      </w:pPr>
    </w:p>
    <w:p w:rsidRPr="00D672B2" w:rsidR="004A2022" w:rsidP="004A2022" w:rsidRDefault="004A2022" w14:paraId="57142FA3" w14:textId="77777777">
      <w:pPr>
        <w:rPr>
          <w:b/>
          <w:lang w:val="en-US"/>
        </w:rPr>
      </w:pPr>
      <w:r w:rsidRPr="002C5B60">
        <w:rPr>
          <w:b/>
        </w:rPr>
        <w:t>Literatuur</w:t>
      </w:r>
    </w:p>
    <w:p w:rsidRPr="00D672B2" w:rsidR="004A2022" w:rsidP="004A2022" w:rsidRDefault="004A2022" w14:paraId="3C7474CE" w14:textId="77777777">
      <w:pPr>
        <w:pStyle w:val="Lijstalinea"/>
        <w:numPr>
          <w:ilvl w:val="0"/>
          <w:numId w:val="3"/>
        </w:numPr>
        <w:rPr>
          <w:iCs/>
          <w:lang w:val="en-US"/>
        </w:rPr>
      </w:pPr>
      <w:r w:rsidRPr="00D672B2">
        <w:rPr>
          <w:iCs/>
          <w:lang w:val="en-US"/>
        </w:rPr>
        <w:t xml:space="preserve">Brown, P., H. Lauder en D. Ashton (2008) ‘Education, globalization and the future of the knowledge economy’, </w:t>
      </w:r>
      <w:r w:rsidRPr="00D672B2">
        <w:rPr>
          <w:i/>
          <w:iCs/>
          <w:lang w:val="en-US"/>
        </w:rPr>
        <w:t>European Educational Research Journa</w:t>
      </w:r>
      <w:r w:rsidRPr="00D672B2">
        <w:rPr>
          <w:iCs/>
          <w:lang w:val="en-US"/>
        </w:rPr>
        <w:t>l 7, 2: 131-156.</w:t>
      </w:r>
    </w:p>
    <w:p w:rsidRPr="00D672B2" w:rsidR="004A2022" w:rsidP="004A2022" w:rsidRDefault="004A2022" w14:paraId="5AB1CE96" w14:textId="77777777">
      <w:pPr>
        <w:pStyle w:val="Lijstalinea"/>
        <w:numPr>
          <w:ilvl w:val="0"/>
          <w:numId w:val="3"/>
        </w:numPr>
        <w:rPr>
          <w:iCs/>
        </w:rPr>
      </w:pPr>
      <w:r w:rsidRPr="00D672B2">
        <w:rPr>
          <w:iCs/>
        </w:rPr>
        <w:t xml:space="preserve">Kool, L. en van Est, R. (2015) Kansen en bedreigingen: negen perspectieven op werken in de robotsamenleving. In: Went, R., Kremer, M. en A. </w:t>
      </w:r>
      <w:proofErr w:type="spellStart"/>
      <w:r w:rsidRPr="00D672B2">
        <w:rPr>
          <w:iCs/>
        </w:rPr>
        <w:t>Knottnerus</w:t>
      </w:r>
      <w:proofErr w:type="spellEnd"/>
      <w:r w:rsidRPr="00D672B2">
        <w:rPr>
          <w:iCs/>
        </w:rPr>
        <w:t xml:space="preserve"> (red) (2015) </w:t>
      </w:r>
      <w:r w:rsidRPr="00D672B2">
        <w:rPr>
          <w:i/>
          <w:iCs/>
        </w:rPr>
        <w:t>De robot de baas. De toekomst van werk in het tweede machinetijdperk</w:t>
      </w:r>
      <w:r w:rsidRPr="00D672B2">
        <w:rPr>
          <w:iCs/>
        </w:rPr>
        <w:t>. Amsterdam University Press</w:t>
      </w:r>
    </w:p>
    <w:p w:rsidRPr="00D672B2" w:rsidR="004A2022" w:rsidP="004A2022" w:rsidRDefault="004A2022" w14:paraId="724F42D4" w14:textId="77777777">
      <w:pPr>
        <w:pStyle w:val="Lijstalinea"/>
        <w:numPr>
          <w:ilvl w:val="0"/>
          <w:numId w:val="3"/>
        </w:numPr>
        <w:rPr>
          <w:i/>
          <w:iCs/>
        </w:rPr>
      </w:pPr>
      <w:r w:rsidRPr="00D672B2">
        <w:t xml:space="preserve">Mok, A.L. (1990) Kwaliteit en kwantiteit van de arbeid. </w:t>
      </w:r>
      <w:r w:rsidRPr="00D672B2">
        <w:rPr>
          <w:i/>
        </w:rPr>
        <w:t>Sociologische gids</w:t>
      </w:r>
      <w:r w:rsidRPr="00D672B2">
        <w:t xml:space="preserve"> 37, pp. 141-165.</w:t>
      </w:r>
      <w:r>
        <w:t xml:space="preserve"> </w:t>
      </w:r>
    </w:p>
    <w:p w:rsidRPr="00D672B2" w:rsidR="004A2022" w:rsidP="004A2022" w:rsidRDefault="004A2022" w14:paraId="65C3C642" w14:textId="77777777">
      <w:pPr>
        <w:pStyle w:val="Lijstalinea"/>
        <w:numPr>
          <w:ilvl w:val="0"/>
          <w:numId w:val="3"/>
        </w:numPr>
        <w:rPr>
          <w:iCs/>
        </w:rPr>
      </w:pPr>
      <w:r w:rsidRPr="00D672B2">
        <w:rPr>
          <w:iCs/>
        </w:rPr>
        <w:t xml:space="preserve">Van Est, R. en Kool, L. (red) (2015) </w:t>
      </w:r>
      <w:r w:rsidRPr="00D672B2">
        <w:rPr>
          <w:i/>
          <w:iCs/>
        </w:rPr>
        <w:t>Werken aan de robotsamenleving: Visies en inzichten uit de wetenschap over de relatie technologie en werkgelegenheid</w:t>
      </w:r>
      <w:r w:rsidRPr="00D672B2">
        <w:rPr>
          <w:iCs/>
        </w:rPr>
        <w:t xml:space="preserve">. Den Haag: </w:t>
      </w:r>
      <w:proofErr w:type="spellStart"/>
      <w:r w:rsidRPr="00D672B2">
        <w:rPr>
          <w:iCs/>
        </w:rPr>
        <w:t>Rathenau</w:t>
      </w:r>
      <w:proofErr w:type="spellEnd"/>
      <w:r w:rsidRPr="00D672B2">
        <w:rPr>
          <w:iCs/>
        </w:rPr>
        <w:t xml:space="preserve"> Instituut.</w:t>
      </w:r>
      <w:r w:rsidRPr="00D672B2">
        <w:rPr>
          <w:iCs/>
        </w:rPr>
        <w:tab/>
      </w:r>
    </w:p>
    <w:p w:rsidRPr="00D672B2" w:rsidR="004A2022" w:rsidP="004A2022" w:rsidRDefault="00637744" w14:paraId="2299CCF0" w14:textId="77777777">
      <w:pPr>
        <w:pStyle w:val="Lijstalinea"/>
        <w:numPr>
          <w:ilvl w:val="0"/>
          <w:numId w:val="3"/>
        </w:numPr>
      </w:pPr>
      <w:hyperlink w:tooltip="Marco de Witte (de pagina bestaat niet)" w:history="1" r:id="rId14">
        <w:r w:rsidRPr="00D672B2" w:rsidR="004A2022">
          <w:rPr>
            <w:rStyle w:val="Hyperlink"/>
            <w:iCs/>
          </w:rPr>
          <w:t>Witte, M. de</w:t>
        </w:r>
      </w:hyperlink>
      <w:r w:rsidRPr="00D672B2" w:rsidR="004A2022">
        <w:rPr>
          <w:iCs/>
        </w:rPr>
        <w:t xml:space="preserve"> &amp; J. V. </w:t>
      </w:r>
      <w:hyperlink w:tooltip="Joris Van Ruysseveldt (de pagina bestaat niet)" w:history="1" r:id="rId15">
        <w:proofErr w:type="spellStart"/>
        <w:r w:rsidRPr="00D672B2" w:rsidR="004A2022">
          <w:rPr>
            <w:rStyle w:val="Hyperlink"/>
            <w:iCs/>
          </w:rPr>
          <w:t>Ruysseveldt</w:t>
        </w:r>
        <w:proofErr w:type="spellEnd"/>
      </w:hyperlink>
      <w:r w:rsidRPr="00D672B2" w:rsidR="004A2022">
        <w:rPr>
          <w:iCs/>
        </w:rPr>
        <w:t xml:space="preserve"> (2004</w:t>
      </w:r>
      <w:r w:rsidRPr="00D672B2" w:rsidR="004A2022">
        <w:t xml:space="preserve">) </w:t>
      </w:r>
      <w:r w:rsidRPr="00D672B2" w:rsidR="004A2022">
        <w:rPr>
          <w:i/>
          <w:iCs/>
        </w:rPr>
        <w:t>Organiseren van mens en arbeid: Hedendaagse  benaderingen van de kwaliteit van de arbeid</w:t>
      </w:r>
      <w:r w:rsidRPr="00D672B2" w:rsidR="004A2022">
        <w:t>. Kluwer.</w:t>
      </w:r>
    </w:p>
    <w:p w:rsidR="004A2022" w:rsidP="004A2022" w:rsidRDefault="004A2022" w14:paraId="0157C971" w14:textId="77777777"/>
    <w:sectPr w:rsidR="004A2022" w:rsidSect="00CF62F1">
      <w:headerReference w:type="default" r:id="rId16"/>
      <w:footerReference w:type="default" r:id="rId17"/>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08120"/>
      <w:docPartObj>
        <w:docPartGallery w:val="Page Numbers (Bottom of Page)"/>
        <w:docPartUnique/>
      </w:docPartObj>
    </w:sdtPr>
    <w:sdtEndPr/>
    <w:sdtContent>
      <w:p w14:paraId="5CCE196B" w14:textId="6B70332D" w:rsidR="004A2022" w:rsidRDefault="004A2022">
        <w:pPr>
          <w:pStyle w:val="Voettekst"/>
          <w:jc w:val="center"/>
        </w:pPr>
        <w:r>
          <w:fldChar w:fldCharType="begin"/>
        </w:r>
        <w:r>
          <w:instrText>PAGE   \* MERGEFORMAT</w:instrText>
        </w:r>
        <w:r>
          <w:fldChar w:fldCharType="separate"/>
        </w:r>
        <w:r w:rsidR="00637744">
          <w:rPr>
            <w:noProof/>
          </w:rPr>
          <w:t>1</w:t>
        </w:r>
        <w:r>
          <w:fldChar w:fldCharType="end"/>
        </w:r>
      </w:p>
    </w:sdtContent>
  </w:sdt>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 w:id="1">
    <w:p w14:paraId="6D30E7F1" w14:textId="3E66C9AD" w:rsidR="005856C8" w:rsidRPr="009D1455" w:rsidRDefault="005856C8" w:rsidP="005856C8">
      <w:pPr>
        <w:pStyle w:val="Voetnoottekst"/>
        <w:rPr>
          <w:rFonts w:ascii="Verdana" w:hAnsi="Verdana"/>
          <w:sz w:val="16"/>
          <w:szCs w:val="16"/>
        </w:rPr>
      </w:pPr>
      <w:r w:rsidRPr="009D1455">
        <w:rPr>
          <w:rStyle w:val="Voetnootmarkering"/>
          <w:rFonts w:ascii="Verdana" w:hAnsi="Verdana"/>
          <w:sz w:val="16"/>
          <w:szCs w:val="16"/>
        </w:rPr>
        <w:footnoteRef/>
      </w:r>
      <w:r w:rsidRPr="009D1455">
        <w:rPr>
          <w:rFonts w:ascii="Verdana" w:hAnsi="Verdana"/>
          <w:sz w:val="16"/>
          <w:szCs w:val="16"/>
        </w:rPr>
        <w:t xml:space="preserve"> </w:t>
      </w:r>
      <w:r w:rsidR="009F51BB" w:rsidRPr="009D1455">
        <w:rPr>
          <w:rFonts w:ascii="Verdana" w:hAnsi="Verdana"/>
          <w:sz w:val="16"/>
          <w:szCs w:val="16"/>
          <w:lang w:val="nl"/>
        </w:rPr>
        <w:t>C</w:t>
      </w:r>
      <w:r w:rsidRPr="009D1455">
        <w:rPr>
          <w:rFonts w:ascii="Verdana" w:hAnsi="Verdana"/>
          <w:sz w:val="16"/>
          <w:szCs w:val="16"/>
          <w:lang w:val="nl"/>
        </w:rPr>
        <w:t xml:space="preserve">onform besluit in </w:t>
      </w:r>
      <w:r w:rsidR="009D1455">
        <w:rPr>
          <w:rFonts w:ascii="Verdana" w:hAnsi="Verdana"/>
          <w:sz w:val="16"/>
          <w:szCs w:val="16"/>
          <w:lang w:val="nl"/>
        </w:rPr>
        <w:t>SZW</w:t>
      </w:r>
      <w:r w:rsidRPr="009D1455">
        <w:rPr>
          <w:rFonts w:ascii="Verdana" w:hAnsi="Verdana"/>
          <w:sz w:val="16"/>
          <w:szCs w:val="16"/>
          <w:lang w:val="nl"/>
        </w:rPr>
        <w:t xml:space="preserve">-procedurevergadering d.d. </w:t>
      </w:r>
      <w:r w:rsidR="009D1455">
        <w:rPr>
          <w:rFonts w:ascii="Verdana" w:hAnsi="Verdana"/>
          <w:sz w:val="16"/>
          <w:szCs w:val="16"/>
          <w:lang w:val="nl"/>
        </w:rPr>
        <w:t>28 mei 2019</w:t>
      </w:r>
      <w:r w:rsidRPr="009D1455">
        <w:rPr>
          <w:rFonts w:ascii="Verdana" w:hAnsi="Verdana"/>
          <w:sz w:val="16"/>
          <w:szCs w:val="16"/>
          <w:lang w:va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46A6" w14:textId="2F19F12C" w:rsidR="004A2022" w:rsidRDefault="004A2022">
    <w:pPr>
      <w:pStyle w:val="Koptekst"/>
    </w:pPr>
  </w:p>
  <w:p w14:paraId="502B4279" w14:textId="77777777" w:rsidR="004A2022" w:rsidRDefault="004A20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498B"/>
    <w:multiLevelType w:val="hybridMultilevel"/>
    <w:tmpl w:val="5E763BCC"/>
    <w:lvl w:ilvl="0" w:tplc="567C67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6B112817"/>
    <w:multiLevelType w:val="hybridMultilevel"/>
    <w:tmpl w:val="563E0A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072CD5"/>
    <w:rsid w:val="00094F8B"/>
    <w:rsid w:val="000A6570"/>
    <w:rsid w:val="000F65FB"/>
    <w:rsid w:val="00296261"/>
    <w:rsid w:val="002C033A"/>
    <w:rsid w:val="002D37A6"/>
    <w:rsid w:val="002D587E"/>
    <w:rsid w:val="002F4C05"/>
    <w:rsid w:val="00316180"/>
    <w:rsid w:val="00326369"/>
    <w:rsid w:val="00370455"/>
    <w:rsid w:val="003E2B12"/>
    <w:rsid w:val="00454963"/>
    <w:rsid w:val="00480AFC"/>
    <w:rsid w:val="004A2022"/>
    <w:rsid w:val="00503110"/>
    <w:rsid w:val="005808D0"/>
    <w:rsid w:val="005856C8"/>
    <w:rsid w:val="005F127E"/>
    <w:rsid w:val="00637744"/>
    <w:rsid w:val="0065770B"/>
    <w:rsid w:val="006652DA"/>
    <w:rsid w:val="006F48BE"/>
    <w:rsid w:val="00702165"/>
    <w:rsid w:val="00740EFE"/>
    <w:rsid w:val="0074441E"/>
    <w:rsid w:val="007A511F"/>
    <w:rsid w:val="007C44F8"/>
    <w:rsid w:val="007C6BF1"/>
    <w:rsid w:val="007D2CFE"/>
    <w:rsid w:val="00801AA1"/>
    <w:rsid w:val="00805686"/>
    <w:rsid w:val="008360A8"/>
    <w:rsid w:val="008A21D3"/>
    <w:rsid w:val="009B3A0F"/>
    <w:rsid w:val="009C367C"/>
    <w:rsid w:val="009D1455"/>
    <w:rsid w:val="009F51BB"/>
    <w:rsid w:val="00AB4003"/>
    <w:rsid w:val="00AC501B"/>
    <w:rsid w:val="00AD4B79"/>
    <w:rsid w:val="00AE276D"/>
    <w:rsid w:val="00B148EA"/>
    <w:rsid w:val="00BC0B23"/>
    <w:rsid w:val="00BC0C50"/>
    <w:rsid w:val="00C020C8"/>
    <w:rsid w:val="00C17159"/>
    <w:rsid w:val="00C33D6E"/>
    <w:rsid w:val="00C462D3"/>
    <w:rsid w:val="00CE2763"/>
    <w:rsid w:val="00CF62F1"/>
    <w:rsid w:val="00D371E1"/>
    <w:rsid w:val="00DA285F"/>
    <w:rsid w:val="00DA3EB4"/>
    <w:rsid w:val="00F07C98"/>
    <w:rsid w:val="00F24972"/>
    <w:rsid w:val="00F9440A"/>
    <w:rsid w:val="00FB2DAE"/>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1F38EB"/>
    <w:pPr>
      <w:tabs>
        <w:tab w:val="center" w:pos="4536"/>
        <w:tab w:val="right" w:pos="9072"/>
      </w:tabs>
    </w:pPr>
  </w:style>
  <w:style w:type="paragraph" w:styleId="Voettekst">
    <w:name w:val="footer"/>
    <w:basedOn w:val="Standaard"/>
    <w:link w:val="VoettekstChar"/>
    <w:uiPriority w:val="99"/>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Voetnoottekst">
    <w:name w:val="footnote text"/>
    <w:basedOn w:val="Standaard"/>
    <w:link w:val="VoetnoottekstChar"/>
    <w:uiPriority w:val="99"/>
    <w:qFormat/>
    <w:rsid w:val="00FB2DAE"/>
    <w:rPr>
      <w:rFonts w:ascii="Times New Roman" w:hAnsi="Times New Roman"/>
      <w:sz w:val="20"/>
      <w:szCs w:val="20"/>
    </w:rPr>
  </w:style>
  <w:style w:type="character" w:customStyle="1" w:styleId="VoetnoottekstChar">
    <w:name w:val="Voetnoottekst Char"/>
    <w:basedOn w:val="Standaardalinea-lettertype"/>
    <w:link w:val="Voetnoottekst"/>
    <w:uiPriority w:val="99"/>
    <w:rsid w:val="00FB2DAE"/>
  </w:style>
  <w:style w:type="character" w:styleId="Voetnootmarkering">
    <w:name w:val="footnote reference"/>
    <w:rsid w:val="00FB2DAE"/>
    <w:rPr>
      <w:vertAlign w:val="superscript"/>
    </w:rPr>
  </w:style>
  <w:style w:type="character" w:customStyle="1" w:styleId="contentitem-sidenote1">
    <w:name w:val="contentitem-sidenote1"/>
    <w:rsid w:val="005856C8"/>
    <w:rPr>
      <w:vanish w:val="0"/>
      <w:webHidden w:val="0"/>
      <w:specVanish w:val="0"/>
    </w:rPr>
  </w:style>
  <w:style w:type="character" w:customStyle="1" w:styleId="contentitem-infocardsnippit">
    <w:name w:val="contentitem-infocard__snippit"/>
    <w:rsid w:val="005856C8"/>
  </w:style>
  <w:style w:type="paragraph" w:customStyle="1" w:styleId="Kop-Huisstijl">
    <w:name w:val="Kop - Huisstijl"/>
    <w:basedOn w:val="Standaard"/>
    <w:next w:val="Standaard"/>
    <w:qFormat/>
    <w:rsid w:val="004A2022"/>
    <w:pPr>
      <w:spacing w:after="180" w:line="284" w:lineRule="exact"/>
      <w:outlineLvl w:val="0"/>
    </w:pPr>
    <w:rPr>
      <w:rFonts w:eastAsia="Calibri"/>
      <w:b/>
      <w:szCs w:val="17"/>
      <w:lang w:eastAsia="en-US"/>
    </w:rPr>
  </w:style>
  <w:style w:type="paragraph" w:styleId="Lijstalinea">
    <w:name w:val="List Paragraph"/>
    <w:basedOn w:val="Standaard"/>
    <w:uiPriority w:val="34"/>
    <w:qFormat/>
    <w:rsid w:val="004A2022"/>
    <w:pPr>
      <w:ind w:left="720"/>
      <w:contextualSpacing/>
    </w:pPr>
    <w:rPr>
      <w:rFonts w:eastAsia="Calibri"/>
      <w:szCs w:val="22"/>
      <w:lang w:eastAsia="en-US"/>
    </w:rPr>
  </w:style>
  <w:style w:type="character" w:styleId="Hyperlink">
    <w:name w:val="Hyperlink"/>
    <w:basedOn w:val="Standaardalinea-lettertype"/>
    <w:unhideWhenUsed/>
    <w:rsid w:val="004A2022"/>
    <w:rPr>
      <w:color w:val="0000FF" w:themeColor="hyperlink"/>
      <w:u w:val="single"/>
    </w:rPr>
  </w:style>
  <w:style w:type="character" w:customStyle="1" w:styleId="KoptekstChar">
    <w:name w:val="Koptekst Char"/>
    <w:basedOn w:val="Standaardalinea-lettertype"/>
    <w:link w:val="Koptekst"/>
    <w:uiPriority w:val="99"/>
    <w:rsid w:val="004A2022"/>
    <w:rPr>
      <w:rFonts w:ascii="Verdana" w:hAnsi="Verdana"/>
      <w:sz w:val="18"/>
      <w:szCs w:val="24"/>
    </w:rPr>
  </w:style>
  <w:style w:type="character" w:customStyle="1" w:styleId="VoettekstChar">
    <w:name w:val="Voettekst Char"/>
    <w:basedOn w:val="Standaardalinea-lettertype"/>
    <w:link w:val="Voettekst"/>
    <w:uiPriority w:val="99"/>
    <w:rsid w:val="004A2022"/>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1F38EB"/>
    <w:pPr>
      <w:tabs>
        <w:tab w:val="center" w:pos="4536"/>
        <w:tab w:val="right" w:pos="9072"/>
      </w:tabs>
    </w:pPr>
  </w:style>
  <w:style w:type="paragraph" w:styleId="Voettekst">
    <w:name w:val="footer"/>
    <w:basedOn w:val="Standaard"/>
    <w:link w:val="VoettekstChar"/>
    <w:uiPriority w:val="99"/>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Voetnoottekst">
    <w:name w:val="footnote text"/>
    <w:basedOn w:val="Standaard"/>
    <w:link w:val="VoetnoottekstChar"/>
    <w:uiPriority w:val="99"/>
    <w:qFormat/>
    <w:rsid w:val="00FB2DAE"/>
    <w:rPr>
      <w:rFonts w:ascii="Times New Roman" w:hAnsi="Times New Roman"/>
      <w:sz w:val="20"/>
      <w:szCs w:val="20"/>
    </w:rPr>
  </w:style>
  <w:style w:type="character" w:customStyle="1" w:styleId="VoetnoottekstChar">
    <w:name w:val="Voetnoottekst Char"/>
    <w:basedOn w:val="Standaardalinea-lettertype"/>
    <w:link w:val="Voetnoottekst"/>
    <w:uiPriority w:val="99"/>
    <w:rsid w:val="00FB2DAE"/>
  </w:style>
  <w:style w:type="character" w:styleId="Voetnootmarkering">
    <w:name w:val="footnote reference"/>
    <w:rsid w:val="00FB2DAE"/>
    <w:rPr>
      <w:vertAlign w:val="superscript"/>
    </w:rPr>
  </w:style>
  <w:style w:type="character" w:customStyle="1" w:styleId="contentitem-sidenote1">
    <w:name w:val="contentitem-sidenote1"/>
    <w:rsid w:val="005856C8"/>
    <w:rPr>
      <w:vanish w:val="0"/>
      <w:webHidden w:val="0"/>
      <w:specVanish w:val="0"/>
    </w:rPr>
  </w:style>
  <w:style w:type="character" w:customStyle="1" w:styleId="contentitem-infocardsnippit">
    <w:name w:val="contentitem-infocard__snippit"/>
    <w:rsid w:val="005856C8"/>
  </w:style>
  <w:style w:type="paragraph" w:customStyle="1" w:styleId="Kop-Huisstijl">
    <w:name w:val="Kop - Huisstijl"/>
    <w:basedOn w:val="Standaard"/>
    <w:next w:val="Standaard"/>
    <w:qFormat/>
    <w:rsid w:val="004A2022"/>
    <w:pPr>
      <w:spacing w:after="180" w:line="284" w:lineRule="exact"/>
      <w:outlineLvl w:val="0"/>
    </w:pPr>
    <w:rPr>
      <w:rFonts w:eastAsia="Calibri"/>
      <w:b/>
      <w:szCs w:val="17"/>
      <w:lang w:eastAsia="en-US"/>
    </w:rPr>
  </w:style>
  <w:style w:type="paragraph" w:styleId="Lijstalinea">
    <w:name w:val="List Paragraph"/>
    <w:basedOn w:val="Standaard"/>
    <w:uiPriority w:val="34"/>
    <w:qFormat/>
    <w:rsid w:val="004A2022"/>
    <w:pPr>
      <w:ind w:left="720"/>
      <w:contextualSpacing/>
    </w:pPr>
    <w:rPr>
      <w:rFonts w:eastAsia="Calibri"/>
      <w:szCs w:val="22"/>
      <w:lang w:eastAsia="en-US"/>
    </w:rPr>
  </w:style>
  <w:style w:type="character" w:styleId="Hyperlink">
    <w:name w:val="Hyperlink"/>
    <w:basedOn w:val="Standaardalinea-lettertype"/>
    <w:unhideWhenUsed/>
    <w:rsid w:val="004A2022"/>
    <w:rPr>
      <w:color w:val="0000FF" w:themeColor="hyperlink"/>
      <w:u w:val="single"/>
    </w:rPr>
  </w:style>
  <w:style w:type="character" w:customStyle="1" w:styleId="KoptekstChar">
    <w:name w:val="Koptekst Char"/>
    <w:basedOn w:val="Standaardalinea-lettertype"/>
    <w:link w:val="Koptekst"/>
    <w:uiPriority w:val="99"/>
    <w:rsid w:val="004A2022"/>
    <w:rPr>
      <w:rFonts w:ascii="Verdana" w:hAnsi="Verdana"/>
      <w:sz w:val="18"/>
      <w:szCs w:val="24"/>
    </w:rPr>
  </w:style>
  <w:style w:type="character" w:customStyle="1" w:styleId="VoettekstChar">
    <w:name w:val="Voettekst Char"/>
    <w:basedOn w:val="Standaardalinea-lettertype"/>
    <w:link w:val="Voettekst"/>
    <w:uiPriority w:val="99"/>
    <w:rsid w:val="004A2022"/>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nl.wikipedia.org/w/index.php?title=Joris_Van_Ruysseveldt&amp;action=edit&amp;redlink=1"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nl.wikipedia.org/w/index.php?title=Marco_de_Witte&amp;action=edit&amp;redlink=1"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5</ap:Pages>
  <ap:Words>2266</ap:Words>
  <ap:Characters>12469</ap:Characters>
  <ap:DocSecurity>0</ap:DocSecurity>
  <ap:Lines>103</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2019-05-29T11:14:00.0000000Z</lastPrinted>
  <dcterms:created xsi:type="dcterms:W3CDTF">2019-05-29T12:44:00.0000000Z</dcterms:created>
  <dcterms:modified xsi:type="dcterms:W3CDTF">2019-05-29T12:44:00.0000000Z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0x0101008B02B58F2CF7F64E97429B88960B1DC4</vt:lpwstr>
  </property>
  <property fmtid="{D5CDD505-2E9C-101B-9397-08002B2CF9AE}" pid="3" name="Documentnummer">
    <vt:lpwstr>2017D17434</vt:lpwstr>
  </property>
  <property fmtid="{D5CDD505-2E9C-101B-9397-08002B2CF9AE}" pid="4" name="Registratiebibliotheek">
    <vt:lpwstr>http://parlisprodwss/sites/registratie/Update</vt:lpwstr>
  </property>
</Properties>
</file>