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5376" w:rsidR="00BA6F11" w:rsidP="00BA6F11" w:rsidRDefault="00B47B4C" w14:paraId="6CA53829" w14:textId="64B7E014">
      <w:pPr>
        <w:rPr>
          <w:b/>
        </w:rPr>
      </w:pPr>
      <w:r>
        <w:rPr>
          <w:b/>
        </w:rPr>
        <w:t>Bijlage 2 - V</w:t>
      </w:r>
      <w:r w:rsidR="00BA6F11">
        <w:rPr>
          <w:b/>
        </w:rPr>
        <w:t>erslag van de Informele Raad voor Concurrentievermogen op 3 mei</w:t>
      </w:r>
    </w:p>
    <w:p w:rsidR="00BA6F11" w:rsidP="00BA6F11" w:rsidRDefault="00BA6F11" w14:paraId="19685C5B" w14:textId="77777777"/>
    <w:p w:rsidR="00BA6F11" w:rsidP="00BA6F11" w:rsidRDefault="00BA6F11" w14:paraId="53ABD26B" w14:textId="2BD02F0C">
      <w:pPr>
        <w:spacing w:line="276" w:lineRule="auto"/>
        <w:rPr>
          <w:szCs w:val="18"/>
        </w:rPr>
      </w:pPr>
      <w:r>
        <w:rPr>
          <w:szCs w:val="18"/>
        </w:rPr>
        <w:t>D</w:t>
      </w:r>
      <w:r w:rsidRPr="009538EB">
        <w:rPr>
          <w:szCs w:val="18"/>
        </w:rPr>
        <w:t xml:space="preserve">e </w:t>
      </w:r>
      <w:r>
        <w:rPr>
          <w:szCs w:val="18"/>
        </w:rPr>
        <w:t>Raad heeft</w:t>
      </w:r>
      <w:r w:rsidRPr="009538EB">
        <w:rPr>
          <w:szCs w:val="18"/>
        </w:rPr>
        <w:t xml:space="preserve"> onder leiding van het Roemeens voorzitterschap gediscussieerd over ondernemerschap en de bijdrage van het m</w:t>
      </w:r>
      <w:r>
        <w:rPr>
          <w:szCs w:val="18"/>
        </w:rPr>
        <w:t>idden- en kleinbedrijf (m</w:t>
      </w:r>
      <w:r w:rsidRPr="009538EB">
        <w:rPr>
          <w:szCs w:val="18"/>
        </w:rPr>
        <w:t>kb</w:t>
      </w:r>
      <w:r>
        <w:rPr>
          <w:szCs w:val="18"/>
        </w:rPr>
        <w:t>)</w:t>
      </w:r>
      <w:r w:rsidRPr="009538EB">
        <w:rPr>
          <w:szCs w:val="18"/>
        </w:rPr>
        <w:t xml:space="preserve">, startups en </w:t>
      </w:r>
      <w:proofErr w:type="spellStart"/>
      <w:r w:rsidRPr="009538EB">
        <w:rPr>
          <w:szCs w:val="18"/>
        </w:rPr>
        <w:t>scale</w:t>
      </w:r>
      <w:proofErr w:type="spellEnd"/>
      <w:r w:rsidRPr="009538EB">
        <w:rPr>
          <w:szCs w:val="18"/>
        </w:rPr>
        <w:t xml:space="preserve">-ups aan het concurrentievermogen van de EU. Er is van gedachten gewisseld over de inhoud van een nieuwe actie-agenda voor het mkb. </w:t>
      </w:r>
    </w:p>
    <w:p w:rsidRPr="009538EB" w:rsidR="00B22A7B" w:rsidP="00BA6F11" w:rsidRDefault="00B22A7B" w14:paraId="6CA9A617" w14:textId="77777777">
      <w:pPr>
        <w:spacing w:line="276" w:lineRule="auto"/>
        <w:rPr>
          <w:szCs w:val="18"/>
        </w:rPr>
      </w:pPr>
    </w:p>
    <w:p w:rsidR="00BA6F11" w:rsidP="00BA6F11" w:rsidRDefault="00BA6F11" w14:paraId="01B43807" w14:textId="77777777">
      <w:pPr>
        <w:spacing w:line="276" w:lineRule="auto"/>
        <w:rPr>
          <w:szCs w:val="18"/>
        </w:rPr>
      </w:pPr>
      <w:r w:rsidRPr="009538EB">
        <w:rPr>
          <w:szCs w:val="18"/>
        </w:rPr>
        <w:t xml:space="preserve">Commissaris </w:t>
      </w:r>
      <w:proofErr w:type="spellStart"/>
      <w:r w:rsidRPr="009538EB">
        <w:rPr>
          <w:szCs w:val="18"/>
        </w:rPr>
        <w:t>Bieńkowska</w:t>
      </w:r>
      <w:proofErr w:type="spellEnd"/>
      <w:r w:rsidRPr="009538EB">
        <w:rPr>
          <w:szCs w:val="18"/>
        </w:rPr>
        <w:t xml:space="preserve"> (Interne Markt, Industrie, Ondernemerschap en Midden- en Kleinbedrijf) </w:t>
      </w:r>
      <w:r>
        <w:rPr>
          <w:szCs w:val="18"/>
        </w:rPr>
        <w:t xml:space="preserve">heeft </w:t>
      </w:r>
      <w:r w:rsidRPr="009538EB">
        <w:rPr>
          <w:szCs w:val="18"/>
        </w:rPr>
        <w:t xml:space="preserve">benadrukt dat de vier bouwstenen van de </w:t>
      </w:r>
      <w:r w:rsidRPr="00C11491">
        <w:rPr>
          <w:i/>
          <w:szCs w:val="18"/>
        </w:rPr>
        <w:t>Small Business Act</w:t>
      </w:r>
      <w:r w:rsidRPr="009538EB">
        <w:rPr>
          <w:szCs w:val="18"/>
        </w:rPr>
        <w:t xml:space="preserve"> belangrijk blijven: toegang tot financiering, vermindering van regeldruk, toegang tot markten en stimulering van ondernemerschap. Ook </w:t>
      </w:r>
      <w:r>
        <w:rPr>
          <w:szCs w:val="18"/>
        </w:rPr>
        <w:t xml:space="preserve">gaf </w:t>
      </w:r>
      <w:r w:rsidRPr="009538EB">
        <w:rPr>
          <w:szCs w:val="18"/>
        </w:rPr>
        <w:t xml:space="preserve">zij aan dat succesvolle ondernemers banen creëren en bij kunnen dragen aan verduurzaming en het concurrentievermogen van de EU. Commissaris </w:t>
      </w:r>
      <w:proofErr w:type="spellStart"/>
      <w:r w:rsidRPr="009538EB">
        <w:rPr>
          <w:szCs w:val="18"/>
        </w:rPr>
        <w:t>Bieńkowska</w:t>
      </w:r>
      <w:proofErr w:type="spellEnd"/>
      <w:r w:rsidRPr="009538EB">
        <w:rPr>
          <w:szCs w:val="18"/>
        </w:rPr>
        <w:t xml:space="preserve"> gaf verder aan dat innovatieve startups hun groeipotentieel binnen de EU moeten kunnen verwezenlijken en waar nodig moeten kunnen samenwerken met andere mkb-ondernemingen. </w:t>
      </w:r>
    </w:p>
    <w:p w:rsidRPr="009538EB" w:rsidR="00BA6F11" w:rsidP="00BA6F11" w:rsidRDefault="00BA6F11" w14:paraId="79D62042" w14:textId="77777777">
      <w:pPr>
        <w:spacing w:line="276" w:lineRule="auto"/>
        <w:rPr>
          <w:szCs w:val="18"/>
        </w:rPr>
      </w:pPr>
    </w:p>
    <w:p w:rsidRPr="009538EB" w:rsidR="00BA6F11" w:rsidP="00BA6F11" w:rsidRDefault="00BA6F11" w14:paraId="26A07B44" w14:textId="77777777">
      <w:pPr>
        <w:spacing w:line="276" w:lineRule="auto"/>
        <w:rPr>
          <w:szCs w:val="18"/>
        </w:rPr>
      </w:pPr>
      <w:r w:rsidRPr="009538EB">
        <w:rPr>
          <w:szCs w:val="18"/>
        </w:rPr>
        <w:t>Veel lidstaten wezen in hun interventie op het belang van toegang voor mkb-ondernemers tot (Europese) financiering en gaven aan dat dit een aandachtspunt moet blijven de komende Commissieperiode. Daarnaast noem</w:t>
      </w:r>
      <w:r>
        <w:rPr>
          <w:szCs w:val="18"/>
        </w:rPr>
        <w:t>d</w:t>
      </w:r>
      <w:r w:rsidRPr="009538EB">
        <w:rPr>
          <w:szCs w:val="18"/>
        </w:rPr>
        <w:t xml:space="preserve">en veel landen de uitdaging voor het mkb om mee te gaan in een economie die steeds </w:t>
      </w:r>
      <w:proofErr w:type="spellStart"/>
      <w:r w:rsidRPr="009538EB">
        <w:rPr>
          <w:szCs w:val="18"/>
        </w:rPr>
        <w:t>digitaler</w:t>
      </w:r>
      <w:proofErr w:type="spellEnd"/>
      <w:r w:rsidRPr="009538EB">
        <w:rPr>
          <w:szCs w:val="18"/>
        </w:rPr>
        <w:t xml:space="preserve"> wordt</w:t>
      </w:r>
      <w:r>
        <w:rPr>
          <w:szCs w:val="18"/>
        </w:rPr>
        <w:t xml:space="preserve"> en wezen op het belang van opleiding en vaardigheden</w:t>
      </w:r>
      <w:r w:rsidRPr="009538EB">
        <w:rPr>
          <w:szCs w:val="18"/>
        </w:rPr>
        <w:t xml:space="preserve">. Verschillende lidstaten wezen op het belang van samenwerking tussen startups onderling en met </w:t>
      </w:r>
      <w:r>
        <w:rPr>
          <w:szCs w:val="18"/>
        </w:rPr>
        <w:t xml:space="preserve">de </w:t>
      </w:r>
      <w:r w:rsidRPr="009538EB">
        <w:rPr>
          <w:szCs w:val="18"/>
        </w:rPr>
        <w:t xml:space="preserve">wetenschap. In een aantal interventies kwam aanpassing van de definitie van mkb aan de orde, deze discussie zal naar verwachting de komende tijd verder worden gevoerd. Er was brede steun om het principe van </w:t>
      </w:r>
      <w:proofErr w:type="spellStart"/>
      <w:r w:rsidRPr="00C11491">
        <w:rPr>
          <w:i/>
          <w:szCs w:val="18"/>
        </w:rPr>
        <w:t>Think</w:t>
      </w:r>
      <w:proofErr w:type="spellEnd"/>
      <w:r w:rsidRPr="00C11491">
        <w:rPr>
          <w:i/>
          <w:szCs w:val="18"/>
        </w:rPr>
        <w:t xml:space="preserve"> Small First</w:t>
      </w:r>
      <w:r w:rsidRPr="009538EB">
        <w:rPr>
          <w:szCs w:val="18"/>
        </w:rPr>
        <w:t xml:space="preserve"> te handhaven na een aanpassing van de </w:t>
      </w:r>
      <w:r w:rsidRPr="00C11491">
        <w:rPr>
          <w:i/>
          <w:szCs w:val="18"/>
        </w:rPr>
        <w:t>Small Business Act</w:t>
      </w:r>
      <w:r w:rsidRPr="009538EB">
        <w:rPr>
          <w:szCs w:val="18"/>
        </w:rPr>
        <w:t xml:space="preserve">. Nederland heeft aangegeven dat korte betalingstermijnen belangrijk zijn voor het mkb. </w:t>
      </w:r>
    </w:p>
    <w:p w:rsidR="00BA6F11" w:rsidP="00BA6F11" w:rsidRDefault="00BA6F11" w14:paraId="75A5B0D9" w14:textId="77777777">
      <w:pPr>
        <w:spacing w:line="276" w:lineRule="auto"/>
        <w:rPr>
          <w:szCs w:val="18"/>
        </w:rPr>
      </w:pPr>
      <w:r w:rsidRPr="009538EB">
        <w:rPr>
          <w:szCs w:val="18"/>
        </w:rPr>
        <w:t xml:space="preserve">De genodigde </w:t>
      </w:r>
      <w:r>
        <w:rPr>
          <w:szCs w:val="18"/>
        </w:rPr>
        <w:t>werkgeversorganisaties</w:t>
      </w:r>
      <w:r w:rsidRPr="009538EB">
        <w:rPr>
          <w:szCs w:val="18"/>
        </w:rPr>
        <w:t xml:space="preserve"> Business Europe en </w:t>
      </w:r>
      <w:proofErr w:type="spellStart"/>
      <w:r w:rsidRPr="009538EB">
        <w:rPr>
          <w:szCs w:val="18"/>
        </w:rPr>
        <w:t>SMEunited</w:t>
      </w:r>
      <w:proofErr w:type="spellEnd"/>
      <w:r w:rsidRPr="009538EB">
        <w:rPr>
          <w:szCs w:val="18"/>
        </w:rPr>
        <w:t xml:space="preserve"> benadrukten het belang van mkb-ondernemers voor de Europese economie. Beide sprekers gaven aan dat mkb-ondernemers nog relatief weinig internationaal zaken doen. Ondernemers worden hierin belemmerd door verschillen</w:t>
      </w:r>
      <w:r>
        <w:rPr>
          <w:szCs w:val="18"/>
        </w:rPr>
        <w:t xml:space="preserve"> in</w:t>
      </w:r>
      <w:r w:rsidRPr="009538EB">
        <w:rPr>
          <w:szCs w:val="18"/>
        </w:rPr>
        <w:t xml:space="preserve"> regelgeving in verschillende lidstaten en hebben behoefte aan versimpeling van regelgeving. Ook </w:t>
      </w:r>
      <w:r>
        <w:rPr>
          <w:szCs w:val="18"/>
        </w:rPr>
        <w:t xml:space="preserve">gaven </w:t>
      </w:r>
      <w:r w:rsidRPr="009538EB">
        <w:rPr>
          <w:szCs w:val="18"/>
        </w:rPr>
        <w:t xml:space="preserve">deze sprekers aan dat toegang tot financiering voor het mkb prioriteit moet hebben. </w:t>
      </w:r>
    </w:p>
    <w:p w:rsidRPr="009538EB" w:rsidR="00BA6F11" w:rsidP="00BA6F11" w:rsidRDefault="00BA6F11" w14:paraId="707E6A2B" w14:textId="77777777">
      <w:pPr>
        <w:spacing w:line="276" w:lineRule="auto"/>
        <w:rPr>
          <w:szCs w:val="18"/>
        </w:rPr>
      </w:pPr>
    </w:p>
    <w:p w:rsidRPr="009538EB" w:rsidR="00BA6F11" w:rsidP="00BA6F11" w:rsidRDefault="00BA6F11" w14:paraId="3CBBDED8" w14:textId="77777777">
      <w:pPr>
        <w:spacing w:line="276" w:lineRule="auto"/>
        <w:rPr>
          <w:szCs w:val="18"/>
        </w:rPr>
      </w:pPr>
      <w:bookmarkStart w:name="_Hlk8720023" w:id="0"/>
      <w:r w:rsidRPr="009538EB">
        <w:rPr>
          <w:szCs w:val="18"/>
        </w:rPr>
        <w:t xml:space="preserve">De Raad heeft in het kader van de interne markt gesproken over een geïntegreerde </w:t>
      </w:r>
      <w:r>
        <w:rPr>
          <w:szCs w:val="18"/>
        </w:rPr>
        <w:t xml:space="preserve">benadering van de interne markt, het industriebeleid, digitalisering en klimaat. Ook is gesproken over het belang van </w:t>
      </w:r>
      <w:r w:rsidRPr="009538EB">
        <w:rPr>
          <w:szCs w:val="18"/>
        </w:rPr>
        <w:t xml:space="preserve">betere implementatie en handhaving van regelgeving op de interne markt. Commissaris </w:t>
      </w:r>
      <w:proofErr w:type="spellStart"/>
      <w:r w:rsidRPr="009538EB">
        <w:rPr>
          <w:szCs w:val="18"/>
        </w:rPr>
        <w:t>Bieńkowska</w:t>
      </w:r>
      <w:proofErr w:type="spellEnd"/>
      <w:r w:rsidRPr="009538EB">
        <w:rPr>
          <w:szCs w:val="18"/>
        </w:rPr>
        <w:t xml:space="preserve"> geeft aan dat de interne markt op het gebied van diensten nog verbeterd dient te worden, wil de EU slagvaardig blijven binnen het mondiale speelveld. Hiervoor dienen alle lidstaten te blijven werken aan een gelijk speelveld. </w:t>
      </w:r>
    </w:p>
    <w:p w:rsidR="00BA6F11" w:rsidP="00BA6F11" w:rsidRDefault="00BA6F11" w14:paraId="0E60DB9D" w14:textId="77777777">
      <w:pPr>
        <w:spacing w:line="276" w:lineRule="auto"/>
        <w:rPr>
          <w:szCs w:val="18"/>
        </w:rPr>
      </w:pPr>
    </w:p>
    <w:p w:rsidRPr="009538EB" w:rsidR="00BA6F11" w:rsidP="00BA6F11" w:rsidRDefault="00BA6F11" w14:paraId="34D5D307" w14:textId="77777777">
      <w:pPr>
        <w:spacing w:line="276" w:lineRule="auto"/>
        <w:rPr>
          <w:szCs w:val="18"/>
        </w:rPr>
      </w:pPr>
      <w:r w:rsidRPr="009538EB">
        <w:rPr>
          <w:szCs w:val="18"/>
        </w:rPr>
        <w:t>Er was veel eenduidigheid in de wensen van lidstaten voor een agenda van de nieuwe commissie voor de interne markt. De interne markt moet verbeterd worden door betere handhaving, naleving en een focus van de Raad en de Commissie op concrete problemen. Veel lidstaten gaven aan dat de interne markt niet besproken kan worden zonder het ook over industrie-, innovatie- en dienstenbeleid te hebben, op deze manier kan aan een interne markt gewerkt worden die klaar is voor een digitale economie en het mondiale concurrentievermogen van de EU versterkt. Nederland heeft bovenstaande punten gesteund</w:t>
      </w:r>
      <w:r>
        <w:rPr>
          <w:szCs w:val="18"/>
        </w:rPr>
        <w:t>.</w:t>
      </w:r>
    </w:p>
    <w:bookmarkEnd w:id="0"/>
    <w:p w:rsidR="00BA6F11" w:rsidP="00BA6F11" w:rsidRDefault="00BA6F11" w14:paraId="0A0D87D7" w14:textId="77777777">
      <w:pPr>
        <w:spacing w:line="276" w:lineRule="auto"/>
        <w:rPr>
          <w:szCs w:val="18"/>
        </w:rPr>
      </w:pPr>
    </w:p>
    <w:p w:rsidR="004B3F51" w:rsidP="00D35701" w:rsidRDefault="00BA6F11" w14:paraId="316ED44D" w14:textId="77777777">
      <w:pPr>
        <w:rPr>
          <w:szCs w:val="18"/>
        </w:rPr>
      </w:pPr>
      <w:r w:rsidRPr="009538EB">
        <w:rPr>
          <w:szCs w:val="18"/>
        </w:rPr>
        <w:t xml:space="preserve">Tijdens de lunch heeft de Raad van gedachten gewisseld over de te ontwikkelen routekaart voor de energie-intensieve industrie in Europa, met name in het kader van verduurzaming van de economie. </w:t>
      </w:r>
      <w:r>
        <w:rPr>
          <w:szCs w:val="18"/>
        </w:rPr>
        <w:t xml:space="preserve">Deze routekaart wordt verder uitgewerkt door de Commissie in samenwerking met de </w:t>
      </w:r>
      <w:r w:rsidRPr="0069706A">
        <w:rPr>
          <w:i/>
          <w:szCs w:val="18"/>
        </w:rPr>
        <w:t>High Level Group</w:t>
      </w:r>
      <w:r>
        <w:rPr>
          <w:szCs w:val="18"/>
        </w:rPr>
        <w:t xml:space="preserve"> energie-intensieve industrie. </w:t>
      </w:r>
      <w:r w:rsidRPr="009538EB">
        <w:rPr>
          <w:szCs w:val="18"/>
        </w:rPr>
        <w:t xml:space="preserve">Veel lidstaten hebben benadrukt dat het </w:t>
      </w:r>
      <w:proofErr w:type="spellStart"/>
      <w:r w:rsidRPr="009538EB">
        <w:rPr>
          <w:szCs w:val="18"/>
        </w:rPr>
        <w:t>klimaatneutrale</w:t>
      </w:r>
      <w:proofErr w:type="spellEnd"/>
      <w:r w:rsidRPr="009538EB">
        <w:rPr>
          <w:szCs w:val="18"/>
        </w:rPr>
        <w:t xml:space="preserve"> doel leidend moet zijn bij de routekaart</w:t>
      </w:r>
      <w:r>
        <w:rPr>
          <w:szCs w:val="18"/>
        </w:rPr>
        <w:t>,</w:t>
      </w:r>
      <w:r w:rsidRPr="009538EB">
        <w:rPr>
          <w:szCs w:val="18"/>
        </w:rPr>
        <w:t xml:space="preserve"> die verder duidelijkheid moet bieden aan de industrie. Bij de ontwikkeling van beleid moet aandacht worden besteed aan de gevolgen voor de samenleving, economie en industrie. </w:t>
      </w:r>
    </w:p>
    <w:p w:rsidR="004B3F51" w:rsidRDefault="004B3F51" w14:paraId="603F885D" w14:textId="77777777">
      <w:pPr>
        <w:spacing w:line="240" w:lineRule="auto"/>
        <w:rPr>
          <w:szCs w:val="18"/>
        </w:rPr>
      </w:pPr>
      <w:r>
        <w:rPr>
          <w:szCs w:val="18"/>
        </w:rPr>
        <w:br w:type="page"/>
      </w:r>
    </w:p>
    <w:p w:rsidRPr="005E745F" w:rsidR="00885439" w:rsidP="00D35701" w:rsidRDefault="00BA6F11" w14:paraId="775F2419" w14:textId="03D367BE">
      <w:bookmarkStart w:name="_GoBack" w:id="1"/>
      <w:bookmarkEnd w:id="1"/>
      <w:r w:rsidRPr="009538EB">
        <w:rPr>
          <w:szCs w:val="18"/>
        </w:rPr>
        <w:lastRenderedPageBreak/>
        <w:t>Enkele landen benadruk</w:t>
      </w:r>
      <w:r>
        <w:rPr>
          <w:szCs w:val="18"/>
        </w:rPr>
        <w:t>t</w:t>
      </w:r>
      <w:r w:rsidRPr="009538EB">
        <w:rPr>
          <w:szCs w:val="18"/>
        </w:rPr>
        <w:t>en dat de routekaart technologieneutraal dien</w:t>
      </w:r>
      <w:r>
        <w:rPr>
          <w:szCs w:val="18"/>
        </w:rPr>
        <w:t>t</w:t>
      </w:r>
      <w:r w:rsidRPr="009538EB">
        <w:rPr>
          <w:szCs w:val="18"/>
        </w:rPr>
        <w:t xml:space="preserve"> te zijn. Veel lidstaten hebben aangegeven dat investeringen in innovatie belangrijk zijn en dat een gelijk speelveld gewaarborgd dient te worden. Dit gelijke speelveld dient niet alleen tussen lidstaten te bestaan, maar ook tussen de EU en derde landen. Nederland heeft benadrukt dat de industrie voor een grote uitdaging staat en heeft, net als veel andere lidstaten, de Commissie opgeroepen om een systeem uit te werken voor </w:t>
      </w:r>
      <w:r w:rsidRPr="001E7A16">
        <w:rPr>
          <w:i/>
          <w:szCs w:val="18"/>
        </w:rPr>
        <w:t xml:space="preserve">carbon </w:t>
      </w:r>
      <w:proofErr w:type="spellStart"/>
      <w:r w:rsidRPr="001E7A16">
        <w:rPr>
          <w:i/>
          <w:szCs w:val="18"/>
        </w:rPr>
        <w:t>labelling</w:t>
      </w:r>
      <w:proofErr w:type="spellEnd"/>
      <w:r w:rsidRPr="001E7A16">
        <w:rPr>
          <w:i/>
          <w:szCs w:val="18"/>
        </w:rPr>
        <w:t xml:space="preserve"> </w:t>
      </w:r>
      <w:r w:rsidRPr="009538EB">
        <w:rPr>
          <w:szCs w:val="18"/>
        </w:rPr>
        <w:t>waarmee een gelijk speelveld gewaarborgd kan worden.</w:t>
      </w:r>
    </w:p>
    <w:sectPr w:rsidRPr="005E745F" w:rsidR="00885439" w:rsidSect="00B47B4C">
      <w:headerReference w:type="default" r:id="rId51"/>
      <w:footerReference w:type="default" r:id="rId52"/>
      <w:footerReference w:type="first" r:id="rId53"/>
      <w:pgSz w:w="11906" w:h="16838" w:code="9"/>
      <w:pgMar w:top="1276" w:right="1558" w:bottom="1077" w:left="1276" w:header="0"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7E490" w14:textId="77777777" w:rsidR="005A34AB" w:rsidRDefault="005A34AB">
      <w:pPr>
        <w:spacing w:line="240" w:lineRule="auto"/>
      </w:pPr>
      <w:r>
        <w:separator/>
      </w:r>
    </w:p>
  </w:endnote>
  <w:endnote w:type="continuationSeparator" w:id="0">
    <w:p w14:paraId="2CAC86D1" w14:textId="77777777" w:rsidR="005A34AB" w:rsidRDefault="005A3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337B" w14:textId="77777777" w:rsidR="005A34AB" w:rsidRPr="00BC3B53" w:rsidRDefault="005A34AB"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A34AB" w14:paraId="22E57A4F" w14:textId="77777777" w:rsidTr="00EA5376">
      <w:trPr>
        <w:trHeight w:hRule="exact" w:val="240"/>
      </w:trPr>
      <w:tc>
        <w:tcPr>
          <w:tcW w:w="7601" w:type="dxa"/>
          <w:shd w:val="clear" w:color="auto" w:fill="auto"/>
        </w:tcPr>
        <w:p w14:paraId="2E70B347" w14:textId="77777777" w:rsidR="005A34AB" w:rsidRDefault="005A34AB" w:rsidP="003F1F6B">
          <w:pPr>
            <w:pStyle w:val="Huisstijl-Rubricering"/>
          </w:pPr>
        </w:p>
      </w:tc>
      <w:tc>
        <w:tcPr>
          <w:tcW w:w="2156" w:type="dxa"/>
        </w:tcPr>
        <w:p w14:paraId="349A6A1C" w14:textId="78270934" w:rsidR="005A34AB" w:rsidRPr="00645414" w:rsidRDefault="005A34A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C508B1">
              <w:t>2</w:t>
            </w:r>
          </w:fldSimple>
        </w:p>
      </w:tc>
    </w:tr>
  </w:tbl>
  <w:p w14:paraId="5891DCC6" w14:textId="77777777" w:rsidR="005A34AB" w:rsidRPr="00BC3B53" w:rsidRDefault="005A34AB"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D164" w14:textId="77777777" w:rsidR="005A34AB" w:rsidRPr="00BC3B53" w:rsidRDefault="005A34AB"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FC71E" w14:textId="77777777" w:rsidR="005A34AB" w:rsidRDefault="005A34AB">
      <w:pPr>
        <w:spacing w:line="240" w:lineRule="auto"/>
      </w:pPr>
      <w:r>
        <w:separator/>
      </w:r>
    </w:p>
  </w:footnote>
  <w:footnote w:type="continuationSeparator" w:id="0">
    <w:p w14:paraId="0ECFA328" w14:textId="77777777" w:rsidR="005A34AB" w:rsidRDefault="005A34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34AB" w14:paraId="0AECA821" w14:textId="77777777" w:rsidTr="00A50CF6">
      <w:tc>
        <w:tcPr>
          <w:tcW w:w="2156" w:type="dxa"/>
          <w:shd w:val="clear" w:color="auto" w:fill="auto"/>
        </w:tcPr>
        <w:p w14:paraId="71DEC9B2" w14:textId="4D7DF705" w:rsidR="005A34AB" w:rsidRPr="005819CE" w:rsidRDefault="005A34AB" w:rsidP="00A50CF6">
          <w:pPr>
            <w:pStyle w:val="Huisstijl-Adres"/>
          </w:pPr>
        </w:p>
      </w:tc>
    </w:tr>
    <w:tr w:rsidR="005A34AB" w14:paraId="33E03444" w14:textId="77777777" w:rsidTr="00A50CF6">
      <w:trPr>
        <w:trHeight w:hRule="exact" w:val="200"/>
      </w:trPr>
      <w:tc>
        <w:tcPr>
          <w:tcW w:w="2156" w:type="dxa"/>
          <w:shd w:val="clear" w:color="auto" w:fill="auto"/>
        </w:tcPr>
        <w:p w14:paraId="33FAB435" w14:textId="77777777" w:rsidR="005A34AB" w:rsidRPr="005819CE" w:rsidRDefault="005A34AB" w:rsidP="00A50CF6"/>
      </w:tc>
    </w:tr>
    <w:tr w:rsidR="005A34AB" w14:paraId="52B2850F" w14:textId="77777777" w:rsidTr="00B47B4C">
      <w:trPr>
        <w:trHeight w:hRule="exact" w:val="80"/>
      </w:trPr>
      <w:tc>
        <w:tcPr>
          <w:tcW w:w="2156" w:type="dxa"/>
          <w:shd w:val="clear" w:color="auto" w:fill="auto"/>
        </w:tcPr>
        <w:p w14:paraId="6780C92C" w14:textId="747A5135" w:rsidR="005A34AB" w:rsidRPr="00502512" w:rsidRDefault="005A34AB" w:rsidP="003A5290">
          <w:pPr>
            <w:pStyle w:val="Huisstijl-Kopje"/>
            <w:rPr>
              <w:b w:val="0"/>
            </w:rPr>
          </w:pPr>
        </w:p>
      </w:tc>
    </w:tr>
  </w:tbl>
  <w:p w14:paraId="75D714DC" w14:textId="77777777" w:rsidR="005A34AB" w:rsidRPr="00217880" w:rsidRDefault="005A34AB" w:rsidP="00B47B4C">
    <w:pPr>
      <w:pStyle w:val="Koptek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E9BA4"/>
    <w:multiLevelType w:val="hybridMultilevel"/>
    <w:tmpl w:val="50F0923E"/>
    <w:lvl w:ilvl="0" w:tplc="F8CA0A68">
      <w:start w:val="1"/>
      <w:numFmt w:val="bullet"/>
      <w:pStyle w:val="Lijstopsomteken2"/>
      <w:lvlText w:val="–"/>
      <w:lvlJc w:val="left"/>
      <w:pPr>
        <w:tabs>
          <w:tab w:val="num" w:pos="227"/>
        </w:tabs>
        <w:ind w:left="227" w:firstLine="0"/>
      </w:pPr>
      <w:rPr>
        <w:rFonts w:ascii="Verdana" w:hAnsi="Verdana" w:hint="default"/>
      </w:rPr>
    </w:lvl>
    <w:lvl w:ilvl="1" w:tplc="767ACB38" w:tentative="1">
      <w:start w:val="1"/>
      <w:numFmt w:val="bullet"/>
      <w:lvlText w:val="o"/>
      <w:lvlJc w:val="left"/>
      <w:pPr>
        <w:tabs>
          <w:tab w:val="num" w:pos="1440"/>
        </w:tabs>
        <w:ind w:left="1440" w:hanging="360"/>
      </w:pPr>
      <w:rPr>
        <w:rFonts w:ascii="Courier New" w:hAnsi="Courier New" w:cs="Courier New" w:hint="default"/>
      </w:rPr>
    </w:lvl>
    <w:lvl w:ilvl="2" w:tplc="CE787DD0" w:tentative="1">
      <w:start w:val="1"/>
      <w:numFmt w:val="bullet"/>
      <w:lvlText w:val=""/>
      <w:lvlJc w:val="left"/>
      <w:pPr>
        <w:tabs>
          <w:tab w:val="num" w:pos="2160"/>
        </w:tabs>
        <w:ind w:left="2160" w:hanging="360"/>
      </w:pPr>
      <w:rPr>
        <w:rFonts w:ascii="Wingdings" w:hAnsi="Wingdings" w:hint="default"/>
      </w:rPr>
    </w:lvl>
    <w:lvl w:ilvl="3" w:tplc="190EA952" w:tentative="1">
      <w:start w:val="1"/>
      <w:numFmt w:val="bullet"/>
      <w:lvlText w:val=""/>
      <w:lvlJc w:val="left"/>
      <w:pPr>
        <w:tabs>
          <w:tab w:val="num" w:pos="2880"/>
        </w:tabs>
        <w:ind w:left="2880" w:hanging="360"/>
      </w:pPr>
      <w:rPr>
        <w:rFonts w:ascii="Symbol" w:hAnsi="Symbol" w:hint="default"/>
      </w:rPr>
    </w:lvl>
    <w:lvl w:ilvl="4" w:tplc="2B84DBB0" w:tentative="1">
      <w:start w:val="1"/>
      <w:numFmt w:val="bullet"/>
      <w:lvlText w:val="o"/>
      <w:lvlJc w:val="left"/>
      <w:pPr>
        <w:tabs>
          <w:tab w:val="num" w:pos="3600"/>
        </w:tabs>
        <w:ind w:left="3600" w:hanging="360"/>
      </w:pPr>
      <w:rPr>
        <w:rFonts w:ascii="Courier New" w:hAnsi="Courier New" w:cs="Courier New" w:hint="default"/>
      </w:rPr>
    </w:lvl>
    <w:lvl w:ilvl="5" w:tplc="94C0F346" w:tentative="1">
      <w:start w:val="1"/>
      <w:numFmt w:val="bullet"/>
      <w:lvlText w:val=""/>
      <w:lvlJc w:val="left"/>
      <w:pPr>
        <w:tabs>
          <w:tab w:val="num" w:pos="4320"/>
        </w:tabs>
        <w:ind w:left="4320" w:hanging="360"/>
      </w:pPr>
      <w:rPr>
        <w:rFonts w:ascii="Wingdings" w:hAnsi="Wingdings" w:hint="default"/>
      </w:rPr>
    </w:lvl>
    <w:lvl w:ilvl="6" w:tplc="69B6F66A" w:tentative="1">
      <w:start w:val="1"/>
      <w:numFmt w:val="bullet"/>
      <w:lvlText w:val=""/>
      <w:lvlJc w:val="left"/>
      <w:pPr>
        <w:tabs>
          <w:tab w:val="num" w:pos="5040"/>
        </w:tabs>
        <w:ind w:left="5040" w:hanging="360"/>
      </w:pPr>
      <w:rPr>
        <w:rFonts w:ascii="Symbol" w:hAnsi="Symbol" w:hint="default"/>
      </w:rPr>
    </w:lvl>
    <w:lvl w:ilvl="7" w:tplc="D152E71E" w:tentative="1">
      <w:start w:val="1"/>
      <w:numFmt w:val="bullet"/>
      <w:lvlText w:val="o"/>
      <w:lvlJc w:val="left"/>
      <w:pPr>
        <w:tabs>
          <w:tab w:val="num" w:pos="5760"/>
        </w:tabs>
        <w:ind w:left="5760" w:hanging="360"/>
      </w:pPr>
      <w:rPr>
        <w:rFonts w:ascii="Courier New" w:hAnsi="Courier New" w:cs="Courier New" w:hint="default"/>
      </w:rPr>
    </w:lvl>
    <w:lvl w:ilvl="8" w:tplc="E96EB8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D350D4ED"/>
    <w:multiLevelType w:val="hybridMultilevel"/>
    <w:tmpl w:val="1D8E1FCE"/>
    <w:lvl w:ilvl="0" w:tplc="5DFC2908">
      <w:start w:val="1"/>
      <w:numFmt w:val="bullet"/>
      <w:pStyle w:val="Lijstopsomteken"/>
      <w:lvlText w:val="•"/>
      <w:lvlJc w:val="left"/>
      <w:pPr>
        <w:tabs>
          <w:tab w:val="num" w:pos="227"/>
        </w:tabs>
        <w:ind w:left="227" w:hanging="227"/>
      </w:pPr>
      <w:rPr>
        <w:rFonts w:ascii="Verdana" w:hAnsi="Verdana" w:hint="default"/>
        <w:sz w:val="18"/>
        <w:szCs w:val="18"/>
      </w:rPr>
    </w:lvl>
    <w:lvl w:ilvl="1" w:tplc="A436552C" w:tentative="1">
      <w:start w:val="1"/>
      <w:numFmt w:val="bullet"/>
      <w:lvlText w:val="o"/>
      <w:lvlJc w:val="left"/>
      <w:pPr>
        <w:tabs>
          <w:tab w:val="num" w:pos="1440"/>
        </w:tabs>
        <w:ind w:left="1440" w:hanging="360"/>
      </w:pPr>
      <w:rPr>
        <w:rFonts w:ascii="Courier New" w:hAnsi="Courier New" w:cs="Courier New" w:hint="default"/>
      </w:rPr>
    </w:lvl>
    <w:lvl w:ilvl="2" w:tplc="FC6ECD10" w:tentative="1">
      <w:start w:val="1"/>
      <w:numFmt w:val="bullet"/>
      <w:lvlText w:val=""/>
      <w:lvlJc w:val="left"/>
      <w:pPr>
        <w:tabs>
          <w:tab w:val="num" w:pos="2160"/>
        </w:tabs>
        <w:ind w:left="2160" w:hanging="360"/>
      </w:pPr>
      <w:rPr>
        <w:rFonts w:ascii="Wingdings" w:hAnsi="Wingdings" w:hint="default"/>
      </w:rPr>
    </w:lvl>
    <w:lvl w:ilvl="3" w:tplc="81A4F726" w:tentative="1">
      <w:start w:val="1"/>
      <w:numFmt w:val="bullet"/>
      <w:lvlText w:val=""/>
      <w:lvlJc w:val="left"/>
      <w:pPr>
        <w:tabs>
          <w:tab w:val="num" w:pos="2880"/>
        </w:tabs>
        <w:ind w:left="2880" w:hanging="360"/>
      </w:pPr>
      <w:rPr>
        <w:rFonts w:ascii="Symbol" w:hAnsi="Symbol" w:hint="default"/>
      </w:rPr>
    </w:lvl>
    <w:lvl w:ilvl="4" w:tplc="F9445234" w:tentative="1">
      <w:start w:val="1"/>
      <w:numFmt w:val="bullet"/>
      <w:lvlText w:val="o"/>
      <w:lvlJc w:val="left"/>
      <w:pPr>
        <w:tabs>
          <w:tab w:val="num" w:pos="3600"/>
        </w:tabs>
        <w:ind w:left="3600" w:hanging="360"/>
      </w:pPr>
      <w:rPr>
        <w:rFonts w:ascii="Courier New" w:hAnsi="Courier New" w:cs="Courier New" w:hint="default"/>
      </w:rPr>
    </w:lvl>
    <w:lvl w:ilvl="5" w:tplc="F4FC0D9C" w:tentative="1">
      <w:start w:val="1"/>
      <w:numFmt w:val="bullet"/>
      <w:lvlText w:val=""/>
      <w:lvlJc w:val="left"/>
      <w:pPr>
        <w:tabs>
          <w:tab w:val="num" w:pos="4320"/>
        </w:tabs>
        <w:ind w:left="4320" w:hanging="360"/>
      </w:pPr>
      <w:rPr>
        <w:rFonts w:ascii="Wingdings" w:hAnsi="Wingdings" w:hint="default"/>
      </w:rPr>
    </w:lvl>
    <w:lvl w:ilvl="6" w:tplc="7F4AA426" w:tentative="1">
      <w:start w:val="1"/>
      <w:numFmt w:val="bullet"/>
      <w:lvlText w:val=""/>
      <w:lvlJc w:val="left"/>
      <w:pPr>
        <w:tabs>
          <w:tab w:val="num" w:pos="5040"/>
        </w:tabs>
        <w:ind w:left="5040" w:hanging="360"/>
      </w:pPr>
      <w:rPr>
        <w:rFonts w:ascii="Symbol" w:hAnsi="Symbol" w:hint="default"/>
      </w:rPr>
    </w:lvl>
    <w:lvl w:ilvl="7" w:tplc="EA0C8DBC" w:tentative="1">
      <w:start w:val="1"/>
      <w:numFmt w:val="bullet"/>
      <w:lvlText w:val="o"/>
      <w:lvlJc w:val="left"/>
      <w:pPr>
        <w:tabs>
          <w:tab w:val="num" w:pos="5760"/>
        </w:tabs>
        <w:ind w:left="5760" w:hanging="360"/>
      </w:pPr>
      <w:rPr>
        <w:rFonts w:ascii="Courier New" w:hAnsi="Courier New" w:cs="Courier New" w:hint="default"/>
      </w:rPr>
    </w:lvl>
    <w:lvl w:ilvl="8" w:tplc="D08C00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E79AC"/>
    <w:multiLevelType w:val="hybridMultilevel"/>
    <w:tmpl w:val="1D8E1FCE"/>
    <w:lvl w:ilvl="0" w:tplc="7862C5C2">
      <w:start w:val="1"/>
      <w:numFmt w:val="bullet"/>
      <w:pStyle w:val="ListBullet0"/>
      <w:lvlText w:val="•"/>
      <w:lvlJc w:val="left"/>
      <w:pPr>
        <w:tabs>
          <w:tab w:val="num" w:pos="227"/>
        </w:tabs>
        <w:ind w:left="227" w:hanging="227"/>
      </w:pPr>
      <w:rPr>
        <w:rFonts w:ascii="Verdana" w:hAnsi="Verdana" w:hint="default"/>
        <w:sz w:val="18"/>
        <w:szCs w:val="18"/>
      </w:rPr>
    </w:lvl>
    <w:lvl w:ilvl="1" w:tplc="32B82CB2" w:tentative="1">
      <w:start w:val="1"/>
      <w:numFmt w:val="bullet"/>
      <w:lvlText w:val="o"/>
      <w:lvlJc w:val="left"/>
      <w:pPr>
        <w:tabs>
          <w:tab w:val="num" w:pos="1440"/>
        </w:tabs>
        <w:ind w:left="1440" w:hanging="360"/>
      </w:pPr>
      <w:rPr>
        <w:rFonts w:ascii="Courier New" w:hAnsi="Courier New" w:cs="Courier New" w:hint="default"/>
      </w:rPr>
    </w:lvl>
    <w:lvl w:ilvl="2" w:tplc="F83EF728" w:tentative="1">
      <w:start w:val="1"/>
      <w:numFmt w:val="bullet"/>
      <w:lvlText w:val=""/>
      <w:lvlJc w:val="left"/>
      <w:pPr>
        <w:tabs>
          <w:tab w:val="num" w:pos="2160"/>
        </w:tabs>
        <w:ind w:left="2160" w:hanging="360"/>
      </w:pPr>
      <w:rPr>
        <w:rFonts w:ascii="Wingdings" w:hAnsi="Wingdings" w:hint="default"/>
      </w:rPr>
    </w:lvl>
    <w:lvl w:ilvl="3" w:tplc="5A4EF232" w:tentative="1">
      <w:start w:val="1"/>
      <w:numFmt w:val="bullet"/>
      <w:lvlText w:val=""/>
      <w:lvlJc w:val="left"/>
      <w:pPr>
        <w:tabs>
          <w:tab w:val="num" w:pos="2880"/>
        </w:tabs>
        <w:ind w:left="2880" w:hanging="360"/>
      </w:pPr>
      <w:rPr>
        <w:rFonts w:ascii="Symbol" w:hAnsi="Symbol" w:hint="default"/>
      </w:rPr>
    </w:lvl>
    <w:lvl w:ilvl="4" w:tplc="2C7C104A" w:tentative="1">
      <w:start w:val="1"/>
      <w:numFmt w:val="bullet"/>
      <w:lvlText w:val="o"/>
      <w:lvlJc w:val="left"/>
      <w:pPr>
        <w:tabs>
          <w:tab w:val="num" w:pos="3600"/>
        </w:tabs>
        <w:ind w:left="3600" w:hanging="360"/>
      </w:pPr>
      <w:rPr>
        <w:rFonts w:ascii="Courier New" w:hAnsi="Courier New" w:cs="Courier New" w:hint="default"/>
      </w:rPr>
    </w:lvl>
    <w:lvl w:ilvl="5" w:tplc="22B026FE" w:tentative="1">
      <w:start w:val="1"/>
      <w:numFmt w:val="bullet"/>
      <w:lvlText w:val=""/>
      <w:lvlJc w:val="left"/>
      <w:pPr>
        <w:tabs>
          <w:tab w:val="num" w:pos="4320"/>
        </w:tabs>
        <w:ind w:left="4320" w:hanging="360"/>
      </w:pPr>
      <w:rPr>
        <w:rFonts w:ascii="Wingdings" w:hAnsi="Wingdings" w:hint="default"/>
      </w:rPr>
    </w:lvl>
    <w:lvl w:ilvl="6" w:tplc="6302C228" w:tentative="1">
      <w:start w:val="1"/>
      <w:numFmt w:val="bullet"/>
      <w:lvlText w:val=""/>
      <w:lvlJc w:val="left"/>
      <w:pPr>
        <w:tabs>
          <w:tab w:val="num" w:pos="5040"/>
        </w:tabs>
        <w:ind w:left="5040" w:hanging="360"/>
      </w:pPr>
      <w:rPr>
        <w:rFonts w:ascii="Symbol" w:hAnsi="Symbol" w:hint="default"/>
      </w:rPr>
    </w:lvl>
    <w:lvl w:ilvl="7" w:tplc="0C10312E" w:tentative="1">
      <w:start w:val="1"/>
      <w:numFmt w:val="bullet"/>
      <w:lvlText w:val="o"/>
      <w:lvlJc w:val="left"/>
      <w:pPr>
        <w:tabs>
          <w:tab w:val="num" w:pos="5760"/>
        </w:tabs>
        <w:ind w:left="5760" w:hanging="360"/>
      </w:pPr>
      <w:rPr>
        <w:rFonts w:ascii="Courier New" w:hAnsi="Courier New" w:cs="Courier New" w:hint="default"/>
      </w:rPr>
    </w:lvl>
    <w:lvl w:ilvl="8" w:tplc="FCA4E3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829FF"/>
    <w:multiLevelType w:val="hybridMultilevel"/>
    <w:tmpl w:val="50F0923E"/>
    <w:lvl w:ilvl="0" w:tplc="555C17F4">
      <w:start w:val="1"/>
      <w:numFmt w:val="bullet"/>
      <w:pStyle w:val="ListBullet20"/>
      <w:lvlText w:val="–"/>
      <w:lvlJc w:val="left"/>
      <w:pPr>
        <w:tabs>
          <w:tab w:val="num" w:pos="227"/>
        </w:tabs>
        <w:ind w:left="227" w:firstLine="0"/>
      </w:pPr>
      <w:rPr>
        <w:rFonts w:ascii="Verdana" w:hAnsi="Verdana" w:hint="default"/>
      </w:rPr>
    </w:lvl>
    <w:lvl w:ilvl="1" w:tplc="54ACC60A" w:tentative="1">
      <w:start w:val="1"/>
      <w:numFmt w:val="bullet"/>
      <w:lvlText w:val="o"/>
      <w:lvlJc w:val="left"/>
      <w:pPr>
        <w:tabs>
          <w:tab w:val="num" w:pos="1440"/>
        </w:tabs>
        <w:ind w:left="1440" w:hanging="360"/>
      </w:pPr>
      <w:rPr>
        <w:rFonts w:ascii="Courier New" w:hAnsi="Courier New" w:cs="Courier New" w:hint="default"/>
      </w:rPr>
    </w:lvl>
    <w:lvl w:ilvl="2" w:tplc="E01ADDDA" w:tentative="1">
      <w:start w:val="1"/>
      <w:numFmt w:val="bullet"/>
      <w:lvlText w:val=""/>
      <w:lvlJc w:val="left"/>
      <w:pPr>
        <w:tabs>
          <w:tab w:val="num" w:pos="2160"/>
        </w:tabs>
        <w:ind w:left="2160" w:hanging="360"/>
      </w:pPr>
      <w:rPr>
        <w:rFonts w:ascii="Wingdings" w:hAnsi="Wingdings" w:hint="default"/>
      </w:rPr>
    </w:lvl>
    <w:lvl w:ilvl="3" w:tplc="6E3C643C" w:tentative="1">
      <w:start w:val="1"/>
      <w:numFmt w:val="bullet"/>
      <w:lvlText w:val=""/>
      <w:lvlJc w:val="left"/>
      <w:pPr>
        <w:tabs>
          <w:tab w:val="num" w:pos="2880"/>
        </w:tabs>
        <w:ind w:left="2880" w:hanging="360"/>
      </w:pPr>
      <w:rPr>
        <w:rFonts w:ascii="Symbol" w:hAnsi="Symbol" w:hint="default"/>
      </w:rPr>
    </w:lvl>
    <w:lvl w:ilvl="4" w:tplc="D81AF764" w:tentative="1">
      <w:start w:val="1"/>
      <w:numFmt w:val="bullet"/>
      <w:lvlText w:val="o"/>
      <w:lvlJc w:val="left"/>
      <w:pPr>
        <w:tabs>
          <w:tab w:val="num" w:pos="3600"/>
        </w:tabs>
        <w:ind w:left="3600" w:hanging="360"/>
      </w:pPr>
      <w:rPr>
        <w:rFonts w:ascii="Courier New" w:hAnsi="Courier New" w:cs="Courier New" w:hint="default"/>
      </w:rPr>
    </w:lvl>
    <w:lvl w:ilvl="5" w:tplc="5AA8701A" w:tentative="1">
      <w:start w:val="1"/>
      <w:numFmt w:val="bullet"/>
      <w:lvlText w:val=""/>
      <w:lvlJc w:val="left"/>
      <w:pPr>
        <w:tabs>
          <w:tab w:val="num" w:pos="4320"/>
        </w:tabs>
        <w:ind w:left="4320" w:hanging="360"/>
      </w:pPr>
      <w:rPr>
        <w:rFonts w:ascii="Wingdings" w:hAnsi="Wingdings" w:hint="default"/>
      </w:rPr>
    </w:lvl>
    <w:lvl w:ilvl="6" w:tplc="25C8BA1A" w:tentative="1">
      <w:start w:val="1"/>
      <w:numFmt w:val="bullet"/>
      <w:lvlText w:val=""/>
      <w:lvlJc w:val="left"/>
      <w:pPr>
        <w:tabs>
          <w:tab w:val="num" w:pos="5040"/>
        </w:tabs>
        <w:ind w:left="5040" w:hanging="360"/>
      </w:pPr>
      <w:rPr>
        <w:rFonts w:ascii="Symbol" w:hAnsi="Symbol" w:hint="default"/>
      </w:rPr>
    </w:lvl>
    <w:lvl w:ilvl="7" w:tplc="2C121B24" w:tentative="1">
      <w:start w:val="1"/>
      <w:numFmt w:val="bullet"/>
      <w:lvlText w:val="o"/>
      <w:lvlJc w:val="left"/>
      <w:pPr>
        <w:tabs>
          <w:tab w:val="num" w:pos="5760"/>
        </w:tabs>
        <w:ind w:left="5760" w:hanging="360"/>
      </w:pPr>
      <w:rPr>
        <w:rFonts w:ascii="Courier New" w:hAnsi="Courier New" w:cs="Courier New" w:hint="default"/>
      </w:rPr>
    </w:lvl>
    <w:lvl w:ilvl="8" w:tplc="91E454F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D"/>
    <w:rsid w:val="000049FB"/>
    <w:rsid w:val="00013862"/>
    <w:rsid w:val="0001705C"/>
    <w:rsid w:val="00020189"/>
    <w:rsid w:val="00020EE4"/>
    <w:rsid w:val="00023E9A"/>
    <w:rsid w:val="00034A84"/>
    <w:rsid w:val="00035E67"/>
    <w:rsid w:val="000366F3"/>
    <w:rsid w:val="00042A5B"/>
    <w:rsid w:val="00071F28"/>
    <w:rsid w:val="00092799"/>
    <w:rsid w:val="00092C5F"/>
    <w:rsid w:val="00096680"/>
    <w:rsid w:val="000A174A"/>
    <w:rsid w:val="000A65AC"/>
    <w:rsid w:val="000B60F5"/>
    <w:rsid w:val="000B7281"/>
    <w:rsid w:val="000B7FAB"/>
    <w:rsid w:val="000C0163"/>
    <w:rsid w:val="000C3EA9"/>
    <w:rsid w:val="000D21CE"/>
    <w:rsid w:val="000F3CAA"/>
    <w:rsid w:val="00121BF0"/>
    <w:rsid w:val="00123704"/>
    <w:rsid w:val="001267EE"/>
    <w:rsid w:val="001270C7"/>
    <w:rsid w:val="0014786A"/>
    <w:rsid w:val="001516A4"/>
    <w:rsid w:val="00151E5F"/>
    <w:rsid w:val="001569AB"/>
    <w:rsid w:val="001726F3"/>
    <w:rsid w:val="00185576"/>
    <w:rsid w:val="00185951"/>
    <w:rsid w:val="001A2BEA"/>
    <w:rsid w:val="001A6D93"/>
    <w:rsid w:val="001E34C6"/>
    <w:rsid w:val="001E454F"/>
    <w:rsid w:val="001E5581"/>
    <w:rsid w:val="001F3C70"/>
    <w:rsid w:val="00201F68"/>
    <w:rsid w:val="00214F2B"/>
    <w:rsid w:val="00217880"/>
    <w:rsid w:val="002428E3"/>
    <w:rsid w:val="00260BAF"/>
    <w:rsid w:val="002650F7"/>
    <w:rsid w:val="00273F3B"/>
    <w:rsid w:val="00275984"/>
    <w:rsid w:val="00280F74"/>
    <w:rsid w:val="00286998"/>
    <w:rsid w:val="00291AB7"/>
    <w:rsid w:val="00292EB2"/>
    <w:rsid w:val="0029335E"/>
    <w:rsid w:val="0029422B"/>
    <w:rsid w:val="002B153C"/>
    <w:rsid w:val="002C78DE"/>
    <w:rsid w:val="002D317B"/>
    <w:rsid w:val="002D502D"/>
    <w:rsid w:val="002E0F69"/>
    <w:rsid w:val="002F78E8"/>
    <w:rsid w:val="00312597"/>
    <w:rsid w:val="00334154"/>
    <w:rsid w:val="00340ECA"/>
    <w:rsid w:val="00341FA0"/>
    <w:rsid w:val="00353932"/>
    <w:rsid w:val="0036252A"/>
    <w:rsid w:val="00364D9D"/>
    <w:rsid w:val="0037421D"/>
    <w:rsid w:val="00383DA1"/>
    <w:rsid w:val="00395575"/>
    <w:rsid w:val="003A06C8"/>
    <w:rsid w:val="003A0D7C"/>
    <w:rsid w:val="003A5290"/>
    <w:rsid w:val="003A5812"/>
    <w:rsid w:val="003B7EE7"/>
    <w:rsid w:val="003D39EC"/>
    <w:rsid w:val="003E3DD5"/>
    <w:rsid w:val="003F07C6"/>
    <w:rsid w:val="003F1F6B"/>
    <w:rsid w:val="003F44B7"/>
    <w:rsid w:val="00413D48"/>
    <w:rsid w:val="00441AC2"/>
    <w:rsid w:val="0044249B"/>
    <w:rsid w:val="00447BD8"/>
    <w:rsid w:val="0045023C"/>
    <w:rsid w:val="00451A5B"/>
    <w:rsid w:val="00451FE6"/>
    <w:rsid w:val="00452BCD"/>
    <w:rsid w:val="00452CEA"/>
    <w:rsid w:val="00465B52"/>
    <w:rsid w:val="00470DFF"/>
    <w:rsid w:val="00471BE2"/>
    <w:rsid w:val="00474B75"/>
    <w:rsid w:val="00483F0B"/>
    <w:rsid w:val="00496319"/>
    <w:rsid w:val="004B3F51"/>
    <w:rsid w:val="004B5465"/>
    <w:rsid w:val="004D72CA"/>
    <w:rsid w:val="004F44C2"/>
    <w:rsid w:val="00502512"/>
    <w:rsid w:val="00516022"/>
    <w:rsid w:val="00521CEE"/>
    <w:rsid w:val="00527BD4"/>
    <w:rsid w:val="005429DC"/>
    <w:rsid w:val="00573041"/>
    <w:rsid w:val="00575B80"/>
    <w:rsid w:val="005819CE"/>
    <w:rsid w:val="00596166"/>
    <w:rsid w:val="005A34AB"/>
    <w:rsid w:val="005A3DCD"/>
    <w:rsid w:val="005B3814"/>
    <w:rsid w:val="005C3FE0"/>
    <w:rsid w:val="005C740C"/>
    <w:rsid w:val="005E745F"/>
    <w:rsid w:val="00600CF0"/>
    <w:rsid w:val="006048F4"/>
    <w:rsid w:val="0060660A"/>
    <w:rsid w:val="00617A44"/>
    <w:rsid w:val="006202B6"/>
    <w:rsid w:val="00625CD0"/>
    <w:rsid w:val="00643ACA"/>
    <w:rsid w:val="00645414"/>
    <w:rsid w:val="00647D5F"/>
    <w:rsid w:val="00653606"/>
    <w:rsid w:val="00661591"/>
    <w:rsid w:val="0066632F"/>
    <w:rsid w:val="00674A89"/>
    <w:rsid w:val="00685545"/>
    <w:rsid w:val="006B775E"/>
    <w:rsid w:val="006C2535"/>
    <w:rsid w:val="006C441E"/>
    <w:rsid w:val="006E3546"/>
    <w:rsid w:val="006E7D82"/>
    <w:rsid w:val="006F0F93"/>
    <w:rsid w:val="006F31F2"/>
    <w:rsid w:val="006F6981"/>
    <w:rsid w:val="006F751F"/>
    <w:rsid w:val="00700E35"/>
    <w:rsid w:val="00703868"/>
    <w:rsid w:val="00712C3A"/>
    <w:rsid w:val="00714DC5"/>
    <w:rsid w:val="00715237"/>
    <w:rsid w:val="00721AE1"/>
    <w:rsid w:val="007254A5"/>
    <w:rsid w:val="00725748"/>
    <w:rsid w:val="0073720D"/>
    <w:rsid w:val="00737C88"/>
    <w:rsid w:val="00740712"/>
    <w:rsid w:val="007426AA"/>
    <w:rsid w:val="00742AB9"/>
    <w:rsid w:val="00754FBF"/>
    <w:rsid w:val="007709EF"/>
    <w:rsid w:val="00783559"/>
    <w:rsid w:val="0079551B"/>
    <w:rsid w:val="00797AA5"/>
    <w:rsid w:val="007A4105"/>
    <w:rsid w:val="007B4503"/>
    <w:rsid w:val="007C406E"/>
    <w:rsid w:val="007C4C79"/>
    <w:rsid w:val="007C5183"/>
    <w:rsid w:val="007F24DE"/>
    <w:rsid w:val="007F439C"/>
    <w:rsid w:val="00800CCA"/>
    <w:rsid w:val="008027AD"/>
    <w:rsid w:val="00806120"/>
    <w:rsid w:val="00810C93"/>
    <w:rsid w:val="00812028"/>
    <w:rsid w:val="00813082"/>
    <w:rsid w:val="00814D03"/>
    <w:rsid w:val="0083178B"/>
    <w:rsid w:val="00831EE4"/>
    <w:rsid w:val="00833695"/>
    <w:rsid w:val="008336B7"/>
    <w:rsid w:val="00842CD8"/>
    <w:rsid w:val="008537EA"/>
    <w:rsid w:val="008547BA"/>
    <w:rsid w:val="008553C7"/>
    <w:rsid w:val="00857FEB"/>
    <w:rsid w:val="008601AF"/>
    <w:rsid w:val="00872271"/>
    <w:rsid w:val="00885439"/>
    <w:rsid w:val="008A28F5"/>
    <w:rsid w:val="008B3929"/>
    <w:rsid w:val="008B4CB3"/>
    <w:rsid w:val="008C356D"/>
    <w:rsid w:val="008E49AD"/>
    <w:rsid w:val="008F3246"/>
    <w:rsid w:val="008F508C"/>
    <w:rsid w:val="0090271B"/>
    <w:rsid w:val="00910642"/>
    <w:rsid w:val="00925348"/>
    <w:rsid w:val="009311C8"/>
    <w:rsid w:val="00933376"/>
    <w:rsid w:val="00933A2F"/>
    <w:rsid w:val="00945A7A"/>
    <w:rsid w:val="009718F9"/>
    <w:rsid w:val="00972FB9"/>
    <w:rsid w:val="00975112"/>
    <w:rsid w:val="0098788A"/>
    <w:rsid w:val="00994FDA"/>
    <w:rsid w:val="00995B53"/>
    <w:rsid w:val="009A3B71"/>
    <w:rsid w:val="009A61BC"/>
    <w:rsid w:val="009C3F20"/>
    <w:rsid w:val="00A02901"/>
    <w:rsid w:val="00A21E76"/>
    <w:rsid w:val="00A30E68"/>
    <w:rsid w:val="00A34AA0"/>
    <w:rsid w:val="00A4043A"/>
    <w:rsid w:val="00A47948"/>
    <w:rsid w:val="00A50CF6"/>
    <w:rsid w:val="00A56946"/>
    <w:rsid w:val="00A60175"/>
    <w:rsid w:val="00A72139"/>
    <w:rsid w:val="00A82C5C"/>
    <w:rsid w:val="00A831FD"/>
    <w:rsid w:val="00AA4791"/>
    <w:rsid w:val="00AA7FC9"/>
    <w:rsid w:val="00AB5933"/>
    <w:rsid w:val="00AE013D"/>
    <w:rsid w:val="00AE11B7"/>
    <w:rsid w:val="00AE5374"/>
    <w:rsid w:val="00AF52FD"/>
    <w:rsid w:val="00AF7237"/>
    <w:rsid w:val="00B00D75"/>
    <w:rsid w:val="00B070CB"/>
    <w:rsid w:val="00B22A7B"/>
    <w:rsid w:val="00B26CCF"/>
    <w:rsid w:val="00B42DFA"/>
    <w:rsid w:val="00B47B4C"/>
    <w:rsid w:val="00B531DD"/>
    <w:rsid w:val="00B55D2A"/>
    <w:rsid w:val="00B71DC2"/>
    <w:rsid w:val="00B93893"/>
    <w:rsid w:val="00BA1397"/>
    <w:rsid w:val="00BA6F11"/>
    <w:rsid w:val="00BC3B53"/>
    <w:rsid w:val="00BC3B96"/>
    <w:rsid w:val="00BC4AE3"/>
    <w:rsid w:val="00BC79D0"/>
    <w:rsid w:val="00BD2A85"/>
    <w:rsid w:val="00BE3F88"/>
    <w:rsid w:val="00BE4756"/>
    <w:rsid w:val="00BE7B41"/>
    <w:rsid w:val="00C206F1"/>
    <w:rsid w:val="00C40C60"/>
    <w:rsid w:val="00C508B1"/>
    <w:rsid w:val="00C5258E"/>
    <w:rsid w:val="00C82AFE"/>
    <w:rsid w:val="00C97C80"/>
    <w:rsid w:val="00CA47D3"/>
    <w:rsid w:val="00CD362D"/>
    <w:rsid w:val="00CD6B5E"/>
    <w:rsid w:val="00CF053F"/>
    <w:rsid w:val="00D0609E"/>
    <w:rsid w:val="00D078E1"/>
    <w:rsid w:val="00D100E9"/>
    <w:rsid w:val="00D21E4B"/>
    <w:rsid w:val="00D22441"/>
    <w:rsid w:val="00D23522"/>
    <w:rsid w:val="00D31BDB"/>
    <w:rsid w:val="00D35701"/>
    <w:rsid w:val="00D516BE"/>
    <w:rsid w:val="00D5423B"/>
    <w:rsid w:val="00D54F4E"/>
    <w:rsid w:val="00D60BA4"/>
    <w:rsid w:val="00D62419"/>
    <w:rsid w:val="00D76785"/>
    <w:rsid w:val="00D77870"/>
    <w:rsid w:val="00D80CCE"/>
    <w:rsid w:val="00D95C88"/>
    <w:rsid w:val="00D97B2E"/>
    <w:rsid w:val="00DB36FE"/>
    <w:rsid w:val="00DB533A"/>
    <w:rsid w:val="00DD16BB"/>
    <w:rsid w:val="00DE3FE0"/>
    <w:rsid w:val="00DE578A"/>
    <w:rsid w:val="00DF2583"/>
    <w:rsid w:val="00DF54D9"/>
    <w:rsid w:val="00E01CD0"/>
    <w:rsid w:val="00E10DC6"/>
    <w:rsid w:val="00E11F8E"/>
    <w:rsid w:val="00E3731D"/>
    <w:rsid w:val="00E634E3"/>
    <w:rsid w:val="00E77F89"/>
    <w:rsid w:val="00E850D3"/>
    <w:rsid w:val="00EA5376"/>
    <w:rsid w:val="00EC0DFF"/>
    <w:rsid w:val="00EC237D"/>
    <w:rsid w:val="00ED072A"/>
    <w:rsid w:val="00ED539E"/>
    <w:rsid w:val="00EE4A1F"/>
    <w:rsid w:val="00EF1B5A"/>
    <w:rsid w:val="00EF2CCA"/>
    <w:rsid w:val="00EF495B"/>
    <w:rsid w:val="00F03963"/>
    <w:rsid w:val="00F1256D"/>
    <w:rsid w:val="00F13A4E"/>
    <w:rsid w:val="00F172BB"/>
    <w:rsid w:val="00F21BEF"/>
    <w:rsid w:val="00F3492B"/>
    <w:rsid w:val="00F50F86"/>
    <w:rsid w:val="00F53F91"/>
    <w:rsid w:val="00F61A72"/>
    <w:rsid w:val="00F66F13"/>
    <w:rsid w:val="00F74073"/>
    <w:rsid w:val="00F8713B"/>
    <w:rsid w:val="00F93F9E"/>
    <w:rsid w:val="00FB06ED"/>
    <w:rsid w:val="00FC36AB"/>
    <w:rsid w:val="00FC58B9"/>
    <w:rsid w:val="00FC592D"/>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019E5F"/>
  <w15:docId w15:val="{74CC0F91-508D-43D2-BF5B-3A8A107A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 w:type="character" w:styleId="Verwijzingopmerking">
    <w:name w:val="annotation reference"/>
    <w:basedOn w:val="Standaardalinea-lettertype"/>
    <w:semiHidden/>
    <w:unhideWhenUsed/>
    <w:rsid w:val="00EA5376"/>
    <w:rPr>
      <w:sz w:val="16"/>
      <w:szCs w:val="16"/>
    </w:rPr>
  </w:style>
  <w:style w:type="paragraph" w:styleId="Tekstopmerking">
    <w:name w:val="annotation text"/>
    <w:basedOn w:val="Standaard"/>
    <w:link w:val="TekstopmerkingChar"/>
    <w:semiHidden/>
    <w:unhideWhenUsed/>
    <w:rsid w:val="00EA5376"/>
    <w:pPr>
      <w:spacing w:line="240" w:lineRule="auto"/>
    </w:pPr>
    <w:rPr>
      <w:sz w:val="20"/>
      <w:szCs w:val="20"/>
    </w:rPr>
  </w:style>
  <w:style w:type="character" w:customStyle="1" w:styleId="TekstopmerkingChar">
    <w:name w:val="Tekst opmerking Char"/>
    <w:basedOn w:val="Standaardalinea-lettertype"/>
    <w:link w:val="Tekstopmerking"/>
    <w:semiHidden/>
    <w:rsid w:val="00EA537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A5376"/>
    <w:rPr>
      <w:b/>
      <w:bCs/>
    </w:rPr>
  </w:style>
  <w:style w:type="character" w:customStyle="1" w:styleId="OnderwerpvanopmerkingChar">
    <w:name w:val="Onderwerp van opmerking Char"/>
    <w:basedOn w:val="TekstopmerkingChar"/>
    <w:link w:val="Onderwerpvanopmerking"/>
    <w:semiHidden/>
    <w:rsid w:val="00EA537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theme" Target="theme/theme1.xml" Id="rId55" /><Relationship Type="http://schemas.openxmlformats.org/officeDocument/2006/relationships/numbering" Target="numbering.xml" Id="rId45" /><Relationship Type="http://schemas.openxmlformats.org/officeDocument/2006/relationships/footer" Target="footer2.xml" Id="rId53" /><Relationship Type="http://schemas.openxmlformats.org/officeDocument/2006/relationships/webSettings" Target="webSettings.xml" Id="rId48"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fontTable" Target="fontTable.xml" Id="rId54" /><Relationship Type="http://schemas.openxmlformats.org/officeDocument/2006/relationships/footnotes" Target="footnotes.xml" Id="rId49" /><Relationship Type="http://schemas.openxmlformats.org/officeDocument/2006/relationships/footer" Target="footer1.xm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674</ap:Words>
  <ap:Characters>3913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2008-07-25T16:17:00.0000000Z</lastPrinted>
  <dcterms:created xsi:type="dcterms:W3CDTF">2019-05-15T15:19:00.0000000Z</dcterms:created>
  <dcterms:modified xsi:type="dcterms:W3CDTF">2019-05-15T15:19:00.0000000Z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MosselmanH</vt:lpwstr>
  </property>
  <property fmtid="{D5CDD505-2E9C-101B-9397-08002B2CF9AE}" pid="3" name="A_ADRES">
    <vt:lpwstr>Voorzitter van de Tweede Kamer der Staten-Generaal
Binnenhof 4
2513 AA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Verslag informele Raad voor Concurrentie vermogen van 3 mei 2019</vt:lpwstr>
  </property>
  <property fmtid="{D5CDD505-2E9C-101B-9397-08002B2CF9AE}" pid="8" name="documentId">
    <vt:lpwstr>19122102</vt:lpwstr>
  </property>
  <property fmtid="{D5CDD505-2E9C-101B-9397-08002B2CF9AE}" pid="9" name="RegisterInEdocs">
    <vt:bool>true</vt:bool>
  </property>
  <property fmtid="{D5CDD505-2E9C-101B-9397-08002B2CF9AE}" pid="10" name="TYPE_ID">
    <vt:lpwstr>Brief</vt:lpwstr>
  </property>
  <property fmtid="{D5CDD505-2E9C-101B-9397-08002B2CF9AE}" pid="11" name="ContentTypeId">
    <vt:lpwstr>0x010100BDA1875EE32E884BAAF912F3364D60A5</vt:lpwstr>
  </property>
</Properties>
</file>