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EC" w:rsidP="00B451EC" w:rsidRDefault="00B451EC">
      <w:pPr>
        <w:rPr>
          <w:rFonts w:ascii="Calibri" w:hAnsi="Calibri"/>
          <w:color w:val="1F497D"/>
          <w:sz w:val="22"/>
          <w:szCs w:val="22"/>
        </w:rPr>
      </w:pPr>
      <w:r w:rsidRPr="00854ED8">
        <w:rPr>
          <w:rFonts w:asciiTheme="minorHAnsi" w:hAnsiTheme="minorHAnsi"/>
          <w:b/>
          <w:sz w:val="22"/>
          <w:szCs w:val="22"/>
        </w:rPr>
        <w:t xml:space="preserve">Lijst met EU-voorstellen op </w:t>
      </w:r>
      <w:r>
        <w:rPr>
          <w:rFonts w:asciiTheme="minorHAnsi" w:hAnsiTheme="minorHAnsi"/>
          <w:b/>
          <w:sz w:val="22"/>
          <w:szCs w:val="22"/>
        </w:rPr>
        <w:t xml:space="preserve">het terrein van de commissie voor Buitenlandse Zaken </w:t>
      </w:r>
    </w:p>
    <w:p w:rsidRPr="00F67F5B" w:rsidR="00B451EC" w:rsidP="00B451EC" w:rsidRDefault="00B451EC">
      <w:pPr>
        <w:rPr>
          <w:rFonts w:asciiTheme="minorHAnsi" w:hAnsiTheme="minorHAnsi"/>
          <w:sz w:val="22"/>
          <w:szCs w:val="22"/>
        </w:rPr>
      </w:pPr>
    </w:p>
    <w:tbl>
      <w:tblPr>
        <w:tblW w:w="1465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03"/>
        <w:gridCol w:w="1254"/>
        <w:gridCol w:w="4449"/>
        <w:gridCol w:w="1506"/>
        <w:gridCol w:w="1030"/>
        <w:gridCol w:w="4233"/>
      </w:tblGrid>
      <w:tr w:rsidRPr="00F67F5B" w:rsidR="00B451EC" w:rsidTr="0034461C">
        <w:trPr>
          <w:trHeight w:val="1550"/>
        </w:trPr>
        <w:tc>
          <w:tcPr>
            <w:tcW w:w="980" w:type="dxa"/>
            <w:shd w:val="clear" w:color="auto" w:fill="auto"/>
            <w:textDirection w:val="btLr"/>
            <w:vAlign w:val="bottom"/>
            <w:hideMark/>
          </w:tcPr>
          <w:p w:rsidRPr="00F50A0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203" w:type="dxa"/>
            <w:shd w:val="clear" w:color="auto" w:fill="auto"/>
            <w:textDirection w:val="btLr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</w:p>
        </w:tc>
        <w:tc>
          <w:tcPr>
            <w:tcW w:w="1254" w:type="dxa"/>
            <w:shd w:val="clear" w:color="auto" w:fill="auto"/>
            <w:textDirection w:val="btLr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4449" w:type="dxa"/>
            <w:shd w:val="clear" w:color="auto" w:fill="auto"/>
            <w:textDirection w:val="btLr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1506" w:type="dxa"/>
            <w:shd w:val="clear" w:color="auto" w:fill="auto"/>
            <w:textDirection w:val="btLr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030" w:type="dxa"/>
            <w:textDirection w:val="btLr"/>
          </w:tcPr>
          <w:p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Sub.toets</w:t>
            </w:r>
            <w:proofErr w:type="spellEnd"/>
          </w:p>
        </w:tc>
        <w:tc>
          <w:tcPr>
            <w:tcW w:w="4233" w:type="dxa"/>
            <w:shd w:val="clear" w:color="auto" w:fill="auto"/>
            <w:textDirection w:val="btLr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B451EC" w:rsidTr="0034461C">
        <w:trPr>
          <w:trHeight w:val="300"/>
        </w:trPr>
        <w:tc>
          <w:tcPr>
            <w:tcW w:w="98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B451EC" w:rsidP="0034461C" w:rsidRDefault="00B451E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9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B451EC" w:rsidP="0034461C" w:rsidRDefault="00B451E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B451EC" w:rsidP="0034461C" w:rsidRDefault="00B451E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3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B451EC" w:rsidP="0034461C" w:rsidRDefault="00B451E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Pr="00931F2B" w:rsidR="00B451EC" w:rsidTr="00B451EC">
        <w:trPr>
          <w:trHeight w:val="1509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B451EC" w:rsidR="00B451EC" w:rsidP="0034461C" w:rsidRDefault="003350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16-apr</w:t>
            </w:r>
            <w:r w:rsidRPr="00B451EC" w:rsidR="00B451EC">
              <w:rPr>
                <w:rFonts w:ascii="Calibri" w:hAnsi="Calibri"/>
                <w:color w:val="000000"/>
                <w:sz w:val="22"/>
                <w:szCs w:val="22"/>
              </w:rPr>
              <w:t>t-19</w:t>
            </w:r>
          </w:p>
          <w:p w:rsidRPr="00B451EC" w:rsidR="00B451EC" w:rsidP="0034461C" w:rsidRDefault="00B45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B451EC" w:rsidR="00B451EC" w:rsidP="0034461C" w:rsidRDefault="00B451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1EC">
              <w:rPr>
                <w:rFonts w:ascii="Calibri" w:hAnsi="Calibri"/>
                <w:color w:val="000000"/>
                <w:sz w:val="22"/>
                <w:szCs w:val="22"/>
              </w:rPr>
              <w:t>BuZa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B451EC" w:rsidR="00B451EC" w:rsidP="0034461C" w:rsidRDefault="00B45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1EC">
              <w:rPr>
                <w:rFonts w:ascii="Calibri" w:hAnsi="Calibri"/>
                <w:color w:val="000000"/>
                <w:sz w:val="22"/>
                <w:szCs w:val="22"/>
              </w:rPr>
              <w:t>Mededeling</w:t>
            </w:r>
          </w:p>
        </w:tc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451EC" w:rsidR="00B451EC" w:rsidP="0033504D" w:rsidRDefault="00B45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1EC">
              <w:rPr>
                <w:rFonts w:ascii="Calibri" w:hAnsi="Calibri"/>
                <w:color w:val="000000"/>
                <w:sz w:val="22"/>
                <w:szCs w:val="22"/>
              </w:rPr>
              <w:t>Gezamenlijke Mededeling aan het Eu</w:t>
            </w:r>
            <w:r w:rsidR="0033504D">
              <w:rPr>
                <w:rFonts w:ascii="Calibri" w:hAnsi="Calibri"/>
                <w:color w:val="000000"/>
                <w:sz w:val="22"/>
                <w:szCs w:val="22"/>
              </w:rPr>
              <w:t xml:space="preserve">ropees Parlement en de Raad: </w:t>
            </w:r>
            <w:r w:rsidR="0033504D">
              <w:rPr>
                <w:rFonts w:ascii="Calibri" w:hAnsi="Calibri"/>
                <w:color w:val="000000"/>
                <w:sz w:val="22"/>
                <w:szCs w:val="22"/>
              </w:rPr>
              <w:t xml:space="preserve">Europese Unie, Latijns-Amerika en het Caribisch Gebied: de handen in elkaar slaan voor een gemeenschappelijke toekomst </w:t>
            </w:r>
            <w:r w:rsidRPr="00B451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B451EC" w:rsidR="00B451EC" w:rsidP="0034461C" w:rsidRDefault="003350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hyperlink w:history="1" r:id="rId8">
              <w:r w:rsidRPr="0033504D" w:rsidR="00B451EC"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JOIN (2019) </w:t>
              </w:r>
              <w:r w:rsidRPr="0033504D">
                <w:rPr>
                  <w:rStyle w:val="Hyperlink"/>
                  <w:rFonts w:ascii="Calibri" w:hAnsi="Calibri"/>
                  <w:sz w:val="22"/>
                  <w:szCs w:val="22"/>
                </w:rPr>
                <w:t>6</w:t>
              </w:r>
            </w:hyperlink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3504D" w:rsidR="00B451EC" w:rsidP="0034461C" w:rsidRDefault="00B45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>n.v.t.</w:t>
            </w:r>
          </w:p>
        </w:tc>
        <w:tc>
          <w:tcPr>
            <w:tcW w:w="4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3504D" w:rsidR="00B451EC" w:rsidP="0034461C" w:rsidRDefault="00B451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33504D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Behandelvoorstel: </w:t>
            </w:r>
          </w:p>
          <w:p w:rsidRPr="0033504D" w:rsidR="0033504D" w:rsidP="0034461C" w:rsidRDefault="003350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 xml:space="preserve">(1) desgewenst betrokken bij SO </w:t>
            </w:r>
            <w:r w:rsidRPr="0033504D" w:rsidR="00B451EC">
              <w:rPr>
                <w:rFonts w:ascii="Calibri" w:hAnsi="Calibri"/>
                <w:color w:val="000000"/>
                <w:sz w:val="22"/>
                <w:szCs w:val="22"/>
              </w:rPr>
              <w:t xml:space="preserve">RBZ </w:t>
            </w: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>13-</w:t>
            </w:r>
            <w:r w:rsidRPr="0033504D" w:rsidR="00B451EC">
              <w:rPr>
                <w:rFonts w:ascii="Calibri" w:hAnsi="Calibri"/>
                <w:color w:val="000000"/>
                <w:sz w:val="22"/>
                <w:szCs w:val="22"/>
              </w:rPr>
              <w:t xml:space="preserve">14 </w:t>
            </w: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 xml:space="preserve">mei 2019 op 6 mei jl. </w:t>
            </w:r>
          </w:p>
          <w:p w:rsidRPr="0033504D" w:rsidR="00B451EC" w:rsidP="0034461C" w:rsidRDefault="00B45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Pr="0033504D" w:rsidR="0033504D" w:rsidP="0034461C" w:rsidRDefault="003350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 xml:space="preserve">De gezamenlijke mededeling zet een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visie uiteen voor een gemoderni</w:t>
            </w: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>seerd partnerschap tussen de EU en Latijns-Amerika en het Caribisch Gebied, en identificeert hiertoe vier elkaar versterkende prioriteiten: welvaart, democratie, weerbaarheid en effectief beleid in multilaterale fora. Om in deze doelstellingen te voorzien staat de mededeling een sterker strategisch politiek engagement tussen de beide regio’s voor.</w:t>
            </w:r>
          </w:p>
          <w:p w:rsidRPr="0033504D" w:rsidR="00B451EC" w:rsidP="0034461C" w:rsidRDefault="00B451EC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Pr="0033504D" w:rsidR="0033504D" w:rsidP="0034461C" w:rsidRDefault="003350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 xml:space="preserve">NB:  </w:t>
            </w:r>
            <w:r w:rsidRPr="0033504D" w:rsidR="00B451EC">
              <w:rPr>
                <w:rFonts w:ascii="Calibri" w:hAnsi="Calibri"/>
                <w:color w:val="000000"/>
                <w:sz w:val="22"/>
                <w:szCs w:val="22"/>
              </w:rPr>
              <w:t>de kabinetsappreciatie</w:t>
            </w:r>
            <w:r w:rsidRPr="0033504D">
              <w:rPr>
                <w:rFonts w:ascii="Calibri" w:hAnsi="Calibri"/>
                <w:color w:val="000000"/>
                <w:sz w:val="22"/>
                <w:szCs w:val="22"/>
              </w:rPr>
              <w:t xml:space="preserve"> is weergegeven in de geannoteerde agenda van de RBZ van 13-14 mei 2019</w:t>
            </w:r>
          </w:p>
          <w:p w:rsidRPr="0033504D" w:rsidR="00B451EC" w:rsidP="0034461C" w:rsidRDefault="00B451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name="_GoBack" w:id="0"/>
            <w:bookmarkEnd w:id="0"/>
          </w:p>
        </w:tc>
      </w:tr>
    </w:tbl>
    <w:p w:rsidR="007804FB" w:rsidRDefault="007804FB"/>
    <w:sectPr w:rsidR="007804FB" w:rsidSect="00B451EC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C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3504D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451E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51E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5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51EC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5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pex.eu/IPEXL-WEB/dossier/document/JOIN20190006.do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956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2019-05-09T12:03:00.0000000Z</dcterms:created>
  <dcterms:modified xsi:type="dcterms:W3CDTF">2019-05-09T12:03:00.0000000Z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0x01010045F62DDFA5C8FF4F91B667A154C1FD21</vt:lpwstr>
  </property>
</Properties>
</file>