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2D" w:rsidP="00FD0980" w:rsidRDefault="00D8082D" w14:paraId="6E493F24" w14:textId="77777777">
      <w:pPr>
        <w:pStyle w:val="Heading1"/>
        <w:spacing w:before="0" w:after="160"/>
        <w:jc w:val="both"/>
        <w:rPr>
          <w:rFonts w:asciiTheme="minorHAnsi" w:hAnsiTheme="minorHAnsi" w:cstheme="minorHAnsi"/>
          <w:b/>
          <w:color w:val="000000" w:themeColor="text1"/>
          <w:sz w:val="24"/>
          <w:szCs w:val="24"/>
        </w:rPr>
      </w:pPr>
      <w:bookmarkStart w:name="_GoBack" w:id="0"/>
      <w:bookmarkEnd w:id="0"/>
      <w:r w:rsidRPr="00FD0980">
        <w:rPr>
          <w:rFonts w:asciiTheme="minorHAnsi" w:hAnsiTheme="minorHAnsi" w:cstheme="minorHAnsi"/>
          <w:b/>
          <w:color w:val="000000" w:themeColor="text1"/>
          <w:sz w:val="24"/>
          <w:szCs w:val="24"/>
        </w:rPr>
        <w:t>Overeenkomst to</w:t>
      </w:r>
      <w:r w:rsidRPr="00FD0980" w:rsidR="00F971C4">
        <w:rPr>
          <w:rFonts w:asciiTheme="minorHAnsi" w:hAnsiTheme="minorHAnsi" w:cstheme="minorHAnsi"/>
          <w:b/>
          <w:color w:val="000000" w:themeColor="text1"/>
          <w:sz w:val="24"/>
          <w:szCs w:val="24"/>
        </w:rPr>
        <w:t>t oprichting van de internationa</w:t>
      </w:r>
      <w:r w:rsidRPr="00FD0980">
        <w:rPr>
          <w:rFonts w:asciiTheme="minorHAnsi" w:hAnsiTheme="minorHAnsi" w:cstheme="minorHAnsi"/>
          <w:b/>
          <w:color w:val="000000" w:themeColor="text1"/>
          <w:sz w:val="24"/>
          <w:szCs w:val="24"/>
        </w:rPr>
        <w:t>l</w:t>
      </w:r>
      <w:r w:rsidRPr="00FD0980" w:rsidR="00F971C4">
        <w:rPr>
          <w:rFonts w:asciiTheme="minorHAnsi" w:hAnsiTheme="minorHAnsi" w:cstheme="minorHAnsi"/>
          <w:b/>
          <w:color w:val="000000" w:themeColor="text1"/>
          <w:sz w:val="24"/>
          <w:szCs w:val="24"/>
        </w:rPr>
        <w:t>e</w:t>
      </w:r>
      <w:r w:rsidRPr="00FD0980" w:rsidR="001F22BF">
        <w:rPr>
          <w:rFonts w:asciiTheme="minorHAnsi" w:hAnsiTheme="minorHAnsi" w:cstheme="minorHAnsi"/>
          <w:b/>
          <w:color w:val="000000" w:themeColor="text1"/>
          <w:sz w:val="24"/>
          <w:szCs w:val="24"/>
        </w:rPr>
        <w:t xml:space="preserve"> EU-LAC-</w:t>
      </w:r>
      <w:r w:rsidRPr="00FD0980">
        <w:rPr>
          <w:rFonts w:asciiTheme="minorHAnsi" w:hAnsiTheme="minorHAnsi" w:cstheme="minorHAnsi"/>
          <w:b/>
          <w:color w:val="000000" w:themeColor="text1"/>
          <w:sz w:val="24"/>
          <w:szCs w:val="24"/>
        </w:rPr>
        <w:t>Stichting; Santo Domingo</w:t>
      </w:r>
      <w:r w:rsidRPr="00FD0980" w:rsidR="007F4C39">
        <w:rPr>
          <w:rFonts w:asciiTheme="minorHAnsi" w:hAnsiTheme="minorHAnsi" w:cstheme="minorHAnsi"/>
          <w:b/>
          <w:color w:val="000000" w:themeColor="text1"/>
          <w:sz w:val="24"/>
          <w:szCs w:val="24"/>
        </w:rPr>
        <w:t>, 25</w:t>
      </w:r>
      <w:r w:rsidR="008D2A03">
        <w:rPr>
          <w:rFonts w:asciiTheme="minorHAnsi" w:hAnsiTheme="minorHAnsi" w:cstheme="minorHAnsi"/>
          <w:b/>
          <w:color w:val="000000" w:themeColor="text1"/>
          <w:sz w:val="24"/>
          <w:szCs w:val="24"/>
        </w:rPr>
        <w:t> </w:t>
      </w:r>
      <w:r w:rsidRPr="00FD0980" w:rsidR="007F4C39">
        <w:rPr>
          <w:rFonts w:asciiTheme="minorHAnsi" w:hAnsiTheme="minorHAnsi" w:cstheme="minorHAnsi"/>
          <w:b/>
          <w:color w:val="000000" w:themeColor="text1"/>
          <w:sz w:val="24"/>
          <w:szCs w:val="24"/>
        </w:rPr>
        <w:t xml:space="preserve">oktober 2016 </w:t>
      </w:r>
      <w:r w:rsidRPr="00FD0980">
        <w:rPr>
          <w:rFonts w:asciiTheme="minorHAnsi" w:hAnsiTheme="minorHAnsi" w:cstheme="minorHAnsi"/>
          <w:b/>
          <w:color w:val="000000" w:themeColor="text1"/>
          <w:sz w:val="24"/>
          <w:szCs w:val="24"/>
        </w:rPr>
        <w:t>(</w:t>
      </w:r>
      <w:r w:rsidRPr="00FD0980">
        <w:rPr>
          <w:rFonts w:asciiTheme="minorHAnsi" w:hAnsiTheme="minorHAnsi" w:cstheme="minorHAnsi"/>
          <w:b/>
          <w:i/>
          <w:color w:val="000000" w:themeColor="text1"/>
          <w:sz w:val="24"/>
          <w:szCs w:val="24"/>
        </w:rPr>
        <w:t>Trb</w:t>
      </w:r>
      <w:r w:rsidRPr="00FD0980">
        <w:rPr>
          <w:rFonts w:asciiTheme="minorHAnsi" w:hAnsiTheme="minorHAnsi" w:cstheme="minorHAnsi"/>
          <w:b/>
          <w:color w:val="000000" w:themeColor="text1"/>
          <w:sz w:val="24"/>
          <w:szCs w:val="24"/>
        </w:rPr>
        <w:t>. 2017, 15)</w:t>
      </w:r>
    </w:p>
    <w:p w:rsidRPr="008D2A03" w:rsidR="008D2A03" w:rsidP="008D2A03" w:rsidRDefault="008D2A03" w14:paraId="0B082F42" w14:textId="77777777"/>
    <w:p w:rsidRPr="00FD0980" w:rsidR="00A0465C" w:rsidP="00FD0980" w:rsidRDefault="00A0465C" w14:paraId="5409AF19" w14:textId="77777777">
      <w:pPr>
        <w:pStyle w:val="Heading1"/>
        <w:spacing w:before="0" w:after="160"/>
        <w:jc w:val="both"/>
        <w:rPr>
          <w:rFonts w:asciiTheme="minorHAnsi" w:hAnsiTheme="minorHAnsi" w:cstheme="minorHAnsi"/>
          <w:b/>
          <w:color w:val="000000" w:themeColor="text1"/>
          <w:sz w:val="28"/>
          <w:szCs w:val="28"/>
        </w:rPr>
      </w:pPr>
      <w:r w:rsidRPr="00FD0980">
        <w:rPr>
          <w:rFonts w:asciiTheme="minorHAnsi" w:hAnsiTheme="minorHAnsi" w:cstheme="minorHAnsi"/>
          <w:b/>
          <w:color w:val="000000" w:themeColor="text1"/>
          <w:sz w:val="28"/>
          <w:szCs w:val="28"/>
        </w:rPr>
        <w:t>T</w:t>
      </w:r>
      <w:r w:rsidRPr="00FD0980" w:rsidR="00D8082D">
        <w:rPr>
          <w:rFonts w:asciiTheme="minorHAnsi" w:hAnsiTheme="minorHAnsi" w:cstheme="minorHAnsi"/>
          <w:b/>
          <w:color w:val="000000" w:themeColor="text1"/>
          <w:sz w:val="28"/>
          <w:szCs w:val="28"/>
        </w:rPr>
        <w:t>OELICHTENDE</w:t>
      </w:r>
      <w:r w:rsidRPr="00FD0980" w:rsidR="008B4464">
        <w:rPr>
          <w:rFonts w:asciiTheme="minorHAnsi" w:hAnsiTheme="minorHAnsi" w:cstheme="minorHAnsi"/>
          <w:b/>
          <w:color w:val="000000" w:themeColor="text1"/>
          <w:sz w:val="28"/>
          <w:szCs w:val="28"/>
        </w:rPr>
        <w:t xml:space="preserve"> </w:t>
      </w:r>
      <w:r w:rsidRPr="00FD0980">
        <w:rPr>
          <w:rFonts w:asciiTheme="minorHAnsi" w:hAnsiTheme="minorHAnsi" w:cstheme="minorHAnsi"/>
          <w:b/>
          <w:color w:val="000000" w:themeColor="text1"/>
          <w:sz w:val="28"/>
          <w:szCs w:val="28"/>
        </w:rPr>
        <w:t>N</w:t>
      </w:r>
      <w:r w:rsidRPr="00FD0980" w:rsidR="00D8082D">
        <w:rPr>
          <w:rFonts w:asciiTheme="minorHAnsi" w:hAnsiTheme="minorHAnsi" w:cstheme="minorHAnsi"/>
          <w:b/>
          <w:color w:val="000000" w:themeColor="text1"/>
          <w:sz w:val="28"/>
          <w:szCs w:val="28"/>
        </w:rPr>
        <w:t>OTA</w:t>
      </w:r>
    </w:p>
    <w:p w:rsidRPr="00FD0980" w:rsidR="00A0465C" w:rsidP="00FD0980" w:rsidRDefault="00D8082D" w14:paraId="128F2DCC" w14:textId="77777777">
      <w:pPr>
        <w:pStyle w:val="Heading2"/>
        <w:numPr>
          <w:ilvl w:val="0"/>
          <w:numId w:val="14"/>
        </w:numPr>
        <w:spacing w:before="0" w:after="160"/>
        <w:jc w:val="both"/>
        <w:rPr>
          <w:rFonts w:asciiTheme="minorHAnsi" w:hAnsiTheme="minorHAnsi" w:cstheme="minorHAnsi"/>
          <w:color w:val="auto"/>
          <w:sz w:val="22"/>
          <w:szCs w:val="22"/>
        </w:rPr>
      </w:pPr>
      <w:r w:rsidRPr="00FD0980">
        <w:rPr>
          <w:rFonts w:asciiTheme="minorHAnsi" w:hAnsiTheme="minorHAnsi" w:cstheme="minorHAnsi"/>
          <w:b/>
          <w:color w:val="auto"/>
          <w:sz w:val="22"/>
          <w:szCs w:val="22"/>
        </w:rPr>
        <w:t>Inleiding</w:t>
      </w:r>
    </w:p>
    <w:p w:rsidRPr="00FD0980" w:rsidR="00C623A9" w:rsidP="00FD0980" w:rsidRDefault="00EE6C9C" w14:paraId="19DCAB2D" w14:textId="77777777">
      <w:pPr>
        <w:pStyle w:val="Default"/>
        <w:spacing w:after="160"/>
        <w:jc w:val="both"/>
        <w:rPr>
          <w:rFonts w:asciiTheme="minorHAnsi" w:hAnsiTheme="minorHAnsi" w:cstheme="minorHAnsi"/>
          <w:sz w:val="22"/>
          <w:szCs w:val="22"/>
        </w:rPr>
      </w:pPr>
      <w:r w:rsidRPr="00FD0980">
        <w:rPr>
          <w:rFonts w:asciiTheme="minorHAnsi" w:hAnsiTheme="minorHAnsi" w:cstheme="minorHAnsi"/>
          <w:sz w:val="22"/>
          <w:szCs w:val="22"/>
        </w:rPr>
        <w:t>De Europese Unie (</w:t>
      </w:r>
      <w:r w:rsidRPr="00FD0980" w:rsidR="005B6A67">
        <w:rPr>
          <w:rFonts w:asciiTheme="minorHAnsi" w:hAnsiTheme="minorHAnsi" w:cstheme="minorHAnsi"/>
          <w:sz w:val="22"/>
          <w:szCs w:val="22"/>
        </w:rPr>
        <w:t>“</w:t>
      </w:r>
      <w:r w:rsidRPr="00FD0980" w:rsidR="007365AF">
        <w:rPr>
          <w:rFonts w:asciiTheme="minorHAnsi" w:hAnsiTheme="minorHAnsi" w:cstheme="minorHAnsi"/>
          <w:sz w:val="22"/>
          <w:szCs w:val="22"/>
        </w:rPr>
        <w:t>EU</w:t>
      </w:r>
      <w:r w:rsidRPr="00FD0980" w:rsidR="005B6A67">
        <w:rPr>
          <w:rFonts w:asciiTheme="minorHAnsi" w:hAnsiTheme="minorHAnsi" w:cstheme="minorHAnsi"/>
          <w:sz w:val="22"/>
          <w:szCs w:val="22"/>
        </w:rPr>
        <w:t>”</w:t>
      </w:r>
      <w:r w:rsidRPr="00FD0980" w:rsidR="007365AF">
        <w:rPr>
          <w:rFonts w:asciiTheme="minorHAnsi" w:hAnsiTheme="minorHAnsi" w:cstheme="minorHAnsi"/>
          <w:sz w:val="22"/>
          <w:szCs w:val="22"/>
        </w:rPr>
        <w:t xml:space="preserve">) </w:t>
      </w:r>
      <w:r w:rsidRPr="00FD0980" w:rsidR="002F78AF">
        <w:rPr>
          <w:rFonts w:asciiTheme="minorHAnsi" w:hAnsiTheme="minorHAnsi" w:cstheme="minorHAnsi"/>
          <w:sz w:val="22"/>
          <w:szCs w:val="22"/>
        </w:rPr>
        <w:t xml:space="preserve">enerzijds </w:t>
      </w:r>
      <w:r w:rsidRPr="00FD0980" w:rsidR="007365AF">
        <w:rPr>
          <w:rFonts w:asciiTheme="minorHAnsi" w:hAnsiTheme="minorHAnsi" w:cstheme="minorHAnsi"/>
          <w:sz w:val="22"/>
          <w:szCs w:val="22"/>
        </w:rPr>
        <w:t>en de Latijns-Amerikaanse landen en de landen van het Caribische gebied (</w:t>
      </w:r>
      <w:r w:rsidRPr="00FD0980" w:rsidR="005B6A67">
        <w:rPr>
          <w:rFonts w:asciiTheme="minorHAnsi" w:hAnsiTheme="minorHAnsi" w:cstheme="minorHAnsi"/>
          <w:sz w:val="22"/>
          <w:szCs w:val="22"/>
        </w:rPr>
        <w:t>“</w:t>
      </w:r>
      <w:r w:rsidRPr="00FD0980" w:rsidR="007365AF">
        <w:rPr>
          <w:rFonts w:asciiTheme="minorHAnsi" w:hAnsiTheme="minorHAnsi" w:cstheme="minorHAnsi"/>
          <w:sz w:val="22"/>
          <w:szCs w:val="22"/>
        </w:rPr>
        <w:t>LAC</w:t>
      </w:r>
      <w:r w:rsidRPr="00FD0980" w:rsidR="005B6A67">
        <w:rPr>
          <w:rFonts w:asciiTheme="minorHAnsi" w:hAnsiTheme="minorHAnsi" w:cstheme="minorHAnsi"/>
          <w:sz w:val="22"/>
          <w:szCs w:val="22"/>
        </w:rPr>
        <w:t>”</w:t>
      </w:r>
      <w:r w:rsidRPr="00FD0980" w:rsidR="007365AF">
        <w:rPr>
          <w:rFonts w:asciiTheme="minorHAnsi" w:hAnsiTheme="minorHAnsi" w:cstheme="minorHAnsi"/>
          <w:sz w:val="22"/>
          <w:szCs w:val="22"/>
        </w:rPr>
        <w:t>)</w:t>
      </w:r>
      <w:r w:rsidRPr="00FD0980" w:rsidR="002F78AF">
        <w:rPr>
          <w:rFonts w:asciiTheme="minorHAnsi" w:hAnsiTheme="minorHAnsi" w:cstheme="minorHAnsi"/>
          <w:sz w:val="22"/>
          <w:szCs w:val="22"/>
        </w:rPr>
        <w:t xml:space="preserve"> anderzijds</w:t>
      </w:r>
      <w:r w:rsidRPr="00FD0980" w:rsidR="007365AF">
        <w:rPr>
          <w:rFonts w:asciiTheme="minorHAnsi" w:hAnsiTheme="minorHAnsi" w:cstheme="minorHAnsi"/>
          <w:sz w:val="22"/>
          <w:szCs w:val="22"/>
        </w:rPr>
        <w:t xml:space="preserve"> onderhouden speciale banden sinds een strategisch partnerschap tot stand </w:t>
      </w:r>
      <w:r w:rsidRPr="00FD0980" w:rsidR="005B6A67">
        <w:rPr>
          <w:rFonts w:asciiTheme="minorHAnsi" w:hAnsiTheme="minorHAnsi" w:cstheme="minorHAnsi"/>
          <w:sz w:val="22"/>
          <w:szCs w:val="22"/>
        </w:rPr>
        <w:t xml:space="preserve">is </w:t>
      </w:r>
      <w:r w:rsidRPr="00FD0980" w:rsidR="007365AF">
        <w:rPr>
          <w:rFonts w:asciiTheme="minorHAnsi" w:hAnsiTheme="minorHAnsi" w:cstheme="minorHAnsi"/>
          <w:sz w:val="22"/>
          <w:szCs w:val="22"/>
        </w:rPr>
        <w:t xml:space="preserve">gekomen op </w:t>
      </w:r>
      <w:r w:rsidR="00C07D53">
        <w:rPr>
          <w:rFonts w:asciiTheme="minorHAnsi" w:hAnsiTheme="minorHAnsi" w:cstheme="minorHAnsi"/>
          <w:sz w:val="22"/>
          <w:szCs w:val="22"/>
        </w:rPr>
        <w:t>de</w:t>
      </w:r>
      <w:r w:rsidRPr="00FD0980" w:rsidR="00C07D53">
        <w:rPr>
          <w:rFonts w:asciiTheme="minorHAnsi" w:hAnsiTheme="minorHAnsi" w:cstheme="minorHAnsi"/>
          <w:sz w:val="22"/>
          <w:szCs w:val="22"/>
        </w:rPr>
        <w:t xml:space="preserve"> </w:t>
      </w:r>
      <w:r w:rsidRPr="00FD0980" w:rsidR="007365AF">
        <w:rPr>
          <w:rFonts w:asciiTheme="minorHAnsi" w:hAnsiTheme="minorHAnsi" w:cstheme="minorHAnsi"/>
          <w:sz w:val="22"/>
          <w:szCs w:val="22"/>
        </w:rPr>
        <w:t xml:space="preserve">eerste biregionale topconferentie van hun staatshoofden en regeringsleiders in Rio de Janeiro in 1999. </w:t>
      </w:r>
    </w:p>
    <w:p w:rsidRPr="00FD0980" w:rsidR="00D17EAC" w:rsidP="00FD0980" w:rsidRDefault="003B0463" w14:paraId="419F9C70" w14:textId="77777777">
      <w:pPr>
        <w:pStyle w:val="Default"/>
        <w:spacing w:after="160"/>
        <w:jc w:val="both"/>
        <w:rPr>
          <w:rFonts w:asciiTheme="minorHAnsi" w:hAnsiTheme="minorHAnsi" w:cstheme="minorHAnsi"/>
          <w:color w:val="auto"/>
          <w:sz w:val="22"/>
          <w:szCs w:val="22"/>
        </w:rPr>
      </w:pPr>
      <w:r w:rsidRPr="00FD0980">
        <w:rPr>
          <w:rFonts w:asciiTheme="minorHAnsi" w:hAnsiTheme="minorHAnsi" w:cstheme="minorHAnsi"/>
          <w:sz w:val="22"/>
          <w:szCs w:val="22"/>
        </w:rPr>
        <w:t>In 2010 besloten de staatshoofden en regeringsleiders o</w:t>
      </w:r>
      <w:r w:rsidRPr="00FD0980" w:rsidR="007365AF">
        <w:rPr>
          <w:rFonts w:asciiTheme="minorHAnsi" w:hAnsiTheme="minorHAnsi" w:cstheme="minorHAnsi"/>
          <w:sz w:val="22"/>
          <w:szCs w:val="22"/>
        </w:rPr>
        <w:t>p de topontmoeting</w:t>
      </w:r>
      <w:r w:rsidRPr="00FD0980" w:rsidR="0095476D">
        <w:rPr>
          <w:rFonts w:asciiTheme="minorHAnsi" w:hAnsiTheme="minorHAnsi" w:cstheme="minorHAnsi"/>
          <w:sz w:val="22"/>
          <w:szCs w:val="22"/>
        </w:rPr>
        <w:t xml:space="preserve"> </w:t>
      </w:r>
      <w:r w:rsidRPr="00FD0980" w:rsidR="001A019C">
        <w:rPr>
          <w:rFonts w:asciiTheme="minorHAnsi" w:hAnsiTheme="minorHAnsi" w:cstheme="minorHAnsi"/>
          <w:sz w:val="22"/>
          <w:szCs w:val="22"/>
        </w:rPr>
        <w:t xml:space="preserve">in Madrid, </w:t>
      </w:r>
      <w:r w:rsidRPr="00FD0980" w:rsidR="00E968CD">
        <w:rPr>
          <w:rFonts w:asciiTheme="minorHAnsi" w:hAnsiTheme="minorHAnsi" w:cstheme="minorHAnsi"/>
          <w:sz w:val="22"/>
          <w:szCs w:val="22"/>
        </w:rPr>
        <w:t xml:space="preserve">tot het oprichten van </w:t>
      </w:r>
      <w:r w:rsidRPr="00FD0980" w:rsidR="007365AF">
        <w:rPr>
          <w:rFonts w:asciiTheme="minorHAnsi" w:hAnsiTheme="minorHAnsi" w:cstheme="minorHAnsi"/>
          <w:sz w:val="22"/>
          <w:szCs w:val="22"/>
        </w:rPr>
        <w:t>een</w:t>
      </w:r>
      <w:r w:rsidRPr="00FD0980" w:rsidR="00D17EAC">
        <w:rPr>
          <w:rFonts w:asciiTheme="minorHAnsi" w:hAnsiTheme="minorHAnsi" w:cstheme="minorHAnsi"/>
          <w:sz w:val="22"/>
          <w:szCs w:val="22"/>
        </w:rPr>
        <w:t xml:space="preserve"> EU-LAC-Stichting. </w:t>
      </w:r>
      <w:r w:rsidRPr="00FD0980" w:rsidR="007365AF">
        <w:rPr>
          <w:rFonts w:asciiTheme="minorHAnsi" w:hAnsiTheme="minorHAnsi" w:cstheme="minorHAnsi"/>
          <w:sz w:val="22"/>
          <w:szCs w:val="22"/>
        </w:rPr>
        <w:t xml:space="preserve">De EU-LAC-Stichting </w:t>
      </w:r>
      <w:r w:rsidR="006E551F">
        <w:rPr>
          <w:rFonts w:asciiTheme="minorHAnsi" w:hAnsiTheme="minorHAnsi" w:cstheme="minorHAnsi"/>
          <w:sz w:val="22"/>
          <w:szCs w:val="22"/>
        </w:rPr>
        <w:t>werd</w:t>
      </w:r>
      <w:r w:rsidRPr="00FD0980" w:rsidR="006E551F">
        <w:rPr>
          <w:rFonts w:asciiTheme="minorHAnsi" w:hAnsiTheme="minorHAnsi" w:cstheme="minorHAnsi"/>
          <w:sz w:val="22"/>
          <w:szCs w:val="22"/>
        </w:rPr>
        <w:t xml:space="preserve"> </w:t>
      </w:r>
      <w:r w:rsidRPr="00FD0980" w:rsidR="007365AF">
        <w:rPr>
          <w:rFonts w:asciiTheme="minorHAnsi" w:hAnsiTheme="minorHAnsi" w:cstheme="minorHAnsi"/>
          <w:sz w:val="22"/>
          <w:szCs w:val="22"/>
        </w:rPr>
        <w:t>opgezet als een instrument om de biregionale betrekkingen tussen de EU en LAC</w:t>
      </w:r>
      <w:r w:rsidRPr="00FD0980" w:rsidR="00F4362E">
        <w:rPr>
          <w:rFonts w:asciiTheme="minorHAnsi" w:hAnsiTheme="minorHAnsi" w:cstheme="minorHAnsi"/>
          <w:sz w:val="22"/>
          <w:szCs w:val="22"/>
        </w:rPr>
        <w:t xml:space="preserve"> </w:t>
      </w:r>
      <w:r w:rsidRPr="00FD0980" w:rsidR="009F4D49">
        <w:rPr>
          <w:rFonts w:asciiTheme="minorHAnsi" w:hAnsiTheme="minorHAnsi" w:cstheme="minorHAnsi"/>
          <w:sz w:val="22"/>
          <w:szCs w:val="22"/>
        </w:rPr>
        <w:t xml:space="preserve">te versterken. De stichting </w:t>
      </w:r>
      <w:r w:rsidRPr="00FD0980" w:rsidR="00E968CD">
        <w:rPr>
          <w:rFonts w:asciiTheme="minorHAnsi" w:hAnsiTheme="minorHAnsi" w:cstheme="minorHAnsi"/>
          <w:sz w:val="22"/>
          <w:szCs w:val="22"/>
        </w:rPr>
        <w:t>werd in 2010</w:t>
      </w:r>
      <w:r w:rsidRPr="00FD0980" w:rsidR="00F4362E">
        <w:rPr>
          <w:rFonts w:asciiTheme="minorHAnsi" w:hAnsiTheme="minorHAnsi" w:cstheme="minorHAnsi"/>
          <w:sz w:val="22"/>
          <w:szCs w:val="22"/>
        </w:rPr>
        <w:t xml:space="preserve"> </w:t>
      </w:r>
      <w:r w:rsidRPr="00FD0980" w:rsidR="00C07D53">
        <w:rPr>
          <w:rFonts w:asciiTheme="minorHAnsi" w:hAnsiTheme="minorHAnsi" w:cstheme="minorHAnsi"/>
          <w:sz w:val="22"/>
          <w:szCs w:val="22"/>
        </w:rPr>
        <w:t xml:space="preserve">voorlopig </w:t>
      </w:r>
      <w:r w:rsidRPr="00FD0980" w:rsidR="00F4362E">
        <w:rPr>
          <w:rFonts w:asciiTheme="minorHAnsi" w:hAnsiTheme="minorHAnsi" w:cstheme="minorHAnsi"/>
          <w:sz w:val="22"/>
          <w:szCs w:val="22"/>
        </w:rPr>
        <w:t xml:space="preserve">opgericht in afwachting van het besluit tot </w:t>
      </w:r>
      <w:r w:rsidR="00C07D53">
        <w:rPr>
          <w:rFonts w:asciiTheme="minorHAnsi" w:hAnsiTheme="minorHAnsi" w:cstheme="minorHAnsi"/>
          <w:sz w:val="22"/>
          <w:szCs w:val="22"/>
        </w:rPr>
        <w:t xml:space="preserve">permanente </w:t>
      </w:r>
      <w:r w:rsidRPr="00FD0980" w:rsidR="00F4362E">
        <w:rPr>
          <w:rFonts w:asciiTheme="minorHAnsi" w:hAnsiTheme="minorHAnsi" w:cstheme="minorHAnsi"/>
          <w:sz w:val="22"/>
          <w:szCs w:val="22"/>
        </w:rPr>
        <w:t>opricht</w:t>
      </w:r>
      <w:r w:rsidR="00C07D53">
        <w:rPr>
          <w:rFonts w:asciiTheme="minorHAnsi" w:hAnsiTheme="minorHAnsi" w:cstheme="minorHAnsi"/>
          <w:sz w:val="22"/>
          <w:szCs w:val="22"/>
        </w:rPr>
        <w:t>ing</w:t>
      </w:r>
      <w:r w:rsidRPr="00FD0980" w:rsidR="00F4362E">
        <w:rPr>
          <w:rFonts w:asciiTheme="minorHAnsi" w:hAnsiTheme="minorHAnsi" w:cstheme="minorHAnsi"/>
          <w:sz w:val="22"/>
          <w:szCs w:val="22"/>
        </w:rPr>
        <w:t xml:space="preserve"> van </w:t>
      </w:r>
      <w:r w:rsidRPr="00FD0980" w:rsidR="00D17EAC">
        <w:rPr>
          <w:rFonts w:asciiTheme="minorHAnsi" w:hAnsiTheme="minorHAnsi" w:cstheme="minorHAnsi"/>
          <w:color w:val="auto"/>
          <w:sz w:val="22"/>
          <w:szCs w:val="22"/>
        </w:rPr>
        <w:t>een internationale organisatie.</w:t>
      </w:r>
    </w:p>
    <w:p w:rsidRPr="00FD0980" w:rsidR="00652180" w:rsidP="00FD0980" w:rsidRDefault="00652180" w14:paraId="23414C48" w14:textId="77777777">
      <w:pPr>
        <w:pStyle w:val="Default"/>
        <w:spacing w:after="160"/>
        <w:jc w:val="both"/>
        <w:rPr>
          <w:rFonts w:asciiTheme="minorHAnsi" w:hAnsiTheme="minorHAnsi" w:cstheme="minorHAnsi"/>
          <w:sz w:val="22"/>
          <w:szCs w:val="22"/>
        </w:rPr>
      </w:pPr>
      <w:r w:rsidRPr="00FD0980">
        <w:rPr>
          <w:rFonts w:asciiTheme="minorHAnsi" w:hAnsiTheme="minorHAnsi" w:cstheme="minorHAnsi"/>
          <w:sz w:val="22"/>
          <w:szCs w:val="22"/>
        </w:rPr>
        <w:t xml:space="preserve">Met ingang van 2012 </w:t>
      </w:r>
      <w:r w:rsidR="006E551F">
        <w:rPr>
          <w:rFonts w:asciiTheme="minorHAnsi" w:hAnsiTheme="minorHAnsi" w:cstheme="minorHAnsi"/>
          <w:sz w:val="22"/>
          <w:szCs w:val="22"/>
        </w:rPr>
        <w:t>werd</w:t>
      </w:r>
      <w:r w:rsidRPr="00FD0980" w:rsidR="006E551F">
        <w:rPr>
          <w:rFonts w:asciiTheme="minorHAnsi" w:hAnsiTheme="minorHAnsi" w:cstheme="minorHAnsi"/>
          <w:sz w:val="22"/>
          <w:szCs w:val="22"/>
        </w:rPr>
        <w:t xml:space="preserve"> </w:t>
      </w:r>
      <w:r w:rsidRPr="00FD0980">
        <w:rPr>
          <w:rFonts w:asciiTheme="minorHAnsi" w:hAnsiTheme="minorHAnsi" w:cstheme="minorHAnsi"/>
          <w:sz w:val="22"/>
          <w:szCs w:val="22"/>
        </w:rPr>
        <w:t>de Gemeenschap van Latijns-Amerikaanse en Caribische Staten (</w:t>
      </w:r>
      <w:r w:rsidRPr="00FD0980" w:rsidR="00277D39">
        <w:rPr>
          <w:rFonts w:asciiTheme="minorHAnsi" w:hAnsiTheme="minorHAnsi" w:cstheme="minorHAnsi"/>
          <w:sz w:val="22"/>
          <w:szCs w:val="22"/>
        </w:rPr>
        <w:t>CELAC</w:t>
      </w:r>
      <w:r w:rsidRPr="00FD0980">
        <w:rPr>
          <w:rFonts w:asciiTheme="minorHAnsi" w:hAnsiTheme="minorHAnsi" w:cstheme="minorHAnsi"/>
          <w:sz w:val="22"/>
          <w:szCs w:val="22"/>
        </w:rPr>
        <w:t>) de tegenhanger van de EU voor biregionale topontmoetingen en het strategisch partnerschap.</w:t>
      </w:r>
      <w:r w:rsidR="00DA6A0E">
        <w:rPr>
          <w:rFonts w:asciiTheme="minorHAnsi" w:hAnsiTheme="minorHAnsi" w:cstheme="minorHAnsi"/>
          <w:sz w:val="22"/>
          <w:szCs w:val="22"/>
        </w:rPr>
        <w:t xml:space="preserve"> </w:t>
      </w:r>
      <w:r w:rsidRPr="00FD0980">
        <w:rPr>
          <w:rFonts w:asciiTheme="minorHAnsi" w:hAnsiTheme="minorHAnsi" w:cstheme="minorHAnsi"/>
          <w:sz w:val="22"/>
          <w:szCs w:val="22"/>
        </w:rPr>
        <w:t xml:space="preserve">De opvolgende </w:t>
      </w:r>
      <w:r w:rsidRPr="00FD0980" w:rsidR="000A32A9">
        <w:rPr>
          <w:rFonts w:asciiTheme="minorHAnsi" w:hAnsiTheme="minorHAnsi" w:cstheme="minorHAnsi"/>
          <w:sz w:val="22"/>
          <w:szCs w:val="22"/>
        </w:rPr>
        <w:t>EU-</w:t>
      </w:r>
      <w:r w:rsidRPr="00FD0980" w:rsidR="00277D39">
        <w:rPr>
          <w:rFonts w:asciiTheme="minorHAnsi" w:hAnsiTheme="minorHAnsi" w:cstheme="minorHAnsi"/>
          <w:sz w:val="22"/>
          <w:szCs w:val="22"/>
        </w:rPr>
        <w:t xml:space="preserve">CELAC </w:t>
      </w:r>
      <w:r w:rsidRPr="00FD0980">
        <w:rPr>
          <w:rFonts w:asciiTheme="minorHAnsi" w:hAnsiTheme="minorHAnsi" w:cstheme="minorHAnsi"/>
          <w:sz w:val="22"/>
          <w:szCs w:val="22"/>
        </w:rPr>
        <w:t xml:space="preserve">topontmoetingen </w:t>
      </w:r>
      <w:r w:rsidR="006E551F">
        <w:rPr>
          <w:rFonts w:asciiTheme="minorHAnsi" w:hAnsiTheme="minorHAnsi" w:cstheme="minorHAnsi"/>
          <w:sz w:val="22"/>
          <w:szCs w:val="22"/>
        </w:rPr>
        <w:t>resulteerden</w:t>
      </w:r>
      <w:r w:rsidRPr="00FD0980">
        <w:rPr>
          <w:rFonts w:asciiTheme="minorHAnsi" w:hAnsiTheme="minorHAnsi" w:cstheme="minorHAnsi"/>
          <w:sz w:val="22"/>
          <w:szCs w:val="22"/>
        </w:rPr>
        <w:t xml:space="preserve"> in een gestage intensivering van de politieke dialoog en vooruitgang bij de gezamenlijke aanpak van een brede waaier van vraagstukken, met inbegrip van klimaatverandering, migratie, drugsbestrijding, de bevordering van mensenrechten en gendergelijkheid, onderwijs en culturele aangelegenhede</w:t>
      </w:r>
      <w:r w:rsidRPr="00FD0980" w:rsidR="00FB2FA8">
        <w:rPr>
          <w:rFonts w:asciiTheme="minorHAnsi" w:hAnsiTheme="minorHAnsi" w:cstheme="minorHAnsi"/>
          <w:sz w:val="22"/>
          <w:szCs w:val="22"/>
        </w:rPr>
        <w:t xml:space="preserve">n, en wetenschap en technologie. </w:t>
      </w:r>
    </w:p>
    <w:p w:rsidRPr="00FD0980" w:rsidR="006E551F" w:rsidP="006E551F" w:rsidRDefault="006E551F" w14:paraId="1B182699" w14:textId="77777777">
      <w:pPr>
        <w:pStyle w:val="Default"/>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 xml:space="preserve">Op de tweede EU-CELAC topconferentie, die plaatsvond in Brussel in 2015, </w:t>
      </w:r>
      <w:r>
        <w:rPr>
          <w:rFonts w:asciiTheme="minorHAnsi" w:hAnsiTheme="minorHAnsi" w:cstheme="minorHAnsi"/>
          <w:color w:val="auto"/>
          <w:sz w:val="22"/>
          <w:szCs w:val="22"/>
        </w:rPr>
        <w:t>werd</w:t>
      </w:r>
      <w:r w:rsidRPr="00FD0980">
        <w:rPr>
          <w:rFonts w:asciiTheme="minorHAnsi" w:hAnsiTheme="minorHAnsi" w:cstheme="minorHAnsi"/>
          <w:color w:val="auto"/>
          <w:sz w:val="22"/>
          <w:szCs w:val="22"/>
        </w:rPr>
        <w:t xml:space="preserve"> besloten tot oprichting van de </w:t>
      </w:r>
      <w:r w:rsidRPr="00FD0980">
        <w:rPr>
          <w:rFonts w:asciiTheme="minorHAnsi" w:hAnsiTheme="minorHAnsi" w:cstheme="minorHAnsi"/>
          <w:color w:val="auto"/>
          <w:sz w:val="22"/>
          <w:szCs w:val="22"/>
          <w:u w:val="single"/>
        </w:rPr>
        <w:t xml:space="preserve">internationale </w:t>
      </w:r>
      <w:r w:rsidRPr="00FD0980">
        <w:rPr>
          <w:rFonts w:asciiTheme="minorHAnsi" w:hAnsiTheme="minorHAnsi" w:cstheme="minorHAnsi"/>
          <w:color w:val="auto"/>
          <w:sz w:val="22"/>
          <w:szCs w:val="22"/>
        </w:rPr>
        <w:t>EU-LAC-Stichting (hierna ook te noemen “de Stichting”)</w:t>
      </w:r>
      <w:r>
        <w:rPr>
          <w:rFonts w:asciiTheme="minorHAnsi" w:hAnsiTheme="minorHAnsi" w:cstheme="minorHAnsi"/>
          <w:color w:val="auto"/>
          <w:sz w:val="22"/>
          <w:szCs w:val="22"/>
        </w:rPr>
        <w:t>. Na af</w:t>
      </w:r>
      <w:r w:rsidR="00DA6A0E">
        <w:rPr>
          <w:rFonts w:asciiTheme="minorHAnsi" w:hAnsiTheme="minorHAnsi" w:cstheme="minorHAnsi"/>
          <w:color w:val="auto"/>
          <w:sz w:val="22"/>
          <w:szCs w:val="22"/>
        </w:rPr>
        <w:t>ronding van de onderhandelingen werd b</w:t>
      </w:r>
      <w:r>
        <w:rPr>
          <w:rFonts w:asciiTheme="minorHAnsi" w:hAnsiTheme="minorHAnsi" w:cstheme="minorHAnsi"/>
          <w:color w:val="auto"/>
          <w:sz w:val="22"/>
          <w:szCs w:val="22"/>
        </w:rPr>
        <w:t xml:space="preserve">ij Besluit 2016/1873 van </w:t>
      </w:r>
      <w:r w:rsidR="00DA6A0E">
        <w:rPr>
          <w:rFonts w:asciiTheme="minorHAnsi" w:hAnsiTheme="minorHAnsi" w:cstheme="minorHAnsi"/>
          <w:color w:val="auto"/>
          <w:sz w:val="22"/>
          <w:szCs w:val="22"/>
        </w:rPr>
        <w:t xml:space="preserve">de Raad van </w:t>
      </w:r>
      <w:r>
        <w:rPr>
          <w:rFonts w:asciiTheme="minorHAnsi" w:hAnsiTheme="minorHAnsi" w:cstheme="minorHAnsi"/>
          <w:color w:val="auto"/>
          <w:sz w:val="22"/>
          <w:szCs w:val="22"/>
        </w:rPr>
        <w:t xml:space="preserve">10 oktober 2016 </w:t>
      </w:r>
      <w:r w:rsidR="00DA6A0E">
        <w:rPr>
          <w:rFonts w:asciiTheme="minorHAnsi" w:hAnsiTheme="minorHAnsi" w:cstheme="minorHAnsi"/>
          <w:color w:val="auto"/>
          <w:sz w:val="22"/>
          <w:szCs w:val="22"/>
        </w:rPr>
        <w:t xml:space="preserve">besloten </w:t>
      </w:r>
      <w:r>
        <w:rPr>
          <w:rFonts w:asciiTheme="minorHAnsi" w:hAnsiTheme="minorHAnsi" w:cstheme="minorHAnsi"/>
          <w:color w:val="auto"/>
          <w:sz w:val="22"/>
          <w:szCs w:val="22"/>
        </w:rPr>
        <w:t xml:space="preserve">tot ondertekening van de Overeenkomst </w:t>
      </w:r>
      <w:r w:rsidRPr="00FD0980">
        <w:rPr>
          <w:rFonts w:asciiTheme="minorHAnsi" w:hAnsiTheme="minorHAnsi" w:cstheme="minorHAnsi"/>
          <w:sz w:val="22"/>
          <w:szCs w:val="22"/>
        </w:rPr>
        <w:t>tot oprichting van de internationale EU-LAC-Stichting (</w:t>
      </w:r>
      <w:r w:rsidRPr="006E551F">
        <w:rPr>
          <w:rFonts w:asciiTheme="minorHAnsi" w:hAnsiTheme="minorHAnsi" w:cstheme="minorHAnsi"/>
          <w:i/>
          <w:color w:val="auto"/>
          <w:sz w:val="22"/>
          <w:szCs w:val="22"/>
        </w:rPr>
        <w:t>PbEU</w:t>
      </w:r>
      <w:r>
        <w:rPr>
          <w:rFonts w:asciiTheme="minorHAnsi" w:hAnsiTheme="minorHAnsi" w:cstheme="minorHAnsi"/>
          <w:color w:val="auto"/>
          <w:sz w:val="22"/>
          <w:szCs w:val="22"/>
        </w:rPr>
        <w:t xml:space="preserve"> 2016, L 288; </w:t>
      </w:r>
      <w:r>
        <w:rPr>
          <w:rFonts w:asciiTheme="minorHAnsi" w:hAnsiTheme="minorHAnsi" w:cstheme="minorHAnsi"/>
          <w:sz w:val="22"/>
          <w:szCs w:val="22"/>
        </w:rPr>
        <w:t>hierna “de Overeenkomst”</w:t>
      </w:r>
      <w:r>
        <w:rPr>
          <w:rFonts w:asciiTheme="minorHAnsi" w:hAnsiTheme="minorHAnsi" w:cstheme="minorHAnsi"/>
          <w:color w:val="auto"/>
          <w:sz w:val="22"/>
          <w:szCs w:val="22"/>
        </w:rPr>
        <w:t xml:space="preserve">). </w:t>
      </w:r>
      <w:r w:rsidRPr="00FD0980">
        <w:rPr>
          <w:rFonts w:asciiTheme="minorHAnsi" w:hAnsiTheme="minorHAnsi" w:cstheme="minorHAnsi"/>
          <w:sz w:val="22"/>
          <w:szCs w:val="22"/>
        </w:rPr>
        <w:t xml:space="preserve">Op 25 oktober 2016 werd </w:t>
      </w:r>
      <w:r w:rsidR="00DA6A0E">
        <w:rPr>
          <w:rFonts w:asciiTheme="minorHAnsi" w:hAnsiTheme="minorHAnsi" w:cstheme="minorHAnsi"/>
          <w:sz w:val="22"/>
          <w:szCs w:val="22"/>
        </w:rPr>
        <w:t xml:space="preserve">vervolgens </w:t>
      </w:r>
      <w:r w:rsidRPr="00FD0980">
        <w:rPr>
          <w:rFonts w:asciiTheme="minorHAnsi" w:hAnsiTheme="minorHAnsi" w:cstheme="minorHAnsi"/>
          <w:sz w:val="22"/>
          <w:szCs w:val="22"/>
        </w:rPr>
        <w:t>te Santo Domingo de Overeenkomst tot stand gebracht</w:t>
      </w:r>
      <w:r>
        <w:rPr>
          <w:rFonts w:asciiTheme="minorHAnsi" w:hAnsiTheme="minorHAnsi" w:cstheme="minorHAnsi"/>
          <w:sz w:val="22"/>
          <w:szCs w:val="22"/>
        </w:rPr>
        <w:t xml:space="preserve"> (</w:t>
      </w:r>
      <w:r w:rsidRPr="00FD0980">
        <w:rPr>
          <w:rFonts w:asciiTheme="minorHAnsi" w:hAnsiTheme="minorHAnsi" w:cstheme="minorHAnsi"/>
          <w:i/>
          <w:sz w:val="22"/>
          <w:szCs w:val="22"/>
        </w:rPr>
        <w:t>Trb</w:t>
      </w:r>
      <w:r w:rsidRPr="00FD0980">
        <w:rPr>
          <w:rFonts w:asciiTheme="minorHAnsi" w:hAnsiTheme="minorHAnsi" w:cstheme="minorHAnsi"/>
          <w:sz w:val="22"/>
          <w:szCs w:val="22"/>
        </w:rPr>
        <w:t>. 2017, 15 heruitgave</w:t>
      </w:r>
      <w:r>
        <w:rPr>
          <w:rFonts w:asciiTheme="minorHAnsi" w:hAnsiTheme="minorHAnsi" w:cstheme="minorHAnsi"/>
          <w:sz w:val="22"/>
          <w:szCs w:val="22"/>
        </w:rPr>
        <w:t>)</w:t>
      </w:r>
      <w:r w:rsidRPr="00FD0980">
        <w:rPr>
          <w:rFonts w:asciiTheme="minorHAnsi" w:hAnsiTheme="minorHAnsi" w:cstheme="minorHAnsi"/>
          <w:sz w:val="22"/>
          <w:szCs w:val="22"/>
        </w:rPr>
        <w:t xml:space="preserve">. </w:t>
      </w:r>
      <w:r>
        <w:rPr>
          <w:rFonts w:asciiTheme="minorHAnsi" w:hAnsiTheme="minorHAnsi" w:cstheme="minorHAnsi"/>
          <w:sz w:val="22"/>
          <w:szCs w:val="22"/>
        </w:rPr>
        <w:t>De Overeenkomst</w:t>
      </w:r>
      <w:r w:rsidRPr="00FD0980">
        <w:rPr>
          <w:rFonts w:asciiTheme="minorHAnsi" w:hAnsiTheme="minorHAnsi" w:cstheme="minorHAnsi"/>
          <w:sz w:val="22"/>
          <w:szCs w:val="22"/>
        </w:rPr>
        <w:t xml:space="preserve"> </w:t>
      </w:r>
      <w:r w:rsidR="00DA6A0E">
        <w:rPr>
          <w:rFonts w:asciiTheme="minorHAnsi" w:hAnsiTheme="minorHAnsi" w:cstheme="minorHAnsi"/>
          <w:sz w:val="22"/>
          <w:szCs w:val="22"/>
        </w:rPr>
        <w:t>is</w:t>
      </w:r>
      <w:r w:rsidRPr="00FD0980">
        <w:rPr>
          <w:rFonts w:asciiTheme="minorHAnsi" w:hAnsiTheme="minorHAnsi" w:cstheme="minorHAnsi"/>
          <w:sz w:val="22"/>
          <w:szCs w:val="22"/>
        </w:rPr>
        <w:t xml:space="preserve"> ondertekend door de EU, de EU-lidstaten en 33 LAC-staten.</w:t>
      </w:r>
      <w:r>
        <w:rPr>
          <w:rFonts w:asciiTheme="minorHAnsi" w:hAnsiTheme="minorHAnsi" w:cstheme="minorHAnsi"/>
          <w:color w:val="auto"/>
          <w:sz w:val="22"/>
          <w:szCs w:val="22"/>
        </w:rPr>
        <w:t xml:space="preserve"> </w:t>
      </w:r>
    </w:p>
    <w:p w:rsidRPr="00FD0980" w:rsidR="0057107B" w:rsidP="00FD0980" w:rsidRDefault="004851A2" w14:paraId="088D7727" w14:textId="77777777">
      <w:pPr>
        <w:pStyle w:val="Default"/>
        <w:numPr>
          <w:ilvl w:val="0"/>
          <w:numId w:val="14"/>
        </w:numPr>
        <w:spacing w:after="160"/>
        <w:jc w:val="both"/>
        <w:rPr>
          <w:rFonts w:asciiTheme="minorHAnsi" w:hAnsiTheme="minorHAnsi" w:cstheme="minorHAnsi"/>
          <w:b/>
          <w:color w:val="auto"/>
          <w:sz w:val="22"/>
          <w:szCs w:val="22"/>
        </w:rPr>
      </w:pPr>
      <w:r w:rsidRPr="00FD0980">
        <w:rPr>
          <w:rFonts w:asciiTheme="minorHAnsi" w:hAnsiTheme="minorHAnsi" w:cstheme="minorHAnsi"/>
          <w:b/>
          <w:color w:val="auto"/>
          <w:sz w:val="22"/>
          <w:szCs w:val="22"/>
        </w:rPr>
        <w:t xml:space="preserve">Doel van </w:t>
      </w:r>
      <w:r w:rsidRPr="00FD0980" w:rsidR="00E968CD">
        <w:rPr>
          <w:rFonts w:asciiTheme="minorHAnsi" w:hAnsiTheme="minorHAnsi" w:cstheme="minorHAnsi"/>
          <w:b/>
          <w:color w:val="auto"/>
          <w:sz w:val="22"/>
          <w:szCs w:val="22"/>
        </w:rPr>
        <w:t>de Overeenkomst</w:t>
      </w:r>
    </w:p>
    <w:p w:rsidRPr="00FD0980" w:rsidR="00C623A9" w:rsidP="00FD0980" w:rsidRDefault="00EF6B03" w14:paraId="3620D628" w14:textId="77777777">
      <w:pPr>
        <w:pStyle w:val="Default"/>
        <w:spacing w:after="160"/>
        <w:jc w:val="both"/>
        <w:rPr>
          <w:rFonts w:asciiTheme="minorHAnsi" w:hAnsiTheme="minorHAnsi" w:cstheme="minorHAnsi"/>
          <w:sz w:val="22"/>
          <w:szCs w:val="22"/>
        </w:rPr>
      </w:pPr>
      <w:r w:rsidRPr="00FD0980">
        <w:rPr>
          <w:rFonts w:asciiTheme="minorHAnsi" w:hAnsiTheme="minorHAnsi" w:cstheme="minorHAnsi"/>
          <w:sz w:val="22"/>
          <w:szCs w:val="22"/>
        </w:rPr>
        <w:t xml:space="preserve">De </w:t>
      </w:r>
      <w:r w:rsidRPr="00FD0980" w:rsidR="007232D5">
        <w:rPr>
          <w:rFonts w:asciiTheme="minorHAnsi" w:hAnsiTheme="minorHAnsi" w:cstheme="minorHAnsi"/>
          <w:sz w:val="22"/>
          <w:szCs w:val="22"/>
        </w:rPr>
        <w:t>voorlopige</w:t>
      </w:r>
      <w:r w:rsidRPr="00FD0980" w:rsidR="002F78AF">
        <w:rPr>
          <w:rFonts w:asciiTheme="minorHAnsi" w:hAnsiTheme="minorHAnsi" w:cstheme="minorHAnsi"/>
          <w:sz w:val="22"/>
          <w:szCs w:val="22"/>
        </w:rPr>
        <w:t xml:space="preserve"> </w:t>
      </w:r>
      <w:r w:rsidRPr="00FD0980" w:rsidR="00ED494C">
        <w:rPr>
          <w:rFonts w:asciiTheme="minorHAnsi" w:hAnsiTheme="minorHAnsi" w:cstheme="minorHAnsi"/>
          <w:sz w:val="22"/>
          <w:szCs w:val="22"/>
        </w:rPr>
        <w:t>EU-LAC-</w:t>
      </w:r>
      <w:r w:rsidRPr="00FD0980" w:rsidR="00A31FED">
        <w:rPr>
          <w:rFonts w:asciiTheme="minorHAnsi" w:hAnsiTheme="minorHAnsi" w:cstheme="minorHAnsi"/>
          <w:sz w:val="22"/>
          <w:szCs w:val="22"/>
        </w:rPr>
        <w:t>S</w:t>
      </w:r>
      <w:r w:rsidRPr="00FD0980">
        <w:rPr>
          <w:rFonts w:asciiTheme="minorHAnsi" w:hAnsiTheme="minorHAnsi" w:cstheme="minorHAnsi"/>
          <w:sz w:val="22"/>
          <w:szCs w:val="22"/>
        </w:rPr>
        <w:t>t</w:t>
      </w:r>
      <w:r w:rsidRPr="00FD0980" w:rsidR="00C623A9">
        <w:rPr>
          <w:rFonts w:asciiTheme="minorHAnsi" w:hAnsiTheme="minorHAnsi" w:cstheme="minorHAnsi"/>
          <w:sz w:val="22"/>
          <w:szCs w:val="22"/>
        </w:rPr>
        <w:t>i</w:t>
      </w:r>
      <w:r w:rsidRPr="00FD0980">
        <w:rPr>
          <w:rFonts w:asciiTheme="minorHAnsi" w:hAnsiTheme="minorHAnsi" w:cstheme="minorHAnsi"/>
          <w:sz w:val="22"/>
          <w:szCs w:val="22"/>
        </w:rPr>
        <w:t>c</w:t>
      </w:r>
      <w:r w:rsidRPr="00FD0980" w:rsidR="00C623A9">
        <w:rPr>
          <w:rFonts w:asciiTheme="minorHAnsi" w:hAnsiTheme="minorHAnsi" w:cstheme="minorHAnsi"/>
          <w:sz w:val="22"/>
          <w:szCs w:val="22"/>
        </w:rPr>
        <w:t>hting is opgericht naar Duits burgerlijk recht</w:t>
      </w:r>
      <w:r w:rsidRPr="00FD0980">
        <w:rPr>
          <w:rFonts w:asciiTheme="minorHAnsi" w:hAnsiTheme="minorHAnsi" w:cstheme="minorHAnsi"/>
          <w:sz w:val="22"/>
          <w:szCs w:val="22"/>
        </w:rPr>
        <w:t>.</w:t>
      </w:r>
      <w:r w:rsidRPr="00FD0980" w:rsidR="00C623A9">
        <w:rPr>
          <w:rFonts w:asciiTheme="minorHAnsi" w:hAnsiTheme="minorHAnsi" w:cstheme="minorHAnsi"/>
          <w:sz w:val="22"/>
          <w:szCs w:val="22"/>
        </w:rPr>
        <w:t xml:space="preserve"> Door de </w:t>
      </w:r>
      <w:r w:rsidRPr="00FD0980" w:rsidR="00ED494C">
        <w:rPr>
          <w:rFonts w:asciiTheme="minorHAnsi" w:hAnsiTheme="minorHAnsi" w:cstheme="minorHAnsi"/>
          <w:sz w:val="22"/>
          <w:szCs w:val="22"/>
        </w:rPr>
        <w:t>EU-LAC-</w:t>
      </w:r>
      <w:r w:rsidRPr="00FD0980" w:rsidR="00DA7E3A">
        <w:rPr>
          <w:rFonts w:asciiTheme="minorHAnsi" w:hAnsiTheme="minorHAnsi" w:cstheme="minorHAnsi"/>
          <w:sz w:val="22"/>
          <w:szCs w:val="22"/>
        </w:rPr>
        <w:t xml:space="preserve">Stichting </w:t>
      </w:r>
      <w:r w:rsidRPr="00FD0980" w:rsidR="00C623A9">
        <w:rPr>
          <w:rFonts w:asciiTheme="minorHAnsi" w:hAnsiTheme="minorHAnsi" w:cstheme="minorHAnsi"/>
          <w:sz w:val="22"/>
          <w:szCs w:val="22"/>
        </w:rPr>
        <w:t xml:space="preserve">om te vormen tot een internationale organisatie zal zij </w:t>
      </w:r>
      <w:r w:rsidRPr="00FD0980" w:rsidR="008F42EC">
        <w:rPr>
          <w:rFonts w:asciiTheme="minorHAnsi" w:hAnsiTheme="minorHAnsi" w:cstheme="minorHAnsi"/>
          <w:sz w:val="22"/>
          <w:szCs w:val="22"/>
        </w:rPr>
        <w:t xml:space="preserve">eenvoudiger </w:t>
      </w:r>
      <w:r w:rsidRPr="00FD0980" w:rsidR="00C623A9">
        <w:rPr>
          <w:rFonts w:asciiTheme="minorHAnsi" w:hAnsiTheme="minorHAnsi" w:cstheme="minorHAnsi"/>
          <w:sz w:val="22"/>
          <w:szCs w:val="22"/>
        </w:rPr>
        <w:t>een beroep kunnen doen op fi</w:t>
      </w:r>
      <w:r w:rsidRPr="00FD0980" w:rsidR="00EE6C9C">
        <w:rPr>
          <w:rFonts w:asciiTheme="minorHAnsi" w:hAnsiTheme="minorHAnsi" w:cstheme="minorHAnsi"/>
          <w:sz w:val="22"/>
          <w:szCs w:val="22"/>
        </w:rPr>
        <w:t xml:space="preserve">nanciering door </w:t>
      </w:r>
      <w:r w:rsidRPr="00FD0980" w:rsidR="00E968CD">
        <w:rPr>
          <w:rFonts w:asciiTheme="minorHAnsi" w:hAnsiTheme="minorHAnsi" w:cstheme="minorHAnsi"/>
          <w:sz w:val="22"/>
          <w:szCs w:val="22"/>
        </w:rPr>
        <w:t>de staten die partij zijn bij de Overeenkomst</w:t>
      </w:r>
      <w:r w:rsidRPr="00FD0980" w:rsidR="00EE6C9C">
        <w:rPr>
          <w:rFonts w:asciiTheme="minorHAnsi" w:hAnsiTheme="minorHAnsi" w:cstheme="minorHAnsi"/>
          <w:sz w:val="22"/>
          <w:szCs w:val="22"/>
        </w:rPr>
        <w:t xml:space="preserve">. </w:t>
      </w:r>
      <w:r w:rsidRPr="00FD0980" w:rsidR="00C623A9">
        <w:rPr>
          <w:rFonts w:asciiTheme="minorHAnsi" w:hAnsiTheme="minorHAnsi" w:cstheme="minorHAnsi"/>
          <w:sz w:val="22"/>
          <w:szCs w:val="22"/>
        </w:rPr>
        <w:t xml:space="preserve">Door te beschikken over de status van een internationale organisatie zal de </w:t>
      </w:r>
      <w:r w:rsidRPr="00FD0980" w:rsidR="00DA7E3A">
        <w:rPr>
          <w:rFonts w:asciiTheme="minorHAnsi" w:hAnsiTheme="minorHAnsi" w:cstheme="minorHAnsi"/>
          <w:sz w:val="22"/>
          <w:szCs w:val="22"/>
        </w:rPr>
        <w:t>EU</w:t>
      </w:r>
      <w:r w:rsidRPr="00FD0980" w:rsidR="00ED494C">
        <w:rPr>
          <w:rFonts w:asciiTheme="minorHAnsi" w:hAnsiTheme="minorHAnsi" w:cstheme="minorHAnsi"/>
          <w:sz w:val="22"/>
          <w:szCs w:val="22"/>
        </w:rPr>
        <w:t>-LAC-</w:t>
      </w:r>
      <w:r w:rsidRPr="00FD0980" w:rsidR="00DA7E3A">
        <w:rPr>
          <w:rFonts w:asciiTheme="minorHAnsi" w:hAnsiTheme="minorHAnsi" w:cstheme="minorHAnsi"/>
          <w:sz w:val="22"/>
          <w:szCs w:val="22"/>
        </w:rPr>
        <w:t>Stichting</w:t>
      </w:r>
      <w:r w:rsidRPr="00FD0980" w:rsidR="00C623A9">
        <w:rPr>
          <w:rFonts w:asciiTheme="minorHAnsi" w:hAnsiTheme="minorHAnsi" w:cstheme="minorHAnsi"/>
          <w:sz w:val="22"/>
          <w:szCs w:val="22"/>
        </w:rPr>
        <w:t xml:space="preserve"> ook bepaalde kosten kunnen verminderen, </w:t>
      </w:r>
      <w:r w:rsidRPr="00FD0980" w:rsidR="005B6A67">
        <w:rPr>
          <w:rFonts w:asciiTheme="minorHAnsi" w:hAnsiTheme="minorHAnsi" w:cstheme="minorHAnsi"/>
          <w:sz w:val="22"/>
          <w:szCs w:val="22"/>
        </w:rPr>
        <w:t xml:space="preserve">kan </w:t>
      </w:r>
      <w:r w:rsidRPr="00FD0980" w:rsidR="00DA7E3A">
        <w:rPr>
          <w:rFonts w:asciiTheme="minorHAnsi" w:hAnsiTheme="minorHAnsi" w:cstheme="minorHAnsi"/>
          <w:sz w:val="22"/>
          <w:szCs w:val="22"/>
        </w:rPr>
        <w:t>zij</w:t>
      </w:r>
      <w:r w:rsidRPr="00FD0980" w:rsidR="005B6A67">
        <w:rPr>
          <w:rFonts w:asciiTheme="minorHAnsi" w:hAnsiTheme="minorHAnsi" w:cstheme="minorHAnsi"/>
          <w:sz w:val="22"/>
          <w:szCs w:val="22"/>
        </w:rPr>
        <w:t xml:space="preserve"> </w:t>
      </w:r>
      <w:r w:rsidRPr="00FD0980" w:rsidR="00C623A9">
        <w:rPr>
          <w:rFonts w:asciiTheme="minorHAnsi" w:hAnsiTheme="minorHAnsi" w:cstheme="minorHAnsi"/>
          <w:sz w:val="22"/>
          <w:szCs w:val="22"/>
        </w:rPr>
        <w:t>uit hoofde van het internationaal recht immuniteiten en voorrechten genieten</w:t>
      </w:r>
      <w:r w:rsidRPr="00FD0980" w:rsidR="005B6A67">
        <w:rPr>
          <w:rFonts w:asciiTheme="minorHAnsi" w:hAnsiTheme="minorHAnsi" w:cstheme="minorHAnsi"/>
          <w:sz w:val="22"/>
          <w:szCs w:val="22"/>
        </w:rPr>
        <w:t>,</w:t>
      </w:r>
      <w:r w:rsidRPr="00FD0980" w:rsidR="00C623A9">
        <w:rPr>
          <w:rFonts w:asciiTheme="minorHAnsi" w:hAnsiTheme="minorHAnsi" w:cstheme="minorHAnsi"/>
          <w:sz w:val="22"/>
          <w:szCs w:val="22"/>
        </w:rPr>
        <w:t xml:space="preserve"> en </w:t>
      </w:r>
      <w:r w:rsidRPr="00FD0980" w:rsidR="002F6600">
        <w:rPr>
          <w:rFonts w:asciiTheme="minorHAnsi" w:hAnsiTheme="minorHAnsi" w:cstheme="minorHAnsi"/>
          <w:sz w:val="22"/>
          <w:szCs w:val="22"/>
        </w:rPr>
        <w:t xml:space="preserve">kan zij </w:t>
      </w:r>
      <w:r w:rsidRPr="00FD0980" w:rsidR="00C623A9">
        <w:rPr>
          <w:rFonts w:asciiTheme="minorHAnsi" w:hAnsiTheme="minorHAnsi" w:cstheme="minorHAnsi"/>
          <w:sz w:val="22"/>
          <w:szCs w:val="22"/>
        </w:rPr>
        <w:t xml:space="preserve">beter gebruik maken van haar financiële en menselijke hulpbronnen. Hierdoor kan de </w:t>
      </w:r>
      <w:r w:rsidRPr="00FD0980" w:rsidR="00DA7E3A">
        <w:rPr>
          <w:rFonts w:asciiTheme="minorHAnsi" w:hAnsiTheme="minorHAnsi" w:cstheme="minorHAnsi"/>
          <w:sz w:val="22"/>
          <w:szCs w:val="22"/>
        </w:rPr>
        <w:t>EU-LA</w:t>
      </w:r>
      <w:r w:rsidRPr="00FD0980" w:rsidR="00ED494C">
        <w:rPr>
          <w:rFonts w:asciiTheme="minorHAnsi" w:hAnsiTheme="minorHAnsi" w:cstheme="minorHAnsi"/>
          <w:sz w:val="22"/>
          <w:szCs w:val="22"/>
        </w:rPr>
        <w:t>C-</w:t>
      </w:r>
      <w:r w:rsidRPr="00FD0980" w:rsidR="00DA7E3A">
        <w:rPr>
          <w:rFonts w:asciiTheme="minorHAnsi" w:hAnsiTheme="minorHAnsi" w:cstheme="minorHAnsi"/>
          <w:sz w:val="22"/>
          <w:szCs w:val="22"/>
        </w:rPr>
        <w:t>S</w:t>
      </w:r>
      <w:r w:rsidRPr="00FD0980" w:rsidR="00C623A9">
        <w:rPr>
          <w:rFonts w:asciiTheme="minorHAnsi" w:hAnsiTheme="minorHAnsi" w:cstheme="minorHAnsi"/>
          <w:sz w:val="22"/>
          <w:szCs w:val="22"/>
        </w:rPr>
        <w:t xml:space="preserve">tichting haar activiteiten ter ondersteuning van het partnerschap </w:t>
      </w:r>
      <w:r w:rsidRPr="00FD0980" w:rsidR="000F5220">
        <w:rPr>
          <w:rFonts w:asciiTheme="minorHAnsi" w:hAnsiTheme="minorHAnsi" w:cstheme="minorHAnsi"/>
          <w:sz w:val="22"/>
          <w:szCs w:val="22"/>
        </w:rPr>
        <w:t xml:space="preserve">verder </w:t>
      </w:r>
      <w:r w:rsidRPr="00FD0980" w:rsidR="00C623A9">
        <w:rPr>
          <w:rFonts w:asciiTheme="minorHAnsi" w:hAnsiTheme="minorHAnsi" w:cstheme="minorHAnsi"/>
          <w:sz w:val="22"/>
          <w:szCs w:val="22"/>
        </w:rPr>
        <w:t xml:space="preserve">handhaven en ontwikkelen. </w:t>
      </w:r>
    </w:p>
    <w:p w:rsidRPr="00FD0980" w:rsidR="00DA7E3A" w:rsidP="00FD0980" w:rsidRDefault="00C623A9" w14:paraId="24C47ED8" w14:textId="77777777">
      <w:pPr>
        <w:pStyle w:val="Default"/>
        <w:spacing w:after="160"/>
        <w:jc w:val="both"/>
        <w:rPr>
          <w:rFonts w:asciiTheme="minorHAnsi" w:hAnsiTheme="minorHAnsi" w:cstheme="minorHAnsi"/>
          <w:sz w:val="22"/>
          <w:szCs w:val="22"/>
        </w:rPr>
      </w:pPr>
      <w:r w:rsidRPr="00FD0980">
        <w:rPr>
          <w:rFonts w:asciiTheme="minorHAnsi" w:hAnsiTheme="minorHAnsi" w:cstheme="minorHAnsi"/>
          <w:sz w:val="22"/>
          <w:szCs w:val="22"/>
        </w:rPr>
        <w:t xml:space="preserve">De </w:t>
      </w:r>
      <w:r w:rsidRPr="00FD0980" w:rsidR="004C3888">
        <w:rPr>
          <w:rFonts w:asciiTheme="minorHAnsi" w:hAnsiTheme="minorHAnsi" w:cstheme="minorHAnsi"/>
          <w:sz w:val="22"/>
          <w:szCs w:val="22"/>
        </w:rPr>
        <w:t xml:space="preserve">internationale </w:t>
      </w:r>
      <w:r w:rsidRPr="00FD0980" w:rsidR="00F971C4">
        <w:rPr>
          <w:rFonts w:asciiTheme="minorHAnsi" w:hAnsiTheme="minorHAnsi" w:cstheme="minorHAnsi"/>
          <w:sz w:val="22"/>
          <w:szCs w:val="22"/>
        </w:rPr>
        <w:t>EU-LAC</w:t>
      </w:r>
      <w:r w:rsidRPr="00FD0980" w:rsidR="00ED494C">
        <w:rPr>
          <w:rFonts w:asciiTheme="minorHAnsi" w:hAnsiTheme="minorHAnsi" w:cstheme="minorHAnsi"/>
          <w:sz w:val="22"/>
          <w:szCs w:val="22"/>
        </w:rPr>
        <w:t>-</w:t>
      </w:r>
      <w:r w:rsidRPr="00FD0980" w:rsidR="00F971C4">
        <w:rPr>
          <w:rFonts w:asciiTheme="minorHAnsi" w:hAnsiTheme="minorHAnsi" w:cstheme="minorHAnsi"/>
          <w:sz w:val="22"/>
          <w:szCs w:val="22"/>
        </w:rPr>
        <w:t>S</w:t>
      </w:r>
      <w:r w:rsidRPr="00FD0980">
        <w:rPr>
          <w:rFonts w:asciiTheme="minorHAnsi" w:hAnsiTheme="minorHAnsi" w:cstheme="minorHAnsi"/>
          <w:sz w:val="22"/>
          <w:szCs w:val="22"/>
        </w:rPr>
        <w:t>tichting kan worden beschouwd als een instrument van het gemeenschappelijk buitenlands beleid van de EU</w:t>
      </w:r>
      <w:r w:rsidRPr="00FD0980" w:rsidR="005B6A67">
        <w:rPr>
          <w:rFonts w:asciiTheme="minorHAnsi" w:hAnsiTheme="minorHAnsi" w:cstheme="minorHAnsi"/>
          <w:sz w:val="22"/>
          <w:szCs w:val="22"/>
        </w:rPr>
        <w:t>,</w:t>
      </w:r>
      <w:r w:rsidRPr="00FD0980">
        <w:rPr>
          <w:rFonts w:asciiTheme="minorHAnsi" w:hAnsiTheme="minorHAnsi" w:cstheme="minorHAnsi"/>
          <w:sz w:val="22"/>
          <w:szCs w:val="22"/>
        </w:rPr>
        <w:t xml:space="preserve"> omdat haar activiteiten </w:t>
      </w:r>
      <w:r w:rsidRPr="00FD0980" w:rsidR="00DA7E3A">
        <w:rPr>
          <w:rFonts w:asciiTheme="minorHAnsi" w:hAnsiTheme="minorHAnsi" w:cstheme="minorHAnsi"/>
          <w:sz w:val="22"/>
          <w:szCs w:val="22"/>
        </w:rPr>
        <w:t xml:space="preserve">zullen </w:t>
      </w:r>
      <w:r w:rsidRPr="00FD0980">
        <w:rPr>
          <w:rFonts w:asciiTheme="minorHAnsi" w:hAnsiTheme="minorHAnsi" w:cstheme="minorHAnsi"/>
          <w:sz w:val="22"/>
          <w:szCs w:val="22"/>
        </w:rPr>
        <w:t xml:space="preserve">bijdragen </w:t>
      </w:r>
      <w:r w:rsidRPr="00FD0980" w:rsidR="00203334">
        <w:rPr>
          <w:rFonts w:asciiTheme="minorHAnsi" w:hAnsiTheme="minorHAnsi" w:cstheme="minorHAnsi"/>
          <w:sz w:val="22"/>
          <w:szCs w:val="22"/>
        </w:rPr>
        <w:t xml:space="preserve">aan </w:t>
      </w:r>
      <w:r w:rsidRPr="00FD0980">
        <w:rPr>
          <w:rFonts w:asciiTheme="minorHAnsi" w:hAnsiTheme="minorHAnsi" w:cstheme="minorHAnsi"/>
          <w:sz w:val="22"/>
          <w:szCs w:val="22"/>
        </w:rPr>
        <w:t xml:space="preserve">de convergentie van het optreden van de </w:t>
      </w:r>
      <w:r w:rsidRPr="00FD0980" w:rsidR="005B6A67">
        <w:rPr>
          <w:rFonts w:asciiTheme="minorHAnsi" w:hAnsiTheme="minorHAnsi" w:cstheme="minorHAnsi"/>
          <w:sz w:val="22"/>
          <w:szCs w:val="22"/>
        </w:rPr>
        <w:t>EU-</w:t>
      </w:r>
      <w:r w:rsidRPr="00FD0980">
        <w:rPr>
          <w:rFonts w:asciiTheme="minorHAnsi" w:hAnsiTheme="minorHAnsi" w:cstheme="minorHAnsi"/>
          <w:sz w:val="22"/>
          <w:szCs w:val="22"/>
        </w:rPr>
        <w:t xml:space="preserve">lidstaten ten aanzien van Latijns-Amerika en het Caribisch gebied, waarbij ervoor gezorgd </w:t>
      </w:r>
      <w:r w:rsidRPr="00FD0980" w:rsidR="00DA7E3A">
        <w:rPr>
          <w:rFonts w:asciiTheme="minorHAnsi" w:hAnsiTheme="minorHAnsi" w:cstheme="minorHAnsi"/>
          <w:sz w:val="22"/>
          <w:szCs w:val="22"/>
        </w:rPr>
        <w:t>zal</w:t>
      </w:r>
      <w:r w:rsidRPr="00FD0980" w:rsidR="005B6A67">
        <w:rPr>
          <w:rFonts w:asciiTheme="minorHAnsi" w:hAnsiTheme="minorHAnsi" w:cstheme="minorHAnsi"/>
          <w:sz w:val="22"/>
          <w:szCs w:val="22"/>
        </w:rPr>
        <w:t xml:space="preserve"> worden </w:t>
      </w:r>
      <w:r w:rsidRPr="00FD0980">
        <w:rPr>
          <w:rFonts w:asciiTheme="minorHAnsi" w:hAnsiTheme="minorHAnsi" w:cstheme="minorHAnsi"/>
          <w:sz w:val="22"/>
          <w:szCs w:val="22"/>
        </w:rPr>
        <w:t>dat de EU haar belangen en haar waarden kan doen gelden in het kader van het partnerschap tussen beide regio</w:t>
      </w:r>
      <w:r w:rsidRPr="00FD0980" w:rsidR="005B6A67">
        <w:rPr>
          <w:rFonts w:asciiTheme="minorHAnsi" w:hAnsiTheme="minorHAnsi" w:cstheme="minorHAnsi"/>
          <w:sz w:val="22"/>
          <w:szCs w:val="22"/>
        </w:rPr>
        <w:t>’</w:t>
      </w:r>
      <w:r w:rsidRPr="00FD0980">
        <w:rPr>
          <w:rFonts w:asciiTheme="minorHAnsi" w:hAnsiTheme="minorHAnsi" w:cstheme="minorHAnsi"/>
          <w:sz w:val="22"/>
          <w:szCs w:val="22"/>
        </w:rPr>
        <w:t>s.</w:t>
      </w:r>
    </w:p>
    <w:p w:rsidR="001E54E4" w:rsidP="00FD0980" w:rsidRDefault="00C623A9" w14:paraId="2142F4CB" w14:textId="77777777">
      <w:pPr>
        <w:pStyle w:val="Default"/>
        <w:spacing w:after="160"/>
        <w:jc w:val="both"/>
        <w:rPr>
          <w:rFonts w:asciiTheme="minorHAnsi" w:hAnsiTheme="minorHAnsi" w:cstheme="minorHAnsi"/>
          <w:sz w:val="22"/>
          <w:szCs w:val="22"/>
        </w:rPr>
      </w:pPr>
      <w:r w:rsidRPr="00FD0980">
        <w:rPr>
          <w:rFonts w:asciiTheme="minorHAnsi" w:hAnsiTheme="minorHAnsi" w:cstheme="minorHAnsi"/>
          <w:sz w:val="22"/>
          <w:szCs w:val="22"/>
        </w:rPr>
        <w:lastRenderedPageBreak/>
        <w:t xml:space="preserve">De specifieke activiteiten van de </w:t>
      </w:r>
      <w:r w:rsidRPr="00FD0980" w:rsidR="005B6A67">
        <w:rPr>
          <w:rFonts w:asciiTheme="minorHAnsi" w:hAnsiTheme="minorHAnsi" w:cstheme="minorHAnsi"/>
          <w:sz w:val="22"/>
          <w:szCs w:val="22"/>
        </w:rPr>
        <w:t xml:space="preserve">internationale </w:t>
      </w:r>
      <w:r w:rsidRPr="00FD0980" w:rsidR="00ED494C">
        <w:rPr>
          <w:rFonts w:asciiTheme="minorHAnsi" w:hAnsiTheme="minorHAnsi" w:cstheme="minorHAnsi"/>
          <w:sz w:val="22"/>
          <w:szCs w:val="22"/>
        </w:rPr>
        <w:t>EU-LAC-</w:t>
      </w:r>
      <w:r w:rsidRPr="00FD0980" w:rsidR="005B6A67">
        <w:rPr>
          <w:rFonts w:asciiTheme="minorHAnsi" w:hAnsiTheme="minorHAnsi" w:cstheme="minorHAnsi"/>
          <w:sz w:val="22"/>
          <w:szCs w:val="22"/>
        </w:rPr>
        <w:t>S</w:t>
      </w:r>
      <w:r w:rsidRPr="00FD0980">
        <w:rPr>
          <w:rFonts w:asciiTheme="minorHAnsi" w:hAnsiTheme="minorHAnsi" w:cstheme="minorHAnsi"/>
          <w:sz w:val="22"/>
          <w:szCs w:val="22"/>
        </w:rPr>
        <w:t>tichting dragen bij tot de politieke dialoog tussen de EU en CELAC op terreinen zoals mondiaal bestuur en de bevordering van democratie, mensenrechten en de rechtsstaat. D</w:t>
      </w:r>
      <w:r w:rsidRPr="00FD0980" w:rsidR="002F6600">
        <w:rPr>
          <w:rFonts w:asciiTheme="minorHAnsi" w:hAnsiTheme="minorHAnsi" w:cstheme="minorHAnsi"/>
          <w:sz w:val="22"/>
          <w:szCs w:val="22"/>
        </w:rPr>
        <w:t>aarnaast zal de</w:t>
      </w:r>
      <w:r w:rsidRPr="00FD0980">
        <w:rPr>
          <w:rFonts w:asciiTheme="minorHAnsi" w:hAnsiTheme="minorHAnsi" w:cstheme="minorHAnsi"/>
          <w:sz w:val="22"/>
          <w:szCs w:val="22"/>
        </w:rPr>
        <w:t xml:space="preserve"> </w:t>
      </w:r>
      <w:r w:rsidRPr="00FD0980" w:rsidR="002F6600">
        <w:rPr>
          <w:rFonts w:asciiTheme="minorHAnsi" w:hAnsiTheme="minorHAnsi" w:cstheme="minorHAnsi"/>
          <w:sz w:val="22"/>
          <w:szCs w:val="22"/>
        </w:rPr>
        <w:t>S</w:t>
      </w:r>
      <w:r w:rsidRPr="00FD0980">
        <w:rPr>
          <w:rFonts w:asciiTheme="minorHAnsi" w:hAnsiTheme="minorHAnsi" w:cstheme="minorHAnsi"/>
          <w:sz w:val="22"/>
          <w:szCs w:val="22"/>
        </w:rPr>
        <w:t>tichting de samenwerking tussen de EU en LAC-regio</w:t>
      </w:r>
      <w:r w:rsidRPr="00FD0980" w:rsidR="005B6A67">
        <w:rPr>
          <w:rFonts w:asciiTheme="minorHAnsi" w:hAnsiTheme="minorHAnsi" w:cstheme="minorHAnsi"/>
          <w:sz w:val="22"/>
          <w:szCs w:val="22"/>
        </w:rPr>
        <w:t>’</w:t>
      </w:r>
      <w:r w:rsidRPr="00FD0980">
        <w:rPr>
          <w:rFonts w:asciiTheme="minorHAnsi" w:hAnsiTheme="minorHAnsi" w:cstheme="minorHAnsi"/>
          <w:sz w:val="22"/>
          <w:szCs w:val="22"/>
        </w:rPr>
        <w:t>s versterken</w:t>
      </w:r>
      <w:r w:rsidRPr="00FD0980" w:rsidR="005B6A67">
        <w:rPr>
          <w:rFonts w:asciiTheme="minorHAnsi" w:hAnsiTheme="minorHAnsi" w:cstheme="minorHAnsi"/>
          <w:sz w:val="22"/>
          <w:szCs w:val="22"/>
        </w:rPr>
        <w:t xml:space="preserve"> en</w:t>
      </w:r>
      <w:r w:rsidRPr="00FD0980">
        <w:rPr>
          <w:rFonts w:asciiTheme="minorHAnsi" w:hAnsiTheme="minorHAnsi" w:cstheme="minorHAnsi"/>
          <w:sz w:val="22"/>
          <w:szCs w:val="22"/>
        </w:rPr>
        <w:t xml:space="preserve"> interculturele uitwisseling ondersteunen, onder meer door het vergemakkelijken en bevorderen van de betrokkenheid </w:t>
      </w:r>
      <w:r w:rsidRPr="00FD0980" w:rsidR="00B9796A">
        <w:rPr>
          <w:rFonts w:asciiTheme="minorHAnsi" w:hAnsiTheme="minorHAnsi" w:cstheme="minorHAnsi"/>
          <w:sz w:val="22"/>
          <w:szCs w:val="22"/>
        </w:rPr>
        <w:t xml:space="preserve">door </w:t>
      </w:r>
      <w:r w:rsidRPr="00FD0980">
        <w:rPr>
          <w:rFonts w:asciiTheme="minorHAnsi" w:hAnsiTheme="minorHAnsi" w:cstheme="minorHAnsi"/>
          <w:sz w:val="22"/>
          <w:szCs w:val="22"/>
        </w:rPr>
        <w:t>en de inbreng van het maatschappelijk middenveld en andere sociale actoren.</w:t>
      </w:r>
    </w:p>
    <w:p w:rsidRPr="00FD0980" w:rsidR="006E551F" w:rsidP="006E551F" w:rsidRDefault="006E551F" w14:paraId="20B5DECC" w14:textId="77777777">
      <w:pPr>
        <w:pStyle w:val="Default"/>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 xml:space="preserve">In dit kader heeft de EU-LAC-Stichting de volgende opdrachten: </w:t>
      </w:r>
    </w:p>
    <w:p w:rsidRPr="00FD0980" w:rsidR="006E551F" w:rsidP="006E551F" w:rsidRDefault="006E551F" w14:paraId="7C3103C9"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 xml:space="preserve">de bevordering en coördinatie van resultaatgerichte activiteiten ter ondersteuning van biregionale betrekkingen, toegespitst op de uitvoering van de prioriteiten die op EU-CELAC topconferenties zijn vastgesteld; </w:t>
      </w:r>
    </w:p>
    <w:p w:rsidRPr="00FD0980" w:rsidR="006E551F" w:rsidP="006E551F" w:rsidRDefault="006E551F" w14:paraId="7F6B2163"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het aanmoedigen van overleg over gemeenschappelijke strategieën om deze prioriteiten middels de bevordering van onderzoek en studies tot stand te brengen;</w:t>
      </w:r>
    </w:p>
    <w:p w:rsidRPr="00FD0980" w:rsidR="006E551F" w:rsidP="006E551F" w:rsidRDefault="006E551F" w14:paraId="4BECDE68"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de uitvoering en ondersteuning van analyse en onderzoek met betrekking tot vraagstukken die van belang zijn voor het partnerschap</w:t>
      </w:r>
      <w:r>
        <w:rPr>
          <w:rFonts w:asciiTheme="minorHAnsi" w:hAnsiTheme="minorHAnsi" w:cstheme="minorHAnsi"/>
          <w:color w:val="auto"/>
          <w:sz w:val="22"/>
          <w:szCs w:val="22"/>
        </w:rPr>
        <w:t>.</w:t>
      </w:r>
      <w:r w:rsidRPr="00FD0980">
        <w:rPr>
          <w:rFonts w:asciiTheme="minorHAnsi" w:hAnsiTheme="minorHAnsi" w:cstheme="minorHAnsi"/>
          <w:color w:val="auto"/>
          <w:sz w:val="22"/>
          <w:szCs w:val="22"/>
        </w:rPr>
        <w:t xml:space="preserve"> </w:t>
      </w:r>
      <w:r w:rsidRPr="00FD0980">
        <w:rPr>
          <w:rFonts w:asciiTheme="minorHAnsi" w:hAnsiTheme="minorHAnsi" w:cstheme="minorHAnsi"/>
          <w:sz w:val="22"/>
          <w:szCs w:val="22"/>
        </w:rPr>
        <w:t>De activiteiten moeten gericht zijn op de vastgestelde behoeften ter bevordering van het biregionale partnerschap. Daarbij wordt zoveel mogelijk het maatschappelijk middenveld en andere sociale actoren, zoals academische instellingen, denktanks en NGO’s, betrokken</w:t>
      </w:r>
      <w:r>
        <w:rPr>
          <w:rFonts w:asciiTheme="minorHAnsi" w:hAnsiTheme="minorHAnsi" w:cstheme="minorHAnsi"/>
          <w:sz w:val="22"/>
          <w:szCs w:val="22"/>
        </w:rPr>
        <w:t>;</w:t>
      </w:r>
    </w:p>
    <w:p w:rsidRPr="00FD0980" w:rsidR="006E551F" w:rsidP="006E551F" w:rsidRDefault="006E551F" w14:paraId="591D16F8"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de bevordering van vruchtbare uitwisselingen en nieuwe netwerkmogelijkheden voor het maatschappelijk middenveld en andere sociale actoren die betrokken zijn bij het biregionale partnerschap of hiervoor potentieel belangstelling hebben;</w:t>
      </w:r>
    </w:p>
    <w:p w:rsidRPr="00FD0980" w:rsidR="006E551F" w:rsidP="006E551F" w:rsidRDefault="006E551F" w14:paraId="4C07041B"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 xml:space="preserve">de ondersteuning van de beleidsdialoog tussen de EU en CELAC en van de samenwerking op essentiële terreinen van gemeenschappelijk belang, zoals onderzoek, duurzame ontwikkeling, klimaatverandering, concurrentievermogen, werkgelegenheid en gendergelijkheid; </w:t>
      </w:r>
    </w:p>
    <w:p w:rsidRPr="00FD0980" w:rsidR="006E551F" w:rsidP="006E551F" w:rsidRDefault="006E551F" w14:paraId="44355BBF"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de ontwikkeling en ondersteuning van biregionale netwerken;</w:t>
      </w:r>
    </w:p>
    <w:p w:rsidRPr="00FD0980" w:rsidR="006E551F" w:rsidP="006E551F" w:rsidRDefault="006E551F" w14:paraId="4E0D835B" w14:textId="77777777">
      <w:pPr>
        <w:pStyle w:val="Default"/>
        <w:numPr>
          <w:ilvl w:val="0"/>
          <w:numId w:val="11"/>
        </w:numPr>
        <w:spacing w:after="160"/>
        <w:jc w:val="both"/>
        <w:rPr>
          <w:rFonts w:asciiTheme="minorHAnsi" w:hAnsiTheme="minorHAnsi" w:cstheme="minorHAnsi"/>
          <w:color w:val="auto"/>
          <w:sz w:val="22"/>
          <w:szCs w:val="22"/>
        </w:rPr>
      </w:pPr>
      <w:r w:rsidRPr="00FD0980">
        <w:rPr>
          <w:rFonts w:asciiTheme="minorHAnsi" w:hAnsiTheme="minorHAnsi" w:cstheme="minorHAnsi"/>
          <w:color w:val="auto"/>
          <w:sz w:val="22"/>
          <w:szCs w:val="22"/>
        </w:rPr>
        <w:t>de bevordering van de uitwisseling van deskundigheid en beste praktijken tussen beide regio’s.</w:t>
      </w:r>
    </w:p>
    <w:p w:rsidRPr="00A84345" w:rsidR="00A84345" w:rsidP="00A84345" w:rsidRDefault="00A84345" w14:paraId="77751325" w14:textId="77777777">
      <w:pPr>
        <w:pStyle w:val="Default"/>
        <w:numPr>
          <w:ilvl w:val="0"/>
          <w:numId w:val="14"/>
        </w:numPr>
        <w:spacing w:after="160"/>
        <w:jc w:val="both"/>
        <w:rPr>
          <w:rFonts w:asciiTheme="minorHAnsi" w:hAnsiTheme="minorHAnsi" w:cstheme="minorHAnsi"/>
          <w:b/>
          <w:sz w:val="22"/>
          <w:szCs w:val="22"/>
        </w:rPr>
      </w:pPr>
      <w:r w:rsidRPr="00A84345">
        <w:rPr>
          <w:rFonts w:asciiTheme="minorHAnsi" w:hAnsiTheme="minorHAnsi" w:cstheme="minorHAnsi"/>
          <w:b/>
          <w:sz w:val="22"/>
          <w:szCs w:val="22"/>
        </w:rPr>
        <w:t>Aard van de Overeenkomst</w:t>
      </w:r>
    </w:p>
    <w:p w:rsidRPr="00AF55E6" w:rsidR="00FE47E4" w:rsidP="005D46B0" w:rsidRDefault="00255DE7" w14:paraId="616C7185" w14:textId="77777777">
      <w:pPr>
        <w:pStyle w:val="Default"/>
        <w:spacing w:after="160"/>
        <w:jc w:val="both"/>
        <w:rPr>
          <w:rFonts w:cstheme="minorHAnsi"/>
          <w:szCs w:val="22"/>
        </w:rPr>
      </w:pPr>
      <w:r w:rsidRPr="00255DE7">
        <w:rPr>
          <w:rFonts w:asciiTheme="minorHAnsi" w:hAnsiTheme="minorHAnsi" w:cstheme="minorHAnsi"/>
          <w:sz w:val="22"/>
          <w:szCs w:val="22"/>
        </w:rPr>
        <w:t xml:space="preserve">De Overeenkomst heeft een gemengd karakter. </w:t>
      </w:r>
      <w:r w:rsidRPr="00A84345">
        <w:rPr>
          <w:rFonts w:asciiTheme="minorHAnsi" w:hAnsiTheme="minorHAnsi" w:cstheme="minorHAnsi"/>
          <w:sz w:val="22"/>
          <w:szCs w:val="22"/>
        </w:rPr>
        <w:t xml:space="preserve">Naast de Unie dienen daarom ook de lidstaten partij te worden bij </w:t>
      </w:r>
      <w:r w:rsidR="00E87F65">
        <w:rPr>
          <w:rFonts w:asciiTheme="minorHAnsi" w:hAnsiTheme="minorHAnsi" w:cstheme="minorHAnsi"/>
          <w:sz w:val="22"/>
          <w:szCs w:val="22"/>
        </w:rPr>
        <w:t>de Overeenkomst</w:t>
      </w:r>
      <w:r w:rsidRPr="00A84345">
        <w:rPr>
          <w:rFonts w:asciiTheme="minorHAnsi" w:hAnsiTheme="minorHAnsi" w:cstheme="minorHAnsi"/>
          <w:sz w:val="22"/>
          <w:szCs w:val="22"/>
        </w:rPr>
        <w:t>. De EU heeft enkel die bevoegdheden die door de EU-lidstaten aan de EU zijn overgedragen in het Verdrag van Lissabon. De artikelen 2 tot en met 6 van het Verdrag betreffende d</w:t>
      </w:r>
      <w:r w:rsidRPr="00255DE7">
        <w:rPr>
          <w:rFonts w:asciiTheme="minorHAnsi" w:hAnsiTheme="minorHAnsi" w:cstheme="minorHAnsi"/>
          <w:sz w:val="22"/>
          <w:szCs w:val="22"/>
        </w:rPr>
        <w:t xml:space="preserve">e Werking van de Europese Unie </w:t>
      </w:r>
      <w:r w:rsidR="00E87F65">
        <w:rPr>
          <w:rFonts w:asciiTheme="minorHAnsi" w:hAnsiTheme="minorHAnsi" w:cstheme="minorHAnsi"/>
          <w:sz w:val="22"/>
          <w:szCs w:val="22"/>
        </w:rPr>
        <w:t xml:space="preserve">(VWEU) </w:t>
      </w:r>
      <w:r w:rsidRPr="00A84345">
        <w:rPr>
          <w:rFonts w:asciiTheme="minorHAnsi" w:hAnsiTheme="minorHAnsi" w:cstheme="minorHAnsi"/>
          <w:sz w:val="22"/>
          <w:szCs w:val="22"/>
        </w:rPr>
        <w:t xml:space="preserve">bakenen de EU-bevoegdheden </w:t>
      </w:r>
      <w:r w:rsidR="00CA43C0">
        <w:rPr>
          <w:rFonts w:asciiTheme="minorHAnsi" w:hAnsiTheme="minorHAnsi" w:cstheme="minorHAnsi"/>
          <w:sz w:val="22"/>
          <w:szCs w:val="22"/>
        </w:rPr>
        <w:t xml:space="preserve">af. </w:t>
      </w:r>
      <w:r w:rsidRPr="00AF55E6" w:rsidR="00FE47E4">
        <w:rPr>
          <w:rFonts w:asciiTheme="minorHAnsi" w:hAnsiTheme="minorHAnsi" w:cstheme="minorHAnsi"/>
          <w:sz w:val="22"/>
          <w:szCs w:val="22"/>
        </w:rPr>
        <w:t>De taken van de EU-LAC</w:t>
      </w:r>
      <w:r w:rsidR="00E87F65">
        <w:rPr>
          <w:rFonts w:asciiTheme="minorHAnsi" w:hAnsiTheme="minorHAnsi" w:cstheme="minorHAnsi"/>
          <w:sz w:val="22"/>
          <w:szCs w:val="22"/>
        </w:rPr>
        <w:t>-</w:t>
      </w:r>
      <w:r w:rsidRPr="00AF55E6" w:rsidR="00FE47E4">
        <w:rPr>
          <w:rFonts w:asciiTheme="minorHAnsi" w:hAnsiTheme="minorHAnsi" w:cstheme="minorHAnsi"/>
          <w:sz w:val="22"/>
          <w:szCs w:val="22"/>
        </w:rPr>
        <w:t>Stichting hebben met name betrekking op het gemeenschappelijk buitenlands en veiligheidsbeleid (GBVB), ontwikkelingssamenwerking en economische, financiële en technische samenwerking met derde landen.</w:t>
      </w:r>
    </w:p>
    <w:p w:rsidR="00FE47E4" w:rsidP="005D46B0" w:rsidRDefault="00FE47E4" w14:paraId="184BD78E" w14:textId="77777777">
      <w:pPr>
        <w:jc w:val="both"/>
        <w:rPr>
          <w:rFonts w:eastAsia="Times New Roman" w:cs="Times New Roman"/>
          <w:szCs w:val="18"/>
          <w:lang w:eastAsia="nl-NL"/>
        </w:rPr>
      </w:pPr>
      <w:r w:rsidRPr="00AF55E6">
        <w:rPr>
          <w:rFonts w:cstheme="minorHAnsi"/>
        </w:rPr>
        <w:t>Voor het GBVB (artikel 2, lid 4 VWEU) geldt dat de lidstaten bevoegd zijn om extern naast de Unie op te treden. Voor zover de EU een positie heeft ingenomen, dienen de lidstaten deze te respecteren.</w:t>
      </w:r>
      <w:r w:rsidRPr="00AF55E6" w:rsidR="004C73D4">
        <w:rPr>
          <w:rFonts w:cstheme="minorHAnsi"/>
        </w:rPr>
        <w:t xml:space="preserve"> Ontwikkelingssamenwerking betreft een</w:t>
      </w:r>
      <w:r w:rsidRPr="004C73D4">
        <w:rPr>
          <w:rFonts w:cstheme="minorHAnsi"/>
        </w:rPr>
        <w:t xml:space="preserve"> </w:t>
      </w:r>
      <w:r w:rsidRPr="004C73D4" w:rsidR="004C73D4">
        <w:rPr>
          <w:rFonts w:eastAsia="Times New Roman" w:cstheme="minorHAnsi"/>
          <w:lang w:eastAsia="nl-NL"/>
        </w:rPr>
        <w:t xml:space="preserve">parallelle bevoegdheid die de lidstaten en de EU gelijktijdig kunnen uitoefenen (zie art. 4, lid 4, VWEU). Op het gebied </w:t>
      </w:r>
      <w:r w:rsidRPr="00AF55E6" w:rsidR="004C73D4">
        <w:rPr>
          <w:rFonts w:eastAsia="Times New Roman" w:cstheme="minorHAnsi"/>
          <w:lang w:eastAsia="nl-NL"/>
        </w:rPr>
        <w:t xml:space="preserve">van economische, financiële en technische samenwerking is sprake van een gedeelde bevoegdheid van de EU en de </w:t>
      </w:r>
      <w:r w:rsidR="00E87F65">
        <w:rPr>
          <w:rFonts w:eastAsia="Times New Roman" w:cstheme="minorHAnsi"/>
          <w:lang w:eastAsia="nl-NL"/>
        </w:rPr>
        <w:t>l</w:t>
      </w:r>
      <w:r w:rsidRPr="00AF55E6" w:rsidR="004C73D4">
        <w:rPr>
          <w:rFonts w:eastAsia="Times New Roman" w:cstheme="minorHAnsi"/>
          <w:lang w:eastAsia="nl-NL"/>
        </w:rPr>
        <w:t xml:space="preserve">idstaten. </w:t>
      </w:r>
      <w:r w:rsidRPr="00802610">
        <w:t>Bij gedeelde bevoegdheden kunnen zowel de Unie als de lidstaten regelstellend optreden. Artikel 2, lid 2</w:t>
      </w:r>
      <w:r>
        <w:t>,</w:t>
      </w:r>
      <w:r w:rsidRPr="00802610">
        <w:t xml:space="preserve"> VWEU schrijft</w:t>
      </w:r>
      <w:r>
        <w:t xml:space="preserve"> echter</w:t>
      </w:r>
      <w:r w:rsidRPr="00802610">
        <w:t xml:space="preserve"> voor dat de lidstaten hun bevoegdheid slechts kunnen uitoefenen voor zover de Unie haar bevoegdheid nog niet heeft uitgeoefend.</w:t>
      </w:r>
      <w:r>
        <w:rPr>
          <w:rFonts w:eastAsia="Times New Roman" w:cs="Times New Roman"/>
          <w:szCs w:val="18"/>
          <w:lang w:eastAsia="nl-NL"/>
        </w:rPr>
        <w:t xml:space="preserve">  </w:t>
      </w:r>
    </w:p>
    <w:p w:rsidRPr="00255DE7" w:rsidR="00FE47E4" w:rsidP="00FD0980" w:rsidRDefault="00FE47E4" w14:paraId="30992D11" w14:textId="77777777">
      <w:pPr>
        <w:pStyle w:val="Default"/>
        <w:spacing w:after="160"/>
        <w:jc w:val="both"/>
        <w:rPr>
          <w:rFonts w:asciiTheme="minorHAnsi" w:hAnsiTheme="minorHAnsi" w:cstheme="minorHAnsi"/>
          <w:sz w:val="22"/>
          <w:szCs w:val="22"/>
        </w:rPr>
      </w:pPr>
    </w:p>
    <w:p w:rsidRPr="00FD0980" w:rsidR="008E6D81" w:rsidP="00FD0980" w:rsidRDefault="008E6D81" w14:paraId="7F62ADC7" w14:textId="77777777">
      <w:pPr>
        <w:pStyle w:val="Heading2"/>
        <w:numPr>
          <w:ilvl w:val="0"/>
          <w:numId w:val="14"/>
        </w:numPr>
        <w:spacing w:before="0" w:after="160"/>
        <w:jc w:val="both"/>
        <w:rPr>
          <w:rFonts w:asciiTheme="minorHAnsi" w:hAnsiTheme="minorHAnsi" w:cstheme="minorHAnsi"/>
          <w:b/>
          <w:color w:val="000000" w:themeColor="text1"/>
          <w:sz w:val="22"/>
          <w:szCs w:val="22"/>
        </w:rPr>
      </w:pPr>
      <w:r w:rsidRPr="00FD0980">
        <w:rPr>
          <w:rFonts w:asciiTheme="minorHAnsi" w:hAnsiTheme="minorHAnsi" w:cstheme="minorHAnsi"/>
          <w:b/>
          <w:color w:val="000000" w:themeColor="text1"/>
          <w:sz w:val="22"/>
          <w:szCs w:val="22"/>
        </w:rPr>
        <w:t>Artikelsgewijze toelichting</w:t>
      </w:r>
    </w:p>
    <w:p w:rsidRPr="00FD0980" w:rsidR="0010482C" w:rsidP="00FD0980" w:rsidRDefault="00DA7E3A" w14:paraId="07B1ABE0" w14:textId="77777777">
      <w:pPr>
        <w:jc w:val="both"/>
        <w:rPr>
          <w:rFonts w:cstheme="minorHAnsi"/>
        </w:rPr>
      </w:pPr>
      <w:r w:rsidRPr="00FD0980">
        <w:rPr>
          <w:rFonts w:cstheme="minorHAnsi"/>
        </w:rPr>
        <w:t>De Overeenkomst</w:t>
      </w:r>
      <w:r w:rsidRPr="00FD0980" w:rsidR="008E6D81">
        <w:rPr>
          <w:rFonts w:cstheme="minorHAnsi"/>
        </w:rPr>
        <w:t xml:space="preserve"> bestaat uit 30 artikelen</w:t>
      </w:r>
      <w:r w:rsidRPr="00FD0980">
        <w:rPr>
          <w:rFonts w:cstheme="minorHAnsi"/>
        </w:rPr>
        <w:t>. I</w:t>
      </w:r>
      <w:r w:rsidRPr="00FD0980" w:rsidR="008E6D81">
        <w:rPr>
          <w:rFonts w:cstheme="minorHAnsi"/>
        </w:rPr>
        <w:t xml:space="preserve">n </w:t>
      </w:r>
      <w:r w:rsidRPr="00FD0980" w:rsidR="001A1575">
        <w:rPr>
          <w:rFonts w:cstheme="minorHAnsi"/>
        </w:rPr>
        <w:t xml:space="preserve">de </w:t>
      </w:r>
      <w:r w:rsidRPr="00FD0980" w:rsidR="008E6D81">
        <w:rPr>
          <w:rFonts w:cstheme="minorHAnsi"/>
        </w:rPr>
        <w:t xml:space="preserve">artikelen wordt </w:t>
      </w:r>
      <w:r w:rsidRPr="00FD0980" w:rsidR="007F4C39">
        <w:rPr>
          <w:rFonts w:cstheme="minorHAnsi"/>
        </w:rPr>
        <w:t xml:space="preserve">onder meer </w:t>
      </w:r>
      <w:r w:rsidRPr="00FD0980" w:rsidR="008E6D81">
        <w:rPr>
          <w:rFonts w:cstheme="minorHAnsi"/>
        </w:rPr>
        <w:t xml:space="preserve">vastgelegd </w:t>
      </w:r>
      <w:r w:rsidRPr="00FD0980" w:rsidR="00ED494C">
        <w:rPr>
          <w:rFonts w:cstheme="minorHAnsi"/>
        </w:rPr>
        <w:t>dat de internationale EU-LAC-</w:t>
      </w:r>
      <w:r w:rsidRPr="00FD0980">
        <w:rPr>
          <w:rFonts w:cstheme="minorHAnsi"/>
        </w:rPr>
        <w:t xml:space="preserve">Stichting rechtspersoonlijkheid geniet, </w:t>
      </w:r>
      <w:r w:rsidRPr="00FD0980" w:rsidR="008E6D81">
        <w:rPr>
          <w:rFonts w:cstheme="minorHAnsi"/>
        </w:rPr>
        <w:t xml:space="preserve">waar </w:t>
      </w:r>
      <w:r w:rsidRPr="00FD0980">
        <w:rPr>
          <w:rFonts w:cstheme="minorHAnsi"/>
        </w:rPr>
        <w:t xml:space="preserve">haar </w:t>
      </w:r>
      <w:r w:rsidRPr="00FD0980" w:rsidR="008E6D81">
        <w:rPr>
          <w:rFonts w:cstheme="minorHAnsi"/>
        </w:rPr>
        <w:t xml:space="preserve">hoofdzetel </w:t>
      </w:r>
      <w:r w:rsidRPr="00FD0980" w:rsidR="00F17460">
        <w:rPr>
          <w:rFonts w:cstheme="minorHAnsi"/>
        </w:rPr>
        <w:t xml:space="preserve">gevestigd is, wie </w:t>
      </w:r>
      <w:r w:rsidRPr="00FD0980">
        <w:rPr>
          <w:rFonts w:cstheme="minorHAnsi"/>
        </w:rPr>
        <w:t xml:space="preserve">haar </w:t>
      </w:r>
      <w:r w:rsidRPr="00FD0980" w:rsidR="00F17460">
        <w:rPr>
          <w:rFonts w:cstheme="minorHAnsi"/>
        </w:rPr>
        <w:t xml:space="preserve">leden </w:t>
      </w:r>
      <w:r w:rsidRPr="00FD0980" w:rsidR="008E6D81">
        <w:rPr>
          <w:rFonts w:cstheme="minorHAnsi"/>
        </w:rPr>
        <w:t xml:space="preserve">zijn, </w:t>
      </w:r>
      <w:r w:rsidRPr="00FD0980" w:rsidR="00ED494C">
        <w:rPr>
          <w:rFonts w:cstheme="minorHAnsi"/>
        </w:rPr>
        <w:t>en</w:t>
      </w:r>
      <w:r w:rsidRPr="00FD0980" w:rsidR="0010482C">
        <w:rPr>
          <w:rFonts w:cstheme="minorHAnsi"/>
        </w:rPr>
        <w:t xml:space="preserve"> wat </w:t>
      </w:r>
      <w:r w:rsidRPr="00FD0980">
        <w:rPr>
          <w:rFonts w:cstheme="minorHAnsi"/>
        </w:rPr>
        <w:t xml:space="preserve">haar </w:t>
      </w:r>
      <w:r w:rsidRPr="00FD0980" w:rsidR="0010482C">
        <w:rPr>
          <w:rFonts w:cstheme="minorHAnsi"/>
        </w:rPr>
        <w:t>doelstellingen en activiteiten zijn.</w:t>
      </w:r>
      <w:r w:rsidRPr="00FD0980" w:rsidR="00E968CD">
        <w:rPr>
          <w:rFonts w:cstheme="minorHAnsi"/>
        </w:rPr>
        <w:t xml:space="preserve"> Hieronder volgt een toelichting op de artikelen. Waar nodig worden de artikelen samengevoegd toegelicht.</w:t>
      </w:r>
    </w:p>
    <w:p w:rsidRPr="00FD0980" w:rsidR="0010482C" w:rsidP="00FD0980" w:rsidRDefault="0010482C" w14:paraId="461B5829" w14:textId="77777777">
      <w:pPr>
        <w:jc w:val="both"/>
        <w:rPr>
          <w:rFonts w:cstheme="minorHAnsi"/>
        </w:rPr>
      </w:pPr>
      <w:r w:rsidRPr="00FD0980">
        <w:rPr>
          <w:rFonts w:cstheme="minorHAnsi"/>
        </w:rPr>
        <w:t xml:space="preserve">Artikel 2 stelt </w:t>
      </w:r>
      <w:r w:rsidRPr="00FD0980" w:rsidR="00F17460">
        <w:rPr>
          <w:rFonts w:cstheme="minorHAnsi"/>
        </w:rPr>
        <w:t xml:space="preserve">de aard van de </w:t>
      </w:r>
      <w:r w:rsidRPr="00FD0980" w:rsidR="00203334">
        <w:rPr>
          <w:rFonts w:cstheme="minorHAnsi"/>
        </w:rPr>
        <w:t xml:space="preserve">internationale </w:t>
      </w:r>
      <w:r w:rsidRPr="00FD0980" w:rsidR="00F17460">
        <w:rPr>
          <w:rFonts w:cstheme="minorHAnsi"/>
        </w:rPr>
        <w:t>EU-LAC</w:t>
      </w:r>
      <w:r w:rsidRPr="00FD0980" w:rsidR="00ED494C">
        <w:rPr>
          <w:rFonts w:cstheme="minorHAnsi"/>
        </w:rPr>
        <w:t>-</w:t>
      </w:r>
      <w:r w:rsidRPr="00FD0980" w:rsidR="00F17460">
        <w:rPr>
          <w:rFonts w:cstheme="minorHAnsi"/>
        </w:rPr>
        <w:t>Stichting vast</w:t>
      </w:r>
      <w:r w:rsidR="00FD0980">
        <w:rPr>
          <w:rFonts w:cstheme="minorHAnsi"/>
        </w:rPr>
        <w:t xml:space="preserve"> en </w:t>
      </w:r>
      <w:r w:rsidR="005C3356">
        <w:rPr>
          <w:rFonts w:cstheme="minorHAnsi"/>
        </w:rPr>
        <w:t xml:space="preserve">bepaalt dat </w:t>
      </w:r>
      <w:r w:rsidR="001F3CE2">
        <w:rPr>
          <w:rFonts w:cstheme="minorHAnsi"/>
        </w:rPr>
        <w:t>de</w:t>
      </w:r>
      <w:r w:rsidR="005C3356">
        <w:rPr>
          <w:rFonts w:cstheme="minorHAnsi"/>
        </w:rPr>
        <w:t xml:space="preserve"> h</w:t>
      </w:r>
      <w:r w:rsidR="00FD0980">
        <w:rPr>
          <w:rFonts w:cstheme="minorHAnsi"/>
        </w:rPr>
        <w:t>oofdzetel</w:t>
      </w:r>
      <w:r w:rsidR="001F3CE2">
        <w:rPr>
          <w:rFonts w:cstheme="minorHAnsi"/>
        </w:rPr>
        <w:t xml:space="preserve"> van de Stichting</w:t>
      </w:r>
      <w:r w:rsidR="00FD0980">
        <w:rPr>
          <w:rFonts w:cstheme="minorHAnsi"/>
        </w:rPr>
        <w:t xml:space="preserve"> </w:t>
      </w:r>
      <w:r w:rsidR="001F3CE2">
        <w:rPr>
          <w:rFonts w:cstheme="minorHAnsi"/>
        </w:rPr>
        <w:t>i</w:t>
      </w:r>
      <w:r w:rsidR="005C3356">
        <w:rPr>
          <w:rFonts w:cstheme="minorHAnsi"/>
        </w:rPr>
        <w:t>n Hamburg, Duitsland</w:t>
      </w:r>
      <w:r w:rsidR="001F3CE2">
        <w:rPr>
          <w:rFonts w:cstheme="minorHAnsi"/>
        </w:rPr>
        <w:t>, is gevestigd</w:t>
      </w:r>
      <w:r w:rsidRPr="00FD0980" w:rsidR="00F17460">
        <w:rPr>
          <w:rFonts w:cstheme="minorHAnsi"/>
        </w:rPr>
        <w:t>. Het artikel stelt dat</w:t>
      </w:r>
      <w:r w:rsidRPr="00FD0980">
        <w:rPr>
          <w:rFonts w:cstheme="minorHAnsi"/>
        </w:rPr>
        <w:t xml:space="preserve"> </w:t>
      </w:r>
      <w:r w:rsidRPr="00FD0980" w:rsidR="002F6600">
        <w:rPr>
          <w:rFonts w:cstheme="minorHAnsi"/>
        </w:rPr>
        <w:t xml:space="preserve">de </w:t>
      </w:r>
      <w:r w:rsidRPr="00FD0980">
        <w:rPr>
          <w:rFonts w:cstheme="minorHAnsi"/>
        </w:rPr>
        <w:t>Stichting een internationale intergouvernementele organisatie is die zich richt op de versterking van het biregionale partnerschap tussen de E</w:t>
      </w:r>
      <w:r w:rsidRPr="00FD0980" w:rsidR="000843A1">
        <w:rPr>
          <w:rFonts w:cstheme="minorHAnsi"/>
        </w:rPr>
        <w:t>U en de EU-lidstaten enerzijds en</w:t>
      </w:r>
      <w:r w:rsidRPr="00FD0980">
        <w:rPr>
          <w:rFonts w:cstheme="minorHAnsi"/>
        </w:rPr>
        <w:t xml:space="preserve"> </w:t>
      </w:r>
      <w:r w:rsidRPr="00FD0980" w:rsidR="002F6600">
        <w:rPr>
          <w:rFonts w:cstheme="minorHAnsi"/>
        </w:rPr>
        <w:t>CELAC</w:t>
      </w:r>
      <w:r w:rsidRPr="00FD0980">
        <w:rPr>
          <w:rFonts w:cstheme="minorHAnsi"/>
        </w:rPr>
        <w:t xml:space="preserve"> </w:t>
      </w:r>
      <w:r w:rsidRPr="00FD0980" w:rsidR="00203334">
        <w:rPr>
          <w:rFonts w:cstheme="minorHAnsi"/>
        </w:rPr>
        <w:t>anderzijds</w:t>
      </w:r>
      <w:r w:rsidRPr="00FD0980">
        <w:rPr>
          <w:rFonts w:cstheme="minorHAnsi"/>
        </w:rPr>
        <w:t>.</w:t>
      </w:r>
    </w:p>
    <w:p w:rsidRPr="00FD0980" w:rsidR="0010482C" w:rsidP="00C7156B" w:rsidRDefault="0010482C" w14:paraId="2212080B" w14:textId="77777777">
      <w:pPr>
        <w:jc w:val="both"/>
        <w:rPr>
          <w:rFonts w:cstheme="minorHAnsi"/>
        </w:rPr>
      </w:pPr>
      <w:r w:rsidRPr="00FD0980">
        <w:rPr>
          <w:rFonts w:cstheme="minorHAnsi"/>
        </w:rPr>
        <w:t>In artikel 3 is bepaald wie d</w:t>
      </w:r>
      <w:r w:rsidRPr="00FD0980" w:rsidR="00F17460">
        <w:rPr>
          <w:rFonts w:cstheme="minorHAnsi"/>
        </w:rPr>
        <w:t xml:space="preserve">e leden van de </w:t>
      </w:r>
      <w:r w:rsidRPr="00FD0980" w:rsidR="001A1575">
        <w:rPr>
          <w:rFonts w:cstheme="minorHAnsi"/>
        </w:rPr>
        <w:t>interna</w:t>
      </w:r>
      <w:r w:rsidRPr="00FD0980" w:rsidR="0074728B">
        <w:rPr>
          <w:rFonts w:cstheme="minorHAnsi"/>
        </w:rPr>
        <w:t>t</w:t>
      </w:r>
      <w:r w:rsidRPr="00FD0980" w:rsidR="001A1575">
        <w:rPr>
          <w:rFonts w:cstheme="minorHAnsi"/>
        </w:rPr>
        <w:t>ionale EU-LAC-</w:t>
      </w:r>
      <w:r w:rsidRPr="00FD0980" w:rsidR="00F17460">
        <w:rPr>
          <w:rFonts w:cstheme="minorHAnsi"/>
        </w:rPr>
        <w:t xml:space="preserve">Stichting </w:t>
      </w:r>
      <w:r w:rsidRPr="00FD0980">
        <w:rPr>
          <w:rFonts w:cstheme="minorHAnsi"/>
        </w:rPr>
        <w:t xml:space="preserve">zijn. </w:t>
      </w:r>
      <w:r w:rsidRPr="00FD0980" w:rsidR="00F17460">
        <w:rPr>
          <w:rFonts w:cstheme="minorHAnsi"/>
        </w:rPr>
        <w:t xml:space="preserve">Dat </w:t>
      </w:r>
      <w:r w:rsidRPr="00FD0980">
        <w:rPr>
          <w:rFonts w:cstheme="minorHAnsi"/>
        </w:rPr>
        <w:t xml:space="preserve">zijn de </w:t>
      </w:r>
      <w:r w:rsidRPr="00FD0980" w:rsidR="002F6600">
        <w:rPr>
          <w:rFonts w:cstheme="minorHAnsi"/>
        </w:rPr>
        <w:t xml:space="preserve">EU, de EU-lidstaten en die </w:t>
      </w:r>
      <w:r w:rsidRPr="00FD0980">
        <w:rPr>
          <w:rFonts w:cstheme="minorHAnsi"/>
        </w:rPr>
        <w:t>Latijns-Amerikaanse en Caribische Staten</w:t>
      </w:r>
      <w:r w:rsidRPr="00FD0980" w:rsidR="002F6600">
        <w:rPr>
          <w:rFonts w:cstheme="minorHAnsi"/>
        </w:rPr>
        <w:t xml:space="preserve"> </w:t>
      </w:r>
      <w:r w:rsidRPr="00FD0980">
        <w:rPr>
          <w:rFonts w:cstheme="minorHAnsi"/>
        </w:rPr>
        <w:t xml:space="preserve">die kenbaar hebben gemaakt in te stemmen </w:t>
      </w:r>
      <w:r w:rsidRPr="00FD0980" w:rsidR="002F6600">
        <w:rPr>
          <w:rFonts w:cstheme="minorHAnsi"/>
        </w:rPr>
        <w:t xml:space="preserve">met juridische binding aan </w:t>
      </w:r>
      <w:r w:rsidRPr="00FD0980">
        <w:rPr>
          <w:rFonts w:cstheme="minorHAnsi"/>
        </w:rPr>
        <w:t>de o</w:t>
      </w:r>
      <w:r w:rsidRPr="00FD0980" w:rsidR="002F6600">
        <w:rPr>
          <w:rFonts w:cstheme="minorHAnsi"/>
        </w:rPr>
        <w:t>nderhavige O</w:t>
      </w:r>
      <w:r w:rsidRPr="00FD0980">
        <w:rPr>
          <w:rFonts w:cstheme="minorHAnsi"/>
        </w:rPr>
        <w:t xml:space="preserve">vereenkomst. Artikel 3 geeft ook aan dat de Stichting </w:t>
      </w:r>
      <w:r w:rsidRPr="00FD0980" w:rsidR="00F17460">
        <w:rPr>
          <w:rFonts w:cstheme="minorHAnsi"/>
        </w:rPr>
        <w:t>openstaat</w:t>
      </w:r>
      <w:r w:rsidRPr="00FD0980">
        <w:rPr>
          <w:rFonts w:cstheme="minorHAnsi"/>
        </w:rPr>
        <w:t xml:space="preserve"> voor deelname </w:t>
      </w:r>
      <w:r w:rsidRPr="00FD0980" w:rsidR="00F229CD">
        <w:rPr>
          <w:rFonts w:cstheme="minorHAnsi"/>
        </w:rPr>
        <w:t>van CELAC</w:t>
      </w:r>
      <w:r w:rsidRPr="00FD0980" w:rsidR="002F6600">
        <w:rPr>
          <w:rFonts w:cstheme="minorHAnsi"/>
        </w:rPr>
        <w:t xml:space="preserve">. </w:t>
      </w:r>
    </w:p>
    <w:p w:rsidRPr="00FD0980" w:rsidR="006D3F08" w:rsidP="00FD0980" w:rsidRDefault="00F17460" w14:paraId="28CB5E19" w14:textId="77777777">
      <w:pPr>
        <w:jc w:val="both"/>
        <w:rPr>
          <w:rFonts w:cstheme="minorHAnsi"/>
        </w:rPr>
      </w:pPr>
      <w:r w:rsidRPr="00FD0980">
        <w:rPr>
          <w:rFonts w:cstheme="minorHAnsi"/>
        </w:rPr>
        <w:t xml:space="preserve">Artikel 4 stelt de juridische status van de </w:t>
      </w:r>
      <w:r w:rsidRPr="00FD0980" w:rsidR="004026DE">
        <w:rPr>
          <w:rFonts w:cstheme="minorHAnsi"/>
        </w:rPr>
        <w:t xml:space="preserve">internationale </w:t>
      </w:r>
      <w:r w:rsidRPr="00FD0980">
        <w:rPr>
          <w:rFonts w:cstheme="minorHAnsi"/>
        </w:rPr>
        <w:t xml:space="preserve">EU-LAC-Stichting vast. De Stichting </w:t>
      </w:r>
      <w:r w:rsidRPr="00FD0980" w:rsidR="004026DE">
        <w:rPr>
          <w:rFonts w:cstheme="minorHAnsi"/>
        </w:rPr>
        <w:t>geniet</w:t>
      </w:r>
      <w:r w:rsidRPr="00FD0980">
        <w:rPr>
          <w:rFonts w:cstheme="minorHAnsi"/>
        </w:rPr>
        <w:t xml:space="preserve"> internationale rechtspersoonlijkheid </w:t>
      </w:r>
      <w:r w:rsidRPr="00FD0980" w:rsidR="004026DE">
        <w:rPr>
          <w:rFonts w:cstheme="minorHAnsi"/>
        </w:rPr>
        <w:t xml:space="preserve">en </w:t>
      </w:r>
      <w:r w:rsidRPr="00FD0980">
        <w:rPr>
          <w:rFonts w:cstheme="minorHAnsi"/>
        </w:rPr>
        <w:t xml:space="preserve">beschikt over de nodige handelingsbekwaamheid en geldt op het grondgebied van elk van haar leden, overeenkomstig hun nationale wetgeving. </w:t>
      </w:r>
      <w:r w:rsidRPr="00FD0980" w:rsidR="00955DF0">
        <w:rPr>
          <w:rFonts w:cstheme="minorHAnsi"/>
        </w:rPr>
        <w:t xml:space="preserve">Daarnaast </w:t>
      </w:r>
      <w:r w:rsidRPr="00FD0980">
        <w:rPr>
          <w:rFonts w:cstheme="minorHAnsi"/>
        </w:rPr>
        <w:t xml:space="preserve">heeft de Stichting bevoegdheid om </w:t>
      </w:r>
      <w:r w:rsidR="00145AF7">
        <w:rPr>
          <w:rFonts w:cstheme="minorHAnsi"/>
        </w:rPr>
        <w:t xml:space="preserve">onder meer </w:t>
      </w:r>
      <w:r w:rsidRPr="00FD0980">
        <w:rPr>
          <w:rFonts w:cstheme="minorHAnsi"/>
        </w:rPr>
        <w:t>contracten te sluiten</w:t>
      </w:r>
      <w:r w:rsidR="00145AF7">
        <w:rPr>
          <w:rFonts w:cstheme="minorHAnsi"/>
        </w:rPr>
        <w:t xml:space="preserve"> en</w:t>
      </w:r>
      <w:r w:rsidRPr="00FD0980" w:rsidR="00145AF7">
        <w:rPr>
          <w:rFonts w:cstheme="minorHAnsi"/>
        </w:rPr>
        <w:t xml:space="preserve"> </w:t>
      </w:r>
      <w:r w:rsidRPr="00FD0980">
        <w:rPr>
          <w:rFonts w:cstheme="minorHAnsi"/>
        </w:rPr>
        <w:t>(on)roerende goederen te verwerven.</w:t>
      </w:r>
    </w:p>
    <w:p w:rsidRPr="00FD0980" w:rsidR="0010482C" w:rsidP="00FD0980" w:rsidRDefault="00456985" w14:paraId="1CE59F3B" w14:textId="77777777">
      <w:pPr>
        <w:jc w:val="both"/>
        <w:rPr>
          <w:rFonts w:cstheme="minorHAnsi"/>
        </w:rPr>
      </w:pPr>
      <w:r w:rsidRPr="00FD0980">
        <w:rPr>
          <w:rFonts w:cstheme="minorHAnsi"/>
        </w:rPr>
        <w:t xml:space="preserve">In artikel 5 zijn de doelstellingen van de </w:t>
      </w:r>
      <w:r w:rsidRPr="00FD0980" w:rsidR="004026DE">
        <w:rPr>
          <w:rFonts w:cstheme="minorHAnsi"/>
        </w:rPr>
        <w:t xml:space="preserve">internationale </w:t>
      </w:r>
      <w:r w:rsidRPr="00FD0980">
        <w:rPr>
          <w:rFonts w:cstheme="minorHAnsi"/>
        </w:rPr>
        <w:t xml:space="preserve">EU-LAC-Stichting vastgelegd. </w:t>
      </w:r>
      <w:r w:rsidRPr="00FD0980" w:rsidR="00D01781">
        <w:rPr>
          <w:rFonts w:cstheme="minorHAnsi"/>
        </w:rPr>
        <w:t xml:space="preserve">Het eerstgenoemde doel is het versterken van de </w:t>
      </w:r>
      <w:r w:rsidRPr="00FD0980" w:rsidR="004026DE">
        <w:rPr>
          <w:rFonts w:cstheme="minorHAnsi"/>
        </w:rPr>
        <w:t>EU-CELAC</w:t>
      </w:r>
      <w:r w:rsidRPr="00FD0980" w:rsidR="000843A1">
        <w:rPr>
          <w:rFonts w:cstheme="minorHAnsi"/>
        </w:rPr>
        <w:t xml:space="preserve"> biregionale partnerschap</w:t>
      </w:r>
      <w:r w:rsidRPr="00FD0980" w:rsidR="00D01781">
        <w:rPr>
          <w:rFonts w:cstheme="minorHAnsi"/>
        </w:rPr>
        <w:t xml:space="preserve">. Ook moet de Stichting bijdragen aan een grotere wederzijdse kennis en begrip tussen de twee regio’s en aan een versterkte onderlinge zichtbaarheid tussen beide regio’s en die van het biregionale partnerschap zelf. </w:t>
      </w:r>
    </w:p>
    <w:p w:rsidRPr="00FD0980" w:rsidR="00D01781" w:rsidP="00FD0980" w:rsidRDefault="00D01781" w14:paraId="301A4C1D" w14:textId="77777777">
      <w:pPr>
        <w:jc w:val="both"/>
        <w:rPr>
          <w:rFonts w:cstheme="minorHAnsi"/>
        </w:rPr>
      </w:pPr>
      <w:r w:rsidRPr="00FD0980">
        <w:rPr>
          <w:rFonts w:cstheme="minorHAnsi"/>
        </w:rPr>
        <w:t xml:space="preserve">In artikel 6 </w:t>
      </w:r>
      <w:r w:rsidR="00496002">
        <w:rPr>
          <w:rFonts w:cstheme="minorHAnsi"/>
        </w:rPr>
        <w:t>zijn</w:t>
      </w:r>
      <w:r w:rsidRPr="00FD0980">
        <w:rPr>
          <w:rFonts w:cstheme="minorHAnsi"/>
        </w:rPr>
        <w:t xml:space="preserve"> de criteria voor het opzetten van activiteiten vastgesteld</w:t>
      </w:r>
      <w:r w:rsidRPr="00FD0980" w:rsidR="00162080">
        <w:rPr>
          <w:rFonts w:cstheme="minorHAnsi"/>
        </w:rPr>
        <w:t xml:space="preserve"> en in artikel 7 worden de activiteiten nader beschreven</w:t>
      </w:r>
      <w:r w:rsidRPr="00FD0980">
        <w:rPr>
          <w:rFonts w:cstheme="minorHAnsi"/>
        </w:rPr>
        <w:t>.</w:t>
      </w:r>
      <w:r w:rsidRPr="00FD0980" w:rsidR="00330EBC">
        <w:rPr>
          <w:rFonts w:cstheme="minorHAnsi"/>
        </w:rPr>
        <w:t xml:space="preserve"> </w:t>
      </w:r>
    </w:p>
    <w:p w:rsidRPr="00FD0980" w:rsidR="00D12F8E" w:rsidP="00FD0980" w:rsidRDefault="00584AB3" w14:paraId="7BE6B86B" w14:textId="77777777">
      <w:pPr>
        <w:jc w:val="both"/>
        <w:rPr>
          <w:rFonts w:cstheme="minorHAnsi"/>
        </w:rPr>
      </w:pPr>
      <w:r w:rsidRPr="00FD0980">
        <w:rPr>
          <w:rFonts w:cstheme="minorHAnsi"/>
        </w:rPr>
        <w:t xml:space="preserve">De artikelen 8 tot en met 15 omvatten organisatorische en institutionele bepalingen. Artikel 8 regelt de structuur van de Stichting. De organen van de Stichting zijn: een </w:t>
      </w:r>
      <w:r w:rsidRPr="00FD0980" w:rsidR="00DB17AD">
        <w:rPr>
          <w:rFonts w:cstheme="minorHAnsi"/>
        </w:rPr>
        <w:t>Raad van Bestuur (RvB)</w:t>
      </w:r>
      <w:r w:rsidRPr="00FD0980">
        <w:rPr>
          <w:rFonts w:cstheme="minorHAnsi"/>
        </w:rPr>
        <w:t xml:space="preserve"> (artikel 9 tot en met 13)</w:t>
      </w:r>
      <w:r w:rsidRPr="00FD0980" w:rsidR="009632F6">
        <w:rPr>
          <w:rFonts w:cstheme="minorHAnsi"/>
        </w:rPr>
        <w:t>, een voorzitter</w:t>
      </w:r>
      <w:r w:rsidRPr="00FD0980" w:rsidR="00D12F8E">
        <w:rPr>
          <w:rFonts w:cstheme="minorHAnsi"/>
        </w:rPr>
        <w:t xml:space="preserve"> </w:t>
      </w:r>
      <w:r w:rsidRPr="00FD0980">
        <w:rPr>
          <w:rFonts w:cstheme="minorHAnsi"/>
        </w:rPr>
        <w:t xml:space="preserve">(artikel 14) </w:t>
      </w:r>
      <w:r w:rsidRPr="00FD0980" w:rsidR="00D12F8E">
        <w:rPr>
          <w:rFonts w:cstheme="minorHAnsi"/>
        </w:rPr>
        <w:t>en een uitvoerend directeur</w:t>
      </w:r>
      <w:r w:rsidRPr="00FD0980">
        <w:rPr>
          <w:rFonts w:cstheme="minorHAnsi"/>
        </w:rPr>
        <w:t xml:space="preserve"> (artikel 15)</w:t>
      </w:r>
      <w:r w:rsidRPr="00FD0980" w:rsidR="00D12F8E">
        <w:rPr>
          <w:rFonts w:cstheme="minorHAnsi"/>
        </w:rPr>
        <w:t>.</w:t>
      </w:r>
    </w:p>
    <w:p w:rsidRPr="00FD0980" w:rsidR="00C6508B" w:rsidP="00FD0980" w:rsidRDefault="00410AEB" w14:paraId="5D3DD070" w14:textId="77777777">
      <w:pPr>
        <w:jc w:val="both"/>
        <w:rPr>
          <w:rFonts w:cstheme="minorHAnsi"/>
        </w:rPr>
      </w:pPr>
      <w:r w:rsidRPr="00FD0980">
        <w:rPr>
          <w:rFonts w:cstheme="minorHAnsi"/>
        </w:rPr>
        <w:t xml:space="preserve">De financiering van de Stichting </w:t>
      </w:r>
      <w:r w:rsidR="00145AF7">
        <w:rPr>
          <w:rFonts w:cstheme="minorHAnsi"/>
        </w:rPr>
        <w:t xml:space="preserve">en de verificatie van de rekeningen </w:t>
      </w:r>
      <w:r w:rsidRPr="00FD0980" w:rsidR="00145AF7">
        <w:rPr>
          <w:rFonts w:cstheme="minorHAnsi"/>
        </w:rPr>
        <w:t>word</w:t>
      </w:r>
      <w:r w:rsidR="00145AF7">
        <w:rPr>
          <w:rFonts w:cstheme="minorHAnsi"/>
        </w:rPr>
        <w:t>en</w:t>
      </w:r>
      <w:r w:rsidRPr="00FD0980" w:rsidR="00145AF7">
        <w:rPr>
          <w:rFonts w:cstheme="minorHAnsi"/>
        </w:rPr>
        <w:t xml:space="preserve"> </w:t>
      </w:r>
      <w:r w:rsidRPr="00FD0980" w:rsidR="00EC7716">
        <w:rPr>
          <w:rFonts w:cstheme="minorHAnsi"/>
        </w:rPr>
        <w:t>geregeld</w:t>
      </w:r>
      <w:r w:rsidRPr="00FD0980">
        <w:rPr>
          <w:rFonts w:cstheme="minorHAnsi"/>
        </w:rPr>
        <w:t xml:space="preserve"> in </w:t>
      </w:r>
      <w:r w:rsidR="00145AF7">
        <w:rPr>
          <w:rFonts w:cstheme="minorHAnsi"/>
        </w:rPr>
        <w:t xml:space="preserve">de </w:t>
      </w:r>
      <w:r w:rsidRPr="00FD0980">
        <w:rPr>
          <w:rFonts w:cstheme="minorHAnsi"/>
        </w:rPr>
        <w:t>artikel</w:t>
      </w:r>
      <w:r w:rsidRPr="00FD0980" w:rsidR="00A241FE">
        <w:rPr>
          <w:rFonts w:cstheme="minorHAnsi"/>
        </w:rPr>
        <w:t>en</w:t>
      </w:r>
      <w:r w:rsidRPr="00FD0980">
        <w:rPr>
          <w:rFonts w:cstheme="minorHAnsi"/>
        </w:rPr>
        <w:t xml:space="preserve"> 16</w:t>
      </w:r>
      <w:r w:rsidRPr="00FD0980" w:rsidR="00A241FE">
        <w:rPr>
          <w:rFonts w:cstheme="minorHAnsi"/>
        </w:rPr>
        <w:t xml:space="preserve"> en 17</w:t>
      </w:r>
      <w:r w:rsidRPr="00FD0980">
        <w:rPr>
          <w:rFonts w:cstheme="minorHAnsi"/>
        </w:rPr>
        <w:t xml:space="preserve">. </w:t>
      </w:r>
      <w:r w:rsidRPr="00FD0980" w:rsidR="00C6508B">
        <w:rPr>
          <w:rFonts w:cstheme="minorHAnsi"/>
        </w:rPr>
        <w:t>Lidstaten zijn niet verplicht tot een financiële bijdrage</w:t>
      </w:r>
      <w:r w:rsidRPr="00FD0980" w:rsidR="00051AF4">
        <w:rPr>
          <w:rFonts w:cstheme="minorHAnsi"/>
        </w:rPr>
        <w:t xml:space="preserve">. Een dergelijke bijdrage </w:t>
      </w:r>
      <w:r w:rsidRPr="00FD0980" w:rsidR="00C6508B">
        <w:rPr>
          <w:rFonts w:cstheme="minorHAnsi"/>
        </w:rPr>
        <w:t xml:space="preserve">is geheel vrijwillig zonder </w:t>
      </w:r>
      <w:r w:rsidRPr="00FD0980" w:rsidR="00051AF4">
        <w:rPr>
          <w:rFonts w:cstheme="minorHAnsi"/>
        </w:rPr>
        <w:t xml:space="preserve">dat er </w:t>
      </w:r>
      <w:r w:rsidRPr="00FD0980" w:rsidR="00C6508B">
        <w:rPr>
          <w:rFonts w:cstheme="minorHAnsi"/>
        </w:rPr>
        <w:t xml:space="preserve">afbreuk </w:t>
      </w:r>
      <w:r w:rsidRPr="00FD0980" w:rsidR="00051AF4">
        <w:rPr>
          <w:rFonts w:cstheme="minorHAnsi"/>
        </w:rPr>
        <w:t>wordt gedaan</w:t>
      </w:r>
      <w:r w:rsidRPr="00FD0980" w:rsidR="00C6508B">
        <w:rPr>
          <w:rFonts w:cstheme="minorHAnsi"/>
        </w:rPr>
        <w:t xml:space="preserve"> aan deelname aan de </w:t>
      </w:r>
      <w:r w:rsidRPr="00FD0980" w:rsidR="00DB17AD">
        <w:rPr>
          <w:rFonts w:cstheme="minorHAnsi"/>
        </w:rPr>
        <w:t>RvB</w:t>
      </w:r>
      <w:r w:rsidRPr="00FD0980" w:rsidR="00C6508B">
        <w:rPr>
          <w:rFonts w:cstheme="minorHAnsi"/>
        </w:rPr>
        <w:t xml:space="preserve">. </w:t>
      </w:r>
      <w:r w:rsidRPr="00FD0980" w:rsidR="00A1761E">
        <w:rPr>
          <w:rFonts w:cstheme="minorHAnsi"/>
        </w:rPr>
        <w:t xml:space="preserve">Voor het verifiëren van de rekeningen van de Stichting worden door de </w:t>
      </w:r>
      <w:r w:rsidRPr="00FD0980" w:rsidR="00DB17AD">
        <w:rPr>
          <w:rFonts w:cstheme="minorHAnsi"/>
        </w:rPr>
        <w:t>RvB</w:t>
      </w:r>
      <w:r w:rsidRPr="00FD0980" w:rsidR="00A1761E">
        <w:rPr>
          <w:rFonts w:cstheme="minorHAnsi"/>
        </w:rPr>
        <w:t xml:space="preserve"> onafhankelijke accountants benoemd.</w:t>
      </w:r>
      <w:r w:rsidRPr="00FD0980" w:rsidR="00CD212A">
        <w:rPr>
          <w:rFonts w:cstheme="minorHAnsi"/>
        </w:rPr>
        <w:t xml:space="preserve"> </w:t>
      </w:r>
    </w:p>
    <w:p w:rsidRPr="00FD0980" w:rsidR="00A1761E" w:rsidP="00FD0980" w:rsidRDefault="00A1761E" w14:paraId="2772445C" w14:textId="77777777">
      <w:pPr>
        <w:jc w:val="both"/>
        <w:rPr>
          <w:rFonts w:cstheme="minorHAnsi"/>
        </w:rPr>
      </w:pPr>
      <w:r w:rsidRPr="00FD0980">
        <w:rPr>
          <w:rFonts w:cstheme="minorHAnsi"/>
        </w:rPr>
        <w:t>Artikel 18 stelt vast hoe de evaluatie van de Stichting plaatsvindt</w:t>
      </w:r>
      <w:r w:rsidRPr="00FD0980" w:rsidR="000C3B85">
        <w:rPr>
          <w:rFonts w:cstheme="minorHAnsi"/>
        </w:rPr>
        <w:t xml:space="preserve"> en behoeft geen nadere toelichting</w:t>
      </w:r>
      <w:r w:rsidRPr="00FD0980" w:rsidR="0095476D">
        <w:rPr>
          <w:rFonts w:cstheme="minorHAnsi"/>
        </w:rPr>
        <w:t>.</w:t>
      </w:r>
    </w:p>
    <w:p w:rsidRPr="00FD0980" w:rsidR="00A1761E" w:rsidP="00FD0980" w:rsidRDefault="00A1761E" w14:paraId="65B557EF" w14:textId="77777777">
      <w:pPr>
        <w:jc w:val="both"/>
        <w:rPr>
          <w:rFonts w:cstheme="minorHAnsi"/>
        </w:rPr>
      </w:pPr>
      <w:r w:rsidRPr="00FD0980">
        <w:rPr>
          <w:rFonts w:cstheme="minorHAnsi"/>
        </w:rPr>
        <w:t xml:space="preserve">In artikel 19 </w:t>
      </w:r>
      <w:r w:rsidRPr="00FD0980" w:rsidR="00156C23">
        <w:rPr>
          <w:rFonts w:cstheme="minorHAnsi"/>
        </w:rPr>
        <w:t>worden de strategische partnerschappen van de Stichting</w:t>
      </w:r>
      <w:r w:rsidRPr="00FD0980" w:rsidR="00487AB9">
        <w:rPr>
          <w:rFonts w:cstheme="minorHAnsi"/>
        </w:rPr>
        <w:t xml:space="preserve"> geregeld</w:t>
      </w:r>
      <w:r w:rsidR="00317865">
        <w:rPr>
          <w:rFonts w:cstheme="minorHAnsi"/>
        </w:rPr>
        <w:t xml:space="preserve"> en behoeft tevens geen nadere toelichting</w:t>
      </w:r>
      <w:r w:rsidRPr="00FD0980" w:rsidR="00156C23">
        <w:rPr>
          <w:rFonts w:cstheme="minorHAnsi"/>
        </w:rPr>
        <w:t>.</w:t>
      </w:r>
      <w:r w:rsidRPr="00FD0980" w:rsidR="00984559">
        <w:rPr>
          <w:rFonts w:cstheme="minorHAnsi"/>
        </w:rPr>
        <w:t xml:space="preserve"> </w:t>
      </w:r>
    </w:p>
    <w:p w:rsidRPr="00FD0980" w:rsidR="009A0C9A" w:rsidP="00FD0980" w:rsidRDefault="00420B69" w14:paraId="78FB55D8" w14:textId="77777777">
      <w:pPr>
        <w:jc w:val="both"/>
        <w:rPr>
          <w:rFonts w:cstheme="minorHAnsi"/>
        </w:rPr>
      </w:pPr>
      <w:r w:rsidRPr="00FD0980">
        <w:rPr>
          <w:rFonts w:cstheme="minorHAnsi"/>
        </w:rPr>
        <w:t>A</w:t>
      </w:r>
      <w:r w:rsidRPr="00FD0980" w:rsidR="00D71BFD">
        <w:rPr>
          <w:rFonts w:cstheme="minorHAnsi"/>
        </w:rPr>
        <w:t xml:space="preserve">rtikel 20 </w:t>
      </w:r>
      <w:r w:rsidRPr="00FD0980">
        <w:rPr>
          <w:rFonts w:cstheme="minorHAnsi"/>
        </w:rPr>
        <w:t xml:space="preserve">beschrijft </w:t>
      </w:r>
      <w:r w:rsidRPr="00FD0980" w:rsidR="00D71BFD">
        <w:rPr>
          <w:rFonts w:cstheme="minorHAnsi"/>
        </w:rPr>
        <w:t>de voorrechten en immuniteiten van de EU-LAC-Stichting</w:t>
      </w:r>
      <w:r w:rsidR="00BE0066">
        <w:rPr>
          <w:rFonts w:cstheme="minorHAnsi"/>
        </w:rPr>
        <w:t xml:space="preserve"> </w:t>
      </w:r>
      <w:r w:rsidRPr="00FD0980">
        <w:rPr>
          <w:rFonts w:cstheme="minorHAnsi"/>
        </w:rPr>
        <w:t>met betrekking tot onder meer het sluiten van overeenkomsten en de vrijstelling van belastingen</w:t>
      </w:r>
      <w:r w:rsidRPr="00FD0980" w:rsidR="00D71BFD">
        <w:rPr>
          <w:rFonts w:cstheme="minorHAnsi"/>
        </w:rPr>
        <w:t>.</w:t>
      </w:r>
      <w:r w:rsidR="00BE0066">
        <w:rPr>
          <w:rFonts w:cstheme="minorHAnsi"/>
        </w:rPr>
        <w:t xml:space="preserve"> In het tweede lid wordt verwezen naar de zetelovereenkomst die de Stichting, vanwege de vestiging in Hamburg, met Duitsland zal sluiten.</w:t>
      </w:r>
      <w:r w:rsidRPr="00FD0980" w:rsidR="00D71BFD">
        <w:rPr>
          <w:rFonts w:cstheme="minorHAnsi"/>
        </w:rPr>
        <w:t xml:space="preserve"> </w:t>
      </w:r>
      <w:r w:rsidRPr="00FD0980" w:rsidR="00F12C99">
        <w:rPr>
          <w:rFonts w:cstheme="minorHAnsi"/>
        </w:rPr>
        <w:t>De</w:t>
      </w:r>
      <w:r w:rsidR="00006353">
        <w:rPr>
          <w:rFonts w:cstheme="minorHAnsi"/>
        </w:rPr>
        <w:t>ze</w:t>
      </w:r>
      <w:r w:rsidRPr="00FD0980" w:rsidR="00F12C99">
        <w:rPr>
          <w:rFonts w:cstheme="minorHAnsi"/>
        </w:rPr>
        <w:t xml:space="preserve"> zetelovereenkomst is leidend bij het bepalen van de status, voorrechten en immuniteiten van de </w:t>
      </w:r>
      <w:r w:rsidRPr="00FD0980" w:rsidR="00F12C99">
        <w:rPr>
          <w:rFonts w:cstheme="minorHAnsi"/>
        </w:rPr>
        <w:lastRenderedPageBreak/>
        <w:t>Stichting, haar organen, (staf)personeel en de vertegenwoordigers van de leden wanneer zij zich op Duits grondgebied bevinden.</w:t>
      </w:r>
      <w:r w:rsidRPr="00FD0980" w:rsidR="00700228">
        <w:rPr>
          <w:rFonts w:cstheme="minorHAnsi"/>
        </w:rPr>
        <w:t xml:space="preserve"> </w:t>
      </w:r>
      <w:r w:rsidR="004024BB">
        <w:rPr>
          <w:rFonts w:cstheme="minorHAnsi"/>
        </w:rPr>
        <w:t>De</w:t>
      </w:r>
      <w:r w:rsidR="00FD0980">
        <w:rPr>
          <w:rFonts w:cstheme="minorHAnsi"/>
        </w:rPr>
        <w:t xml:space="preserve"> zetelovereenkomst </w:t>
      </w:r>
      <w:r w:rsidR="005C3356">
        <w:rPr>
          <w:rFonts w:cstheme="minorHAnsi"/>
        </w:rPr>
        <w:t xml:space="preserve">staat </w:t>
      </w:r>
      <w:r w:rsidR="00684C32">
        <w:rPr>
          <w:rFonts w:cstheme="minorHAnsi"/>
        </w:rPr>
        <w:t xml:space="preserve">op grond van het derde lid van artikel 20 geheel </w:t>
      </w:r>
      <w:r w:rsidR="005C3356">
        <w:rPr>
          <w:rFonts w:cstheme="minorHAnsi"/>
        </w:rPr>
        <w:t>los</w:t>
      </w:r>
      <w:r w:rsidR="001F3CE2">
        <w:rPr>
          <w:rFonts w:cstheme="minorHAnsi"/>
        </w:rPr>
        <w:t xml:space="preserve"> van de onderhavige Overeenkomst.</w:t>
      </w:r>
    </w:p>
    <w:p w:rsidRPr="00FD0980" w:rsidR="001E1272" w:rsidP="009A0C9A" w:rsidRDefault="001E1272" w14:paraId="5D19407E" w14:textId="77777777">
      <w:pPr>
        <w:jc w:val="both"/>
        <w:rPr>
          <w:rFonts w:cstheme="minorHAnsi"/>
        </w:rPr>
      </w:pPr>
      <w:r w:rsidRPr="00FD0980">
        <w:rPr>
          <w:rFonts w:cstheme="minorHAnsi"/>
        </w:rPr>
        <w:t xml:space="preserve">De </w:t>
      </w:r>
      <w:r w:rsidR="005C3356">
        <w:rPr>
          <w:rFonts w:cstheme="minorHAnsi"/>
        </w:rPr>
        <w:t>O</w:t>
      </w:r>
      <w:r w:rsidRPr="00FD0980">
        <w:rPr>
          <w:rFonts w:cstheme="minorHAnsi"/>
        </w:rPr>
        <w:t>vereenkomst bevat de gebruikelijke slotbepalingen inzake de werktalen (artikel 21), de geschillenbeslechting (artikel 22), amendementen (artikel 23), ratificatie en toetreding (artikel 24), inwerkingtreding (artikel 25), duur en opzegging (artikel 26), ontbinding en vereffening (artikel 27), de neerlegging van de akten (artikel 28), voorbehouden (artikel 29) en de overgangsbepalingen (artikel 30).</w:t>
      </w:r>
    </w:p>
    <w:p w:rsidRPr="00FD0980" w:rsidR="00D8082D" w:rsidP="00FD0980" w:rsidRDefault="00D8082D" w14:paraId="2CCC19E3" w14:textId="77777777">
      <w:pPr>
        <w:pStyle w:val="ListParagraph"/>
        <w:numPr>
          <w:ilvl w:val="0"/>
          <w:numId w:val="14"/>
        </w:numPr>
        <w:jc w:val="both"/>
        <w:rPr>
          <w:rFonts w:cstheme="minorHAnsi"/>
          <w:b/>
        </w:rPr>
      </w:pPr>
      <w:r w:rsidRPr="00FD0980">
        <w:rPr>
          <w:rFonts w:cstheme="minorHAnsi"/>
          <w:b/>
        </w:rPr>
        <w:t>Een ieder verbindende bepalingen</w:t>
      </w:r>
    </w:p>
    <w:p w:rsidR="00F66385" w:rsidP="00FD0980" w:rsidRDefault="00F971C4" w14:paraId="2D09D376" w14:textId="6F2CF019">
      <w:pPr>
        <w:jc w:val="both"/>
        <w:rPr>
          <w:rFonts w:cstheme="minorHAnsi"/>
        </w:rPr>
      </w:pPr>
      <w:r w:rsidRPr="00FD0980">
        <w:rPr>
          <w:rFonts w:cstheme="minorHAnsi"/>
        </w:rPr>
        <w:t xml:space="preserve">Naar het oordeel van de regering bevat de Overeenkomst </w:t>
      </w:r>
      <w:r w:rsidR="005E36E9">
        <w:rPr>
          <w:rFonts w:cstheme="minorHAnsi"/>
        </w:rPr>
        <w:t>slechts enkele een</w:t>
      </w:r>
      <w:r w:rsidRPr="00FD0980">
        <w:rPr>
          <w:rFonts w:cstheme="minorHAnsi"/>
        </w:rPr>
        <w:t xml:space="preserve"> ieder verbindende bepalingen in de zin van artikelen 93 en 94 van de Grondwet, die aan rechtssubjecten rechtstreeks rechten </w:t>
      </w:r>
      <w:r w:rsidRPr="00FD0980" w:rsidR="004851A2">
        <w:rPr>
          <w:rFonts w:cstheme="minorHAnsi"/>
        </w:rPr>
        <w:t>toekennen of plichten opleggen</w:t>
      </w:r>
      <w:r w:rsidRPr="00FD0980" w:rsidR="007D4CCB">
        <w:rPr>
          <w:rFonts w:cstheme="minorHAnsi"/>
        </w:rPr>
        <w:t>.</w:t>
      </w:r>
      <w:r w:rsidR="005E36E9">
        <w:rPr>
          <w:rFonts w:cstheme="minorHAnsi"/>
        </w:rPr>
        <w:t xml:space="preserve"> In enkele bepalingen zijn afspraken opgenomen waaraan door de rechter rechtstreekse werking toegekend zou kunnen worden.</w:t>
      </w:r>
      <w:r w:rsidR="00A2228A">
        <w:rPr>
          <w:rFonts w:cstheme="minorHAnsi"/>
        </w:rPr>
        <w:t xml:space="preserve"> Het gaat hierbij om</w:t>
      </w:r>
      <w:r w:rsidR="005E36E9">
        <w:rPr>
          <w:rFonts w:cstheme="minorHAnsi"/>
        </w:rPr>
        <w:t xml:space="preserve"> </w:t>
      </w:r>
      <w:r w:rsidR="00A2228A">
        <w:rPr>
          <w:rFonts w:cstheme="minorHAnsi"/>
        </w:rPr>
        <w:t xml:space="preserve">de bepalingen genoemd in </w:t>
      </w:r>
      <w:r w:rsidR="00006353">
        <w:rPr>
          <w:rFonts w:cstheme="minorHAnsi"/>
        </w:rPr>
        <w:t xml:space="preserve">de </w:t>
      </w:r>
      <w:r w:rsidR="005E36E9">
        <w:rPr>
          <w:rFonts w:cstheme="minorHAnsi"/>
        </w:rPr>
        <w:t>l</w:t>
      </w:r>
      <w:r w:rsidR="00006353">
        <w:rPr>
          <w:rFonts w:cstheme="minorHAnsi"/>
        </w:rPr>
        <w:t xml:space="preserve">eden </w:t>
      </w:r>
      <w:r w:rsidR="005E36E9">
        <w:rPr>
          <w:rFonts w:cstheme="minorHAnsi"/>
        </w:rPr>
        <w:t>5 t/m 7 van artikel 20. De</w:t>
      </w:r>
      <w:r w:rsidR="00A2228A">
        <w:rPr>
          <w:rFonts w:cstheme="minorHAnsi"/>
        </w:rPr>
        <w:t xml:space="preserve"> bepalingen zijn in lijn met wat Nederland zelf als gastland normaal doet. Bovendien wordt duidelijk aangegeven dat het bij de privileges en immuniteiten om de offici</w:t>
      </w:r>
      <w:r w:rsidRPr="00006353" w:rsidR="00A2228A">
        <w:rPr>
          <w:rFonts w:cstheme="minorHAnsi"/>
        </w:rPr>
        <w:t>ë</w:t>
      </w:r>
      <w:r w:rsidR="00A2228A">
        <w:rPr>
          <w:rFonts w:cstheme="minorHAnsi"/>
        </w:rPr>
        <w:t xml:space="preserve">le activiteiten van de Stichting </w:t>
      </w:r>
      <w:r w:rsidR="000C4C14">
        <w:rPr>
          <w:rFonts w:cstheme="minorHAnsi"/>
        </w:rPr>
        <w:t xml:space="preserve">gaat </w:t>
      </w:r>
      <w:r w:rsidR="00A2228A">
        <w:rPr>
          <w:rFonts w:cstheme="minorHAnsi"/>
        </w:rPr>
        <w:t>en bij het personeel om betalingen gedaan door de Stichting</w:t>
      </w:r>
      <w:r w:rsidR="000C4C14">
        <w:rPr>
          <w:rFonts w:cstheme="minorHAnsi"/>
        </w:rPr>
        <w:t>, waardoor de bepalingen voldoende afgebakend zijn</w:t>
      </w:r>
      <w:r w:rsidR="005E36E9">
        <w:rPr>
          <w:rFonts w:cstheme="minorHAnsi"/>
        </w:rPr>
        <w:t>.</w:t>
      </w:r>
    </w:p>
    <w:p w:rsidRPr="00FD0980" w:rsidR="004851A2" w:rsidP="00FD0980" w:rsidRDefault="004851A2" w14:paraId="6D021FF8" w14:textId="77777777">
      <w:pPr>
        <w:pStyle w:val="ListParagraph"/>
        <w:numPr>
          <w:ilvl w:val="0"/>
          <w:numId w:val="14"/>
        </w:numPr>
        <w:jc w:val="both"/>
        <w:rPr>
          <w:rFonts w:cstheme="minorHAnsi"/>
          <w:b/>
        </w:rPr>
      </w:pPr>
      <w:r w:rsidRPr="00FD0980">
        <w:rPr>
          <w:rFonts w:cstheme="minorHAnsi"/>
          <w:b/>
        </w:rPr>
        <w:t>Koninkrijkspositie</w:t>
      </w:r>
    </w:p>
    <w:p w:rsidRPr="00255DE7" w:rsidR="00255DE7" w:rsidP="00255DE7" w:rsidRDefault="00255DE7" w14:paraId="05915F97" w14:textId="77777777">
      <w:pPr>
        <w:jc w:val="both"/>
        <w:rPr>
          <w:szCs w:val="18"/>
        </w:rPr>
      </w:pPr>
      <w:r w:rsidRPr="00255DE7">
        <w:rPr>
          <w:szCs w:val="18"/>
        </w:rPr>
        <w:t xml:space="preserve">De </w:t>
      </w:r>
      <w:r w:rsidRPr="00306175">
        <w:rPr>
          <w:szCs w:val="18"/>
        </w:rPr>
        <w:t xml:space="preserve">Overeenkomst zal wat betreft het Koninkrijk der Nederlanden alleen voor het Europese deel van Nederland gelden. </w:t>
      </w:r>
      <w:r w:rsidRPr="00306175" w:rsidR="00350A08">
        <w:rPr>
          <w:rFonts w:cs="Arial"/>
          <w:szCs w:val="18"/>
        </w:rPr>
        <w:t>Op grond van artikel 52, lid 2, VEU en artikel 355, lid 2, VWEU en de jurisprudentie van het Hof van Justitie van de Europese Unie vallen de Landen en Gebieden Overzee (</w:t>
      </w:r>
      <w:r w:rsidRPr="00306175" w:rsidR="00350A08">
        <w:rPr>
          <w:rFonts w:cs="Arial"/>
          <w:i/>
          <w:szCs w:val="18"/>
        </w:rPr>
        <w:t>in casu</w:t>
      </w:r>
      <w:r w:rsidRPr="00306175" w:rsidR="00350A08">
        <w:rPr>
          <w:rFonts w:cs="Arial"/>
          <w:szCs w:val="18"/>
        </w:rPr>
        <w:t xml:space="preserve"> de landen Aruba, Curaçao en Sint Maarten, en daarnaast Bonaire, Sint Eustatius en Saba) buiten het toepassingsbereik van de Overeenkomst.</w:t>
      </w:r>
    </w:p>
    <w:p w:rsidR="00AE12C9" w:rsidP="00FD0980" w:rsidRDefault="00AE12C9" w14:paraId="4612C78E" w14:textId="5EF0E59E">
      <w:pPr>
        <w:jc w:val="both"/>
        <w:rPr>
          <w:szCs w:val="18"/>
        </w:rPr>
      </w:pPr>
    </w:p>
    <w:p w:rsidRPr="00FD0980" w:rsidR="00306175" w:rsidP="00FD0980" w:rsidRDefault="00306175" w14:paraId="5AA5BE88" w14:textId="77777777">
      <w:pPr>
        <w:jc w:val="both"/>
        <w:rPr>
          <w:rFonts w:cstheme="minorHAnsi"/>
        </w:rPr>
      </w:pPr>
    </w:p>
    <w:p w:rsidRPr="00FD0980" w:rsidR="005D74DB" w:rsidP="00FD0980" w:rsidRDefault="005D74DB" w14:paraId="597E68FA" w14:textId="77777777">
      <w:pPr>
        <w:jc w:val="both"/>
        <w:rPr>
          <w:rFonts w:cstheme="minorHAnsi"/>
        </w:rPr>
      </w:pPr>
      <w:r w:rsidRPr="00FD0980">
        <w:rPr>
          <w:rFonts w:cstheme="minorHAnsi"/>
        </w:rPr>
        <w:t>De Minister van Buitenlandse Zaken,</w:t>
      </w:r>
    </w:p>
    <w:sectPr w:rsidRPr="00FD0980" w:rsidR="005D74DB">
      <w:footerReference w:type="default" r:id="rId1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3382B" w14:textId="77777777" w:rsidR="00004F2E" w:rsidRDefault="00004F2E" w:rsidP="00A0465C">
      <w:pPr>
        <w:spacing w:after="0" w:line="240" w:lineRule="auto"/>
      </w:pPr>
      <w:r>
        <w:separator/>
      </w:r>
    </w:p>
  </w:endnote>
  <w:endnote w:type="continuationSeparator" w:id="0">
    <w:p w14:paraId="0F419856" w14:textId="77777777" w:rsidR="00004F2E" w:rsidRDefault="00004F2E" w:rsidP="00A0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54155"/>
      <w:docPartObj>
        <w:docPartGallery w:val="Page Numbers (Bottom of Page)"/>
        <w:docPartUnique/>
      </w:docPartObj>
    </w:sdtPr>
    <w:sdtEndPr/>
    <w:sdtContent>
      <w:p w14:paraId="327D14CD" w14:textId="3219F9B6" w:rsidR="004266AF" w:rsidRDefault="004266AF">
        <w:pPr>
          <w:pStyle w:val="Footer"/>
          <w:jc w:val="right"/>
        </w:pPr>
        <w:r>
          <w:fldChar w:fldCharType="begin"/>
        </w:r>
        <w:r>
          <w:instrText>PAGE   \* MERGEFORMAT</w:instrText>
        </w:r>
        <w:r>
          <w:fldChar w:fldCharType="separate"/>
        </w:r>
        <w:r w:rsidR="000337C4">
          <w:rPr>
            <w:noProof/>
          </w:rPr>
          <w:t>4</w:t>
        </w:r>
        <w:r>
          <w:fldChar w:fldCharType="end"/>
        </w:r>
      </w:p>
    </w:sdtContent>
  </w:sdt>
  <w:p w14:paraId="0393C6E1" w14:textId="77777777" w:rsidR="004266AF" w:rsidRDefault="0042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55A16" w14:textId="77777777" w:rsidR="00004F2E" w:rsidRDefault="00004F2E" w:rsidP="00A0465C">
      <w:pPr>
        <w:spacing w:after="0" w:line="240" w:lineRule="auto"/>
      </w:pPr>
      <w:r>
        <w:separator/>
      </w:r>
    </w:p>
  </w:footnote>
  <w:footnote w:type="continuationSeparator" w:id="0">
    <w:p w14:paraId="7B7506C6" w14:textId="77777777" w:rsidR="00004F2E" w:rsidRDefault="00004F2E" w:rsidP="00A0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831"/>
    <w:multiLevelType w:val="hybridMultilevel"/>
    <w:tmpl w:val="6374F04E"/>
    <w:lvl w:ilvl="0" w:tplc="010A1984">
      <w:start w:val="1"/>
      <w:numFmt w:val="lowerRoman"/>
      <w:lvlText w:val="%1&gt;"/>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3A2AA9"/>
    <w:multiLevelType w:val="hybridMultilevel"/>
    <w:tmpl w:val="A4827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77093C"/>
    <w:multiLevelType w:val="hybridMultilevel"/>
    <w:tmpl w:val="F8C64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155819"/>
    <w:multiLevelType w:val="hybridMultilevel"/>
    <w:tmpl w:val="E45AD50E"/>
    <w:lvl w:ilvl="0" w:tplc="7FC8939A">
      <w:start w:val="1"/>
      <w:numFmt w:val="upperRoman"/>
      <w:lvlText w:val="%1."/>
      <w:lvlJc w:val="left"/>
      <w:pPr>
        <w:ind w:left="720" w:hanging="720"/>
      </w:pPr>
      <w:rPr>
        <w:rFonts w:hint="default"/>
        <w:b/>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1D3254C"/>
    <w:multiLevelType w:val="hybridMultilevel"/>
    <w:tmpl w:val="892001B2"/>
    <w:lvl w:ilvl="0" w:tplc="E084EC4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2F0F01"/>
    <w:multiLevelType w:val="hybridMultilevel"/>
    <w:tmpl w:val="B0CAB3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A16C58"/>
    <w:multiLevelType w:val="hybridMultilevel"/>
    <w:tmpl w:val="659A3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084600"/>
    <w:multiLevelType w:val="hybridMultilevel"/>
    <w:tmpl w:val="F1F29140"/>
    <w:lvl w:ilvl="0" w:tplc="82021E3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0B1A6B"/>
    <w:multiLevelType w:val="hybridMultilevel"/>
    <w:tmpl w:val="6AD01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B273BF"/>
    <w:multiLevelType w:val="hybridMultilevel"/>
    <w:tmpl w:val="98BAA588"/>
    <w:lvl w:ilvl="0" w:tplc="8982BA9C">
      <w:start w:val="1"/>
      <w:numFmt w:val="upperRoman"/>
      <w:lvlText w:val="%1."/>
      <w:lvlJc w:val="left"/>
      <w:pPr>
        <w:ind w:left="720" w:hanging="720"/>
      </w:pPr>
      <w:rPr>
        <w:rFonts w:hint="default"/>
        <w:b/>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ABF00A8"/>
    <w:multiLevelType w:val="hybridMultilevel"/>
    <w:tmpl w:val="DA00AE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6514E7"/>
    <w:multiLevelType w:val="hybridMultilevel"/>
    <w:tmpl w:val="51965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E26360"/>
    <w:multiLevelType w:val="hybridMultilevel"/>
    <w:tmpl w:val="38C8D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FC62CE"/>
    <w:multiLevelType w:val="hybridMultilevel"/>
    <w:tmpl w:val="8BF6C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
  </w:num>
  <w:num w:numId="6">
    <w:abstractNumId w:val="10"/>
  </w:num>
  <w:num w:numId="7">
    <w:abstractNumId w:val="2"/>
  </w:num>
  <w:num w:numId="8">
    <w:abstractNumId w:val="12"/>
  </w:num>
  <w:num w:numId="9">
    <w:abstractNumId w:val="6"/>
  </w:num>
  <w:num w:numId="10">
    <w:abstractNumId w:val="13"/>
  </w:num>
  <w:num w:numId="11">
    <w:abstractNumId w:val="8"/>
  </w:num>
  <w:num w:numId="12">
    <w:abstractNumId w:val="1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5C"/>
    <w:rsid w:val="000002C8"/>
    <w:rsid w:val="00000855"/>
    <w:rsid w:val="00004F2E"/>
    <w:rsid w:val="00006353"/>
    <w:rsid w:val="00011655"/>
    <w:rsid w:val="00016DBE"/>
    <w:rsid w:val="000269FE"/>
    <w:rsid w:val="00030054"/>
    <w:rsid w:val="00030947"/>
    <w:rsid w:val="0003304E"/>
    <w:rsid w:val="000337C4"/>
    <w:rsid w:val="00034F6E"/>
    <w:rsid w:val="0003681A"/>
    <w:rsid w:val="0003712E"/>
    <w:rsid w:val="00040ADB"/>
    <w:rsid w:val="000454E4"/>
    <w:rsid w:val="00051AF4"/>
    <w:rsid w:val="00053D6F"/>
    <w:rsid w:val="000544C6"/>
    <w:rsid w:val="000577A0"/>
    <w:rsid w:val="00061EC0"/>
    <w:rsid w:val="000668EB"/>
    <w:rsid w:val="000843A1"/>
    <w:rsid w:val="000844C5"/>
    <w:rsid w:val="0009599D"/>
    <w:rsid w:val="000A2551"/>
    <w:rsid w:val="000A2644"/>
    <w:rsid w:val="000A2B28"/>
    <w:rsid w:val="000A32A9"/>
    <w:rsid w:val="000A6E86"/>
    <w:rsid w:val="000C0697"/>
    <w:rsid w:val="000C3B85"/>
    <w:rsid w:val="000C4C14"/>
    <w:rsid w:val="000D0966"/>
    <w:rsid w:val="000D51C8"/>
    <w:rsid w:val="000E7E7A"/>
    <w:rsid w:val="000F0A99"/>
    <w:rsid w:val="000F4C64"/>
    <w:rsid w:val="000F5220"/>
    <w:rsid w:val="000F522A"/>
    <w:rsid w:val="001015AC"/>
    <w:rsid w:val="001023A0"/>
    <w:rsid w:val="0010482C"/>
    <w:rsid w:val="001060DB"/>
    <w:rsid w:val="00107EA3"/>
    <w:rsid w:val="001267DF"/>
    <w:rsid w:val="00140910"/>
    <w:rsid w:val="00145AF7"/>
    <w:rsid w:val="00156C23"/>
    <w:rsid w:val="00160170"/>
    <w:rsid w:val="00162080"/>
    <w:rsid w:val="0016261A"/>
    <w:rsid w:val="001635A0"/>
    <w:rsid w:val="001712C1"/>
    <w:rsid w:val="00182504"/>
    <w:rsid w:val="0018665C"/>
    <w:rsid w:val="0018686E"/>
    <w:rsid w:val="0019166B"/>
    <w:rsid w:val="001A019C"/>
    <w:rsid w:val="001A1575"/>
    <w:rsid w:val="001C480B"/>
    <w:rsid w:val="001D229F"/>
    <w:rsid w:val="001E01F6"/>
    <w:rsid w:val="001E1272"/>
    <w:rsid w:val="001E54E4"/>
    <w:rsid w:val="001E6AF5"/>
    <w:rsid w:val="001F22BF"/>
    <w:rsid w:val="001F3CE2"/>
    <w:rsid w:val="001F7614"/>
    <w:rsid w:val="00203334"/>
    <w:rsid w:val="0020600A"/>
    <w:rsid w:val="00215FFB"/>
    <w:rsid w:val="0022244D"/>
    <w:rsid w:val="00223040"/>
    <w:rsid w:val="00224868"/>
    <w:rsid w:val="00231BF2"/>
    <w:rsid w:val="002365C1"/>
    <w:rsid w:val="00236B84"/>
    <w:rsid w:val="00242B7A"/>
    <w:rsid w:val="00255DE7"/>
    <w:rsid w:val="00260156"/>
    <w:rsid w:val="00263358"/>
    <w:rsid w:val="00263794"/>
    <w:rsid w:val="00266FA2"/>
    <w:rsid w:val="00277D39"/>
    <w:rsid w:val="00286844"/>
    <w:rsid w:val="002900FD"/>
    <w:rsid w:val="002910A6"/>
    <w:rsid w:val="0029180E"/>
    <w:rsid w:val="002A679A"/>
    <w:rsid w:val="002B4FC9"/>
    <w:rsid w:val="002C6340"/>
    <w:rsid w:val="002D44CB"/>
    <w:rsid w:val="002E5B86"/>
    <w:rsid w:val="002F6600"/>
    <w:rsid w:val="002F78AF"/>
    <w:rsid w:val="00302FF5"/>
    <w:rsid w:val="00303A21"/>
    <w:rsid w:val="00306175"/>
    <w:rsid w:val="00317865"/>
    <w:rsid w:val="003246F9"/>
    <w:rsid w:val="00326FDE"/>
    <w:rsid w:val="00330EBC"/>
    <w:rsid w:val="00335D29"/>
    <w:rsid w:val="003412D8"/>
    <w:rsid w:val="00347D27"/>
    <w:rsid w:val="00350A08"/>
    <w:rsid w:val="003525D4"/>
    <w:rsid w:val="0035305F"/>
    <w:rsid w:val="0035407C"/>
    <w:rsid w:val="00354D63"/>
    <w:rsid w:val="003701BC"/>
    <w:rsid w:val="0037118E"/>
    <w:rsid w:val="00372E43"/>
    <w:rsid w:val="003735D9"/>
    <w:rsid w:val="00376C2E"/>
    <w:rsid w:val="0038560E"/>
    <w:rsid w:val="0039584C"/>
    <w:rsid w:val="003960C7"/>
    <w:rsid w:val="003A138E"/>
    <w:rsid w:val="003B0463"/>
    <w:rsid w:val="003B5097"/>
    <w:rsid w:val="003C09AC"/>
    <w:rsid w:val="003D2540"/>
    <w:rsid w:val="003D78DF"/>
    <w:rsid w:val="003E1082"/>
    <w:rsid w:val="003E4984"/>
    <w:rsid w:val="003E7086"/>
    <w:rsid w:val="003F3C45"/>
    <w:rsid w:val="003F6A44"/>
    <w:rsid w:val="004024BB"/>
    <w:rsid w:val="004026DE"/>
    <w:rsid w:val="00405647"/>
    <w:rsid w:val="00410AEB"/>
    <w:rsid w:val="00420B69"/>
    <w:rsid w:val="00422EEE"/>
    <w:rsid w:val="004266AF"/>
    <w:rsid w:val="004275FF"/>
    <w:rsid w:val="00434E30"/>
    <w:rsid w:val="00440C34"/>
    <w:rsid w:val="00455E89"/>
    <w:rsid w:val="00456985"/>
    <w:rsid w:val="004704BC"/>
    <w:rsid w:val="00475D05"/>
    <w:rsid w:val="00477F75"/>
    <w:rsid w:val="004851A2"/>
    <w:rsid w:val="00487AB9"/>
    <w:rsid w:val="00496002"/>
    <w:rsid w:val="004B1044"/>
    <w:rsid w:val="004C3888"/>
    <w:rsid w:val="004C73D4"/>
    <w:rsid w:val="004D0A21"/>
    <w:rsid w:val="004D3A7D"/>
    <w:rsid w:val="004E2E96"/>
    <w:rsid w:val="004E6D43"/>
    <w:rsid w:val="0050516B"/>
    <w:rsid w:val="00506D44"/>
    <w:rsid w:val="005109BD"/>
    <w:rsid w:val="00511C54"/>
    <w:rsid w:val="00514130"/>
    <w:rsid w:val="00515BA3"/>
    <w:rsid w:val="005336FC"/>
    <w:rsid w:val="005340A9"/>
    <w:rsid w:val="00545ED0"/>
    <w:rsid w:val="00547967"/>
    <w:rsid w:val="00554335"/>
    <w:rsid w:val="00560412"/>
    <w:rsid w:val="00563F9A"/>
    <w:rsid w:val="00570676"/>
    <w:rsid w:val="0057107B"/>
    <w:rsid w:val="00575456"/>
    <w:rsid w:val="00576F39"/>
    <w:rsid w:val="00584AB3"/>
    <w:rsid w:val="005A285A"/>
    <w:rsid w:val="005A4DB5"/>
    <w:rsid w:val="005A7F0D"/>
    <w:rsid w:val="005B13EC"/>
    <w:rsid w:val="005B6A67"/>
    <w:rsid w:val="005C3356"/>
    <w:rsid w:val="005D368D"/>
    <w:rsid w:val="005D46B0"/>
    <w:rsid w:val="005D4B20"/>
    <w:rsid w:val="005D74DB"/>
    <w:rsid w:val="005E36E9"/>
    <w:rsid w:val="006064B6"/>
    <w:rsid w:val="00610908"/>
    <w:rsid w:val="00621010"/>
    <w:rsid w:val="006227BD"/>
    <w:rsid w:val="00633A10"/>
    <w:rsid w:val="0064174B"/>
    <w:rsid w:val="00651678"/>
    <w:rsid w:val="00652180"/>
    <w:rsid w:val="0065340E"/>
    <w:rsid w:val="00653FCA"/>
    <w:rsid w:val="00664950"/>
    <w:rsid w:val="006671B5"/>
    <w:rsid w:val="0067620A"/>
    <w:rsid w:val="00680804"/>
    <w:rsid w:val="00684C32"/>
    <w:rsid w:val="006904EA"/>
    <w:rsid w:val="006967FA"/>
    <w:rsid w:val="006A01F4"/>
    <w:rsid w:val="006B0F50"/>
    <w:rsid w:val="006B178C"/>
    <w:rsid w:val="006B488A"/>
    <w:rsid w:val="006B77C6"/>
    <w:rsid w:val="006C48B6"/>
    <w:rsid w:val="006D090D"/>
    <w:rsid w:val="006D3F08"/>
    <w:rsid w:val="006E551F"/>
    <w:rsid w:val="006E7D60"/>
    <w:rsid w:val="006F40FA"/>
    <w:rsid w:val="006F45E6"/>
    <w:rsid w:val="006F5583"/>
    <w:rsid w:val="00700228"/>
    <w:rsid w:val="007122F5"/>
    <w:rsid w:val="0071613D"/>
    <w:rsid w:val="007232D5"/>
    <w:rsid w:val="0072727E"/>
    <w:rsid w:val="007365AF"/>
    <w:rsid w:val="00737285"/>
    <w:rsid w:val="00740845"/>
    <w:rsid w:val="00747153"/>
    <w:rsid w:val="0074728B"/>
    <w:rsid w:val="00754021"/>
    <w:rsid w:val="00754A1B"/>
    <w:rsid w:val="00757226"/>
    <w:rsid w:val="007625EE"/>
    <w:rsid w:val="00772E8B"/>
    <w:rsid w:val="007741E7"/>
    <w:rsid w:val="00776876"/>
    <w:rsid w:val="0079280A"/>
    <w:rsid w:val="0079400B"/>
    <w:rsid w:val="007A458B"/>
    <w:rsid w:val="007B04A6"/>
    <w:rsid w:val="007B0989"/>
    <w:rsid w:val="007B3688"/>
    <w:rsid w:val="007D35C2"/>
    <w:rsid w:val="007D4CCB"/>
    <w:rsid w:val="007D6265"/>
    <w:rsid w:val="007E47C2"/>
    <w:rsid w:val="007F2B70"/>
    <w:rsid w:val="007F4C39"/>
    <w:rsid w:val="007F59CA"/>
    <w:rsid w:val="007F6B1F"/>
    <w:rsid w:val="007F6B60"/>
    <w:rsid w:val="007F6FE9"/>
    <w:rsid w:val="008014DE"/>
    <w:rsid w:val="00801D8A"/>
    <w:rsid w:val="008117A3"/>
    <w:rsid w:val="00813F67"/>
    <w:rsid w:val="00815797"/>
    <w:rsid w:val="00823324"/>
    <w:rsid w:val="00824587"/>
    <w:rsid w:val="00832B7C"/>
    <w:rsid w:val="00837012"/>
    <w:rsid w:val="00843447"/>
    <w:rsid w:val="008462AC"/>
    <w:rsid w:val="00847728"/>
    <w:rsid w:val="00847785"/>
    <w:rsid w:val="0084797C"/>
    <w:rsid w:val="00850FF3"/>
    <w:rsid w:val="008576A8"/>
    <w:rsid w:val="00872A0F"/>
    <w:rsid w:val="00872B62"/>
    <w:rsid w:val="008756CA"/>
    <w:rsid w:val="00877ADD"/>
    <w:rsid w:val="00882844"/>
    <w:rsid w:val="00894E35"/>
    <w:rsid w:val="00895661"/>
    <w:rsid w:val="00895AFE"/>
    <w:rsid w:val="008969FF"/>
    <w:rsid w:val="008A079B"/>
    <w:rsid w:val="008B12FE"/>
    <w:rsid w:val="008B4464"/>
    <w:rsid w:val="008B7871"/>
    <w:rsid w:val="008C0B38"/>
    <w:rsid w:val="008D2A03"/>
    <w:rsid w:val="008D661C"/>
    <w:rsid w:val="008E01CC"/>
    <w:rsid w:val="008E0647"/>
    <w:rsid w:val="008E1F64"/>
    <w:rsid w:val="008E6D81"/>
    <w:rsid w:val="008F3AA2"/>
    <w:rsid w:val="008F42EC"/>
    <w:rsid w:val="008F6CA1"/>
    <w:rsid w:val="00901AC5"/>
    <w:rsid w:val="0091281E"/>
    <w:rsid w:val="00915F4B"/>
    <w:rsid w:val="00924402"/>
    <w:rsid w:val="00931C68"/>
    <w:rsid w:val="00942713"/>
    <w:rsid w:val="00947399"/>
    <w:rsid w:val="00951E96"/>
    <w:rsid w:val="0095476D"/>
    <w:rsid w:val="00955DF0"/>
    <w:rsid w:val="009632F6"/>
    <w:rsid w:val="00967DDD"/>
    <w:rsid w:val="00976889"/>
    <w:rsid w:val="00984559"/>
    <w:rsid w:val="00987F7A"/>
    <w:rsid w:val="00995D15"/>
    <w:rsid w:val="00996E54"/>
    <w:rsid w:val="009A0C9A"/>
    <w:rsid w:val="009A3E35"/>
    <w:rsid w:val="009B7554"/>
    <w:rsid w:val="009C478E"/>
    <w:rsid w:val="009D032F"/>
    <w:rsid w:val="009E1CD2"/>
    <w:rsid w:val="009E3251"/>
    <w:rsid w:val="009F4D49"/>
    <w:rsid w:val="009F4F77"/>
    <w:rsid w:val="00A045BE"/>
    <w:rsid w:val="00A0465C"/>
    <w:rsid w:val="00A105DF"/>
    <w:rsid w:val="00A12FFB"/>
    <w:rsid w:val="00A1761E"/>
    <w:rsid w:val="00A2225D"/>
    <w:rsid w:val="00A2228A"/>
    <w:rsid w:val="00A23DBD"/>
    <w:rsid w:val="00A241FE"/>
    <w:rsid w:val="00A31FED"/>
    <w:rsid w:val="00A47F99"/>
    <w:rsid w:val="00A54FB2"/>
    <w:rsid w:val="00A62FFA"/>
    <w:rsid w:val="00A740A4"/>
    <w:rsid w:val="00A84345"/>
    <w:rsid w:val="00A858C2"/>
    <w:rsid w:val="00A96154"/>
    <w:rsid w:val="00AA1EF0"/>
    <w:rsid w:val="00AA53D1"/>
    <w:rsid w:val="00AB205A"/>
    <w:rsid w:val="00AB6263"/>
    <w:rsid w:val="00AB6DE9"/>
    <w:rsid w:val="00AC5870"/>
    <w:rsid w:val="00AC7392"/>
    <w:rsid w:val="00AD330B"/>
    <w:rsid w:val="00AE12C9"/>
    <w:rsid w:val="00AE2C33"/>
    <w:rsid w:val="00AE3E89"/>
    <w:rsid w:val="00AF122A"/>
    <w:rsid w:val="00AF12A4"/>
    <w:rsid w:val="00AF3B26"/>
    <w:rsid w:val="00AF55E6"/>
    <w:rsid w:val="00AF5A38"/>
    <w:rsid w:val="00AF6FE6"/>
    <w:rsid w:val="00B030CD"/>
    <w:rsid w:val="00B05D43"/>
    <w:rsid w:val="00B05FC7"/>
    <w:rsid w:val="00B1035C"/>
    <w:rsid w:val="00B11C69"/>
    <w:rsid w:val="00B170C7"/>
    <w:rsid w:val="00B262F7"/>
    <w:rsid w:val="00B3514D"/>
    <w:rsid w:val="00B3524C"/>
    <w:rsid w:val="00B36AB4"/>
    <w:rsid w:val="00B504A4"/>
    <w:rsid w:val="00B50FA4"/>
    <w:rsid w:val="00B535CC"/>
    <w:rsid w:val="00B55140"/>
    <w:rsid w:val="00B56969"/>
    <w:rsid w:val="00B72805"/>
    <w:rsid w:val="00B804BE"/>
    <w:rsid w:val="00B902C5"/>
    <w:rsid w:val="00B92D36"/>
    <w:rsid w:val="00B9796A"/>
    <w:rsid w:val="00BA6D33"/>
    <w:rsid w:val="00BC0754"/>
    <w:rsid w:val="00BC1C68"/>
    <w:rsid w:val="00BC60DE"/>
    <w:rsid w:val="00BC6E62"/>
    <w:rsid w:val="00BD5B06"/>
    <w:rsid w:val="00BE0066"/>
    <w:rsid w:val="00BE3619"/>
    <w:rsid w:val="00C07D53"/>
    <w:rsid w:val="00C16734"/>
    <w:rsid w:val="00C40C76"/>
    <w:rsid w:val="00C426E6"/>
    <w:rsid w:val="00C623A9"/>
    <w:rsid w:val="00C6508B"/>
    <w:rsid w:val="00C655C2"/>
    <w:rsid w:val="00C7156B"/>
    <w:rsid w:val="00C842F1"/>
    <w:rsid w:val="00CA0AE6"/>
    <w:rsid w:val="00CA3E80"/>
    <w:rsid w:val="00CA43C0"/>
    <w:rsid w:val="00CA65C7"/>
    <w:rsid w:val="00CB00B8"/>
    <w:rsid w:val="00CB0740"/>
    <w:rsid w:val="00CB7978"/>
    <w:rsid w:val="00CD212A"/>
    <w:rsid w:val="00CD6D35"/>
    <w:rsid w:val="00CD73FB"/>
    <w:rsid w:val="00CF1857"/>
    <w:rsid w:val="00CF22D0"/>
    <w:rsid w:val="00D01123"/>
    <w:rsid w:val="00D01781"/>
    <w:rsid w:val="00D0579A"/>
    <w:rsid w:val="00D12F8E"/>
    <w:rsid w:val="00D1450E"/>
    <w:rsid w:val="00D17EAC"/>
    <w:rsid w:val="00D20BE4"/>
    <w:rsid w:val="00D23704"/>
    <w:rsid w:val="00D258E5"/>
    <w:rsid w:val="00D269F2"/>
    <w:rsid w:val="00D30D23"/>
    <w:rsid w:val="00D473BF"/>
    <w:rsid w:val="00D60741"/>
    <w:rsid w:val="00D71BFD"/>
    <w:rsid w:val="00D8082D"/>
    <w:rsid w:val="00D849C6"/>
    <w:rsid w:val="00D861AB"/>
    <w:rsid w:val="00D8654B"/>
    <w:rsid w:val="00D87E99"/>
    <w:rsid w:val="00DA2B9A"/>
    <w:rsid w:val="00DA598E"/>
    <w:rsid w:val="00DA59F1"/>
    <w:rsid w:val="00DA6A0E"/>
    <w:rsid w:val="00DA749F"/>
    <w:rsid w:val="00DA7E3A"/>
    <w:rsid w:val="00DB17AD"/>
    <w:rsid w:val="00DB76A2"/>
    <w:rsid w:val="00DC77A9"/>
    <w:rsid w:val="00DD16CC"/>
    <w:rsid w:val="00DD2394"/>
    <w:rsid w:val="00DD4A80"/>
    <w:rsid w:val="00DD5649"/>
    <w:rsid w:val="00DD7E30"/>
    <w:rsid w:val="00DE0EAB"/>
    <w:rsid w:val="00DE2AC0"/>
    <w:rsid w:val="00DF0772"/>
    <w:rsid w:val="00DF289C"/>
    <w:rsid w:val="00DF5DA9"/>
    <w:rsid w:val="00DF7C57"/>
    <w:rsid w:val="00E001AB"/>
    <w:rsid w:val="00E00CC4"/>
    <w:rsid w:val="00E05416"/>
    <w:rsid w:val="00E32005"/>
    <w:rsid w:val="00E366D5"/>
    <w:rsid w:val="00E37F8B"/>
    <w:rsid w:val="00E4245A"/>
    <w:rsid w:val="00E537F2"/>
    <w:rsid w:val="00E56FCB"/>
    <w:rsid w:val="00E87F65"/>
    <w:rsid w:val="00E966E2"/>
    <w:rsid w:val="00E968CD"/>
    <w:rsid w:val="00E97628"/>
    <w:rsid w:val="00EA0450"/>
    <w:rsid w:val="00EA37FE"/>
    <w:rsid w:val="00EA6B57"/>
    <w:rsid w:val="00EB1B55"/>
    <w:rsid w:val="00EC3344"/>
    <w:rsid w:val="00EC6955"/>
    <w:rsid w:val="00EC7716"/>
    <w:rsid w:val="00ED22E0"/>
    <w:rsid w:val="00ED4338"/>
    <w:rsid w:val="00ED494C"/>
    <w:rsid w:val="00EE244F"/>
    <w:rsid w:val="00EE354C"/>
    <w:rsid w:val="00EE6C9C"/>
    <w:rsid w:val="00EF1A30"/>
    <w:rsid w:val="00EF22B5"/>
    <w:rsid w:val="00EF2CA0"/>
    <w:rsid w:val="00EF6B03"/>
    <w:rsid w:val="00F004A3"/>
    <w:rsid w:val="00F125E6"/>
    <w:rsid w:val="00F12C99"/>
    <w:rsid w:val="00F1661D"/>
    <w:rsid w:val="00F16925"/>
    <w:rsid w:val="00F17460"/>
    <w:rsid w:val="00F229CD"/>
    <w:rsid w:val="00F271DA"/>
    <w:rsid w:val="00F3029F"/>
    <w:rsid w:val="00F313FD"/>
    <w:rsid w:val="00F3342D"/>
    <w:rsid w:val="00F36B44"/>
    <w:rsid w:val="00F42A26"/>
    <w:rsid w:val="00F4362E"/>
    <w:rsid w:val="00F543C3"/>
    <w:rsid w:val="00F60480"/>
    <w:rsid w:val="00F62A31"/>
    <w:rsid w:val="00F65ACB"/>
    <w:rsid w:val="00F66385"/>
    <w:rsid w:val="00F86D56"/>
    <w:rsid w:val="00F90FE1"/>
    <w:rsid w:val="00F971C4"/>
    <w:rsid w:val="00F97EFC"/>
    <w:rsid w:val="00FA5FDE"/>
    <w:rsid w:val="00FB173E"/>
    <w:rsid w:val="00FB1E37"/>
    <w:rsid w:val="00FB2FA8"/>
    <w:rsid w:val="00FB595A"/>
    <w:rsid w:val="00FC2E04"/>
    <w:rsid w:val="00FC72AF"/>
    <w:rsid w:val="00FD0980"/>
    <w:rsid w:val="00FE04E4"/>
    <w:rsid w:val="00FE10C5"/>
    <w:rsid w:val="00FE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2800"/>
  <w15:chartTrackingRefBased/>
  <w15:docId w15:val="{73C8F1A7-1080-45C8-AC76-1B969AA6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paragraph" w:styleId="Heading1">
    <w:name w:val="heading 1"/>
    <w:basedOn w:val="Normal"/>
    <w:next w:val="Normal"/>
    <w:link w:val="Heading1Char"/>
    <w:uiPriority w:val="9"/>
    <w:qFormat/>
    <w:rsid w:val="00A046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46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28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46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6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46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0465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A04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465C"/>
    <w:rPr>
      <w:sz w:val="20"/>
      <w:szCs w:val="20"/>
    </w:rPr>
  </w:style>
  <w:style w:type="character" w:styleId="FootnoteReference">
    <w:name w:val="footnote reference"/>
    <w:basedOn w:val="DefaultParagraphFont"/>
    <w:uiPriority w:val="99"/>
    <w:semiHidden/>
    <w:unhideWhenUsed/>
    <w:rsid w:val="00A0465C"/>
    <w:rPr>
      <w:vertAlign w:val="superscript"/>
    </w:rPr>
  </w:style>
  <w:style w:type="paragraph" w:styleId="ListParagraph">
    <w:name w:val="List Paragraph"/>
    <w:basedOn w:val="Normal"/>
    <w:uiPriority w:val="34"/>
    <w:qFormat/>
    <w:rsid w:val="00EE354C"/>
    <w:pPr>
      <w:ind w:left="720"/>
      <w:contextualSpacing/>
    </w:pPr>
  </w:style>
  <w:style w:type="character" w:styleId="CommentReference">
    <w:name w:val="annotation reference"/>
    <w:basedOn w:val="DefaultParagraphFont"/>
    <w:uiPriority w:val="99"/>
    <w:semiHidden/>
    <w:unhideWhenUsed/>
    <w:rsid w:val="00231BF2"/>
    <w:rPr>
      <w:sz w:val="16"/>
      <w:szCs w:val="16"/>
    </w:rPr>
  </w:style>
  <w:style w:type="paragraph" w:styleId="CommentText">
    <w:name w:val="annotation text"/>
    <w:basedOn w:val="Normal"/>
    <w:link w:val="CommentTextChar"/>
    <w:uiPriority w:val="99"/>
    <w:unhideWhenUsed/>
    <w:rsid w:val="00231BF2"/>
    <w:pPr>
      <w:spacing w:line="240" w:lineRule="auto"/>
    </w:pPr>
    <w:rPr>
      <w:sz w:val="20"/>
      <w:szCs w:val="20"/>
    </w:rPr>
  </w:style>
  <w:style w:type="character" w:customStyle="1" w:styleId="CommentTextChar">
    <w:name w:val="Comment Text Char"/>
    <w:basedOn w:val="DefaultParagraphFont"/>
    <w:link w:val="CommentText"/>
    <w:uiPriority w:val="99"/>
    <w:rsid w:val="00231BF2"/>
    <w:rPr>
      <w:sz w:val="20"/>
      <w:szCs w:val="20"/>
    </w:rPr>
  </w:style>
  <w:style w:type="paragraph" w:styleId="CommentSubject">
    <w:name w:val="annotation subject"/>
    <w:basedOn w:val="CommentText"/>
    <w:next w:val="CommentText"/>
    <w:link w:val="CommentSubjectChar"/>
    <w:uiPriority w:val="99"/>
    <w:semiHidden/>
    <w:unhideWhenUsed/>
    <w:rsid w:val="00231BF2"/>
    <w:rPr>
      <w:b/>
      <w:bCs/>
    </w:rPr>
  </w:style>
  <w:style w:type="character" w:customStyle="1" w:styleId="CommentSubjectChar">
    <w:name w:val="Comment Subject Char"/>
    <w:basedOn w:val="CommentTextChar"/>
    <w:link w:val="CommentSubject"/>
    <w:uiPriority w:val="99"/>
    <w:semiHidden/>
    <w:rsid w:val="00231BF2"/>
    <w:rPr>
      <w:b/>
      <w:bCs/>
      <w:sz w:val="20"/>
      <w:szCs w:val="20"/>
    </w:rPr>
  </w:style>
  <w:style w:type="paragraph" w:styleId="BalloonText">
    <w:name w:val="Balloon Text"/>
    <w:basedOn w:val="Normal"/>
    <w:link w:val="BalloonTextChar"/>
    <w:uiPriority w:val="99"/>
    <w:semiHidden/>
    <w:unhideWhenUsed/>
    <w:rsid w:val="00231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BF2"/>
    <w:rPr>
      <w:rFonts w:ascii="Segoe UI" w:hAnsi="Segoe UI" w:cs="Segoe UI"/>
      <w:sz w:val="18"/>
      <w:szCs w:val="18"/>
    </w:rPr>
  </w:style>
  <w:style w:type="character" w:customStyle="1" w:styleId="Heading3Char">
    <w:name w:val="Heading 3 Char"/>
    <w:basedOn w:val="DefaultParagraphFont"/>
    <w:link w:val="Heading3"/>
    <w:uiPriority w:val="9"/>
    <w:rsid w:val="00DF289C"/>
    <w:rPr>
      <w:rFonts w:asciiTheme="majorHAnsi" w:eastAsiaTheme="majorEastAsia" w:hAnsiTheme="majorHAnsi" w:cstheme="majorBidi"/>
      <w:color w:val="1F4D78" w:themeColor="accent1" w:themeShade="7F"/>
      <w:sz w:val="24"/>
      <w:szCs w:val="24"/>
    </w:rPr>
  </w:style>
  <w:style w:type="paragraph" w:customStyle="1" w:styleId="Default">
    <w:name w:val="Default"/>
    <w:rsid w:val="007365AF"/>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Header">
    <w:name w:val="header"/>
    <w:basedOn w:val="Normal"/>
    <w:link w:val="HeaderChar"/>
    <w:uiPriority w:val="99"/>
    <w:unhideWhenUsed/>
    <w:rsid w:val="0065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FCA"/>
  </w:style>
  <w:style w:type="paragraph" w:styleId="Footer">
    <w:name w:val="footer"/>
    <w:basedOn w:val="Normal"/>
    <w:link w:val="FooterChar"/>
    <w:uiPriority w:val="99"/>
    <w:unhideWhenUsed/>
    <w:rsid w:val="0065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FCA"/>
  </w:style>
  <w:style w:type="paragraph" w:styleId="Revision">
    <w:name w:val="Revision"/>
    <w:hidden/>
    <w:uiPriority w:val="99"/>
    <w:semiHidden/>
    <w:rsid w:val="005B6A67"/>
    <w:pPr>
      <w:spacing w:after="0" w:line="240" w:lineRule="auto"/>
    </w:pPr>
    <w:rPr>
      <w:lang w:val="nl-NL"/>
    </w:rPr>
  </w:style>
  <w:style w:type="character" w:styleId="Hyperlink">
    <w:name w:val="Hyperlink"/>
    <w:basedOn w:val="DefaultParagraphFont"/>
    <w:uiPriority w:val="99"/>
    <w:unhideWhenUsed/>
    <w:rsid w:val="00FB2FA8"/>
    <w:rPr>
      <w:color w:val="0563C1" w:themeColor="hyperlink"/>
      <w:u w:val="single"/>
    </w:rPr>
  </w:style>
  <w:style w:type="paragraph" w:styleId="NormalWeb">
    <w:name w:val="Normal (Web)"/>
    <w:basedOn w:val="Normal"/>
    <w:uiPriority w:val="99"/>
    <w:semiHidden/>
    <w:unhideWhenUsed/>
    <w:rsid w:val="00CA0AE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210">
      <w:bodyDiv w:val="1"/>
      <w:marLeft w:val="0"/>
      <w:marRight w:val="0"/>
      <w:marTop w:val="0"/>
      <w:marBottom w:val="0"/>
      <w:divBdr>
        <w:top w:val="none" w:sz="0" w:space="0" w:color="auto"/>
        <w:left w:val="none" w:sz="0" w:space="0" w:color="auto"/>
        <w:bottom w:val="none" w:sz="0" w:space="0" w:color="auto"/>
        <w:right w:val="none" w:sz="0" w:space="0" w:color="auto"/>
      </w:divBdr>
    </w:div>
    <w:div w:id="342055250">
      <w:bodyDiv w:val="1"/>
      <w:marLeft w:val="0"/>
      <w:marRight w:val="0"/>
      <w:marTop w:val="0"/>
      <w:marBottom w:val="0"/>
      <w:divBdr>
        <w:top w:val="none" w:sz="0" w:space="0" w:color="auto"/>
        <w:left w:val="none" w:sz="0" w:space="0" w:color="auto"/>
        <w:bottom w:val="none" w:sz="0" w:space="0" w:color="auto"/>
        <w:right w:val="none" w:sz="0" w:space="0" w:color="auto"/>
      </w:divBdr>
    </w:div>
    <w:div w:id="901335016">
      <w:bodyDiv w:val="1"/>
      <w:marLeft w:val="0"/>
      <w:marRight w:val="0"/>
      <w:marTop w:val="0"/>
      <w:marBottom w:val="0"/>
      <w:divBdr>
        <w:top w:val="none" w:sz="0" w:space="0" w:color="auto"/>
        <w:left w:val="none" w:sz="0" w:space="0" w:color="auto"/>
        <w:bottom w:val="none" w:sz="0" w:space="0" w:color="auto"/>
        <w:right w:val="none" w:sz="0" w:space="0" w:color="auto"/>
      </w:divBdr>
      <w:divsChild>
        <w:div w:id="1801682317">
          <w:marLeft w:val="0"/>
          <w:marRight w:val="0"/>
          <w:marTop w:val="0"/>
          <w:marBottom w:val="0"/>
          <w:divBdr>
            <w:top w:val="none" w:sz="0" w:space="0" w:color="auto"/>
            <w:left w:val="none" w:sz="0" w:space="0" w:color="auto"/>
            <w:bottom w:val="none" w:sz="0" w:space="0" w:color="auto"/>
            <w:right w:val="none" w:sz="0" w:space="0" w:color="auto"/>
          </w:divBdr>
          <w:divsChild>
            <w:div w:id="1830368703">
              <w:marLeft w:val="0"/>
              <w:marRight w:val="0"/>
              <w:marTop w:val="0"/>
              <w:marBottom w:val="0"/>
              <w:divBdr>
                <w:top w:val="none" w:sz="0" w:space="0" w:color="auto"/>
                <w:left w:val="none" w:sz="0" w:space="0" w:color="auto"/>
                <w:bottom w:val="none" w:sz="0" w:space="0" w:color="auto"/>
                <w:right w:val="none" w:sz="0" w:space="0" w:color="auto"/>
              </w:divBdr>
              <w:divsChild>
                <w:div w:id="1305503123">
                  <w:marLeft w:val="0"/>
                  <w:marRight w:val="0"/>
                  <w:marTop w:val="0"/>
                  <w:marBottom w:val="0"/>
                  <w:divBdr>
                    <w:top w:val="none" w:sz="0" w:space="0" w:color="auto"/>
                    <w:left w:val="none" w:sz="0" w:space="0" w:color="auto"/>
                    <w:bottom w:val="none" w:sz="0" w:space="0" w:color="auto"/>
                    <w:right w:val="none" w:sz="0" w:space="0" w:color="auto"/>
                  </w:divBdr>
                  <w:divsChild>
                    <w:div w:id="978220239">
                      <w:marLeft w:val="0"/>
                      <w:marRight w:val="0"/>
                      <w:marTop w:val="0"/>
                      <w:marBottom w:val="0"/>
                      <w:divBdr>
                        <w:top w:val="none" w:sz="0" w:space="0" w:color="auto"/>
                        <w:left w:val="none" w:sz="0" w:space="0" w:color="auto"/>
                        <w:bottom w:val="none" w:sz="0" w:space="0" w:color="auto"/>
                        <w:right w:val="none" w:sz="0" w:space="0" w:color="auto"/>
                      </w:divBdr>
                      <w:divsChild>
                        <w:div w:id="629628773">
                          <w:marLeft w:val="0"/>
                          <w:marRight w:val="0"/>
                          <w:marTop w:val="0"/>
                          <w:marBottom w:val="0"/>
                          <w:divBdr>
                            <w:top w:val="none" w:sz="0" w:space="0" w:color="auto"/>
                            <w:left w:val="none" w:sz="0" w:space="0" w:color="auto"/>
                            <w:bottom w:val="none" w:sz="0" w:space="0" w:color="auto"/>
                            <w:right w:val="none" w:sz="0" w:space="0" w:color="auto"/>
                          </w:divBdr>
                          <w:divsChild>
                            <w:div w:id="2123524695">
                              <w:marLeft w:val="0"/>
                              <w:marRight w:val="0"/>
                              <w:marTop w:val="0"/>
                              <w:marBottom w:val="0"/>
                              <w:divBdr>
                                <w:top w:val="none" w:sz="0" w:space="0" w:color="auto"/>
                                <w:left w:val="none" w:sz="0" w:space="0" w:color="auto"/>
                                <w:bottom w:val="none" w:sz="0" w:space="0" w:color="auto"/>
                                <w:right w:val="none" w:sz="0" w:space="0" w:color="auto"/>
                              </w:divBdr>
                              <w:divsChild>
                                <w:div w:id="14264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494909">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5">
          <w:marLeft w:val="0"/>
          <w:marRight w:val="0"/>
          <w:marTop w:val="0"/>
          <w:marBottom w:val="0"/>
          <w:divBdr>
            <w:top w:val="none" w:sz="0" w:space="0" w:color="auto"/>
            <w:left w:val="none" w:sz="0" w:space="0" w:color="auto"/>
            <w:bottom w:val="none" w:sz="0" w:space="0" w:color="auto"/>
            <w:right w:val="none" w:sz="0" w:space="0" w:color="auto"/>
          </w:divBdr>
          <w:divsChild>
            <w:div w:id="735591708">
              <w:marLeft w:val="0"/>
              <w:marRight w:val="0"/>
              <w:marTop w:val="0"/>
              <w:marBottom w:val="0"/>
              <w:divBdr>
                <w:top w:val="none" w:sz="0" w:space="0" w:color="auto"/>
                <w:left w:val="none" w:sz="0" w:space="0" w:color="auto"/>
                <w:bottom w:val="none" w:sz="0" w:space="0" w:color="auto"/>
                <w:right w:val="none" w:sz="0" w:space="0" w:color="auto"/>
              </w:divBdr>
              <w:divsChild>
                <w:div w:id="1289355358">
                  <w:marLeft w:val="0"/>
                  <w:marRight w:val="0"/>
                  <w:marTop w:val="0"/>
                  <w:marBottom w:val="0"/>
                  <w:divBdr>
                    <w:top w:val="none" w:sz="0" w:space="0" w:color="auto"/>
                    <w:left w:val="none" w:sz="0" w:space="0" w:color="auto"/>
                    <w:bottom w:val="none" w:sz="0" w:space="0" w:color="auto"/>
                    <w:right w:val="none" w:sz="0" w:space="0" w:color="auto"/>
                  </w:divBdr>
                  <w:divsChild>
                    <w:div w:id="61684959">
                      <w:marLeft w:val="0"/>
                      <w:marRight w:val="0"/>
                      <w:marTop w:val="0"/>
                      <w:marBottom w:val="0"/>
                      <w:divBdr>
                        <w:top w:val="none" w:sz="0" w:space="0" w:color="auto"/>
                        <w:left w:val="none" w:sz="0" w:space="0" w:color="auto"/>
                        <w:bottom w:val="none" w:sz="0" w:space="0" w:color="auto"/>
                        <w:right w:val="none" w:sz="0" w:space="0" w:color="auto"/>
                      </w:divBdr>
                      <w:divsChild>
                        <w:div w:id="1310865762">
                          <w:marLeft w:val="0"/>
                          <w:marRight w:val="0"/>
                          <w:marTop w:val="0"/>
                          <w:marBottom w:val="0"/>
                          <w:divBdr>
                            <w:top w:val="none" w:sz="0" w:space="0" w:color="auto"/>
                            <w:left w:val="none" w:sz="0" w:space="0" w:color="auto"/>
                            <w:bottom w:val="none" w:sz="0" w:space="0" w:color="auto"/>
                            <w:right w:val="none" w:sz="0" w:space="0" w:color="auto"/>
                          </w:divBdr>
                          <w:divsChild>
                            <w:div w:id="162547465">
                              <w:marLeft w:val="0"/>
                              <w:marRight w:val="0"/>
                              <w:marTop w:val="0"/>
                              <w:marBottom w:val="0"/>
                              <w:divBdr>
                                <w:top w:val="none" w:sz="0" w:space="0" w:color="auto"/>
                                <w:left w:val="none" w:sz="0" w:space="0" w:color="auto"/>
                                <w:bottom w:val="none" w:sz="0" w:space="0" w:color="auto"/>
                                <w:right w:val="none" w:sz="0" w:space="0" w:color="auto"/>
                              </w:divBdr>
                              <w:divsChild>
                                <w:div w:id="756101524">
                                  <w:marLeft w:val="0"/>
                                  <w:marRight w:val="0"/>
                                  <w:marTop w:val="0"/>
                                  <w:marBottom w:val="0"/>
                                  <w:divBdr>
                                    <w:top w:val="none" w:sz="0" w:space="0" w:color="auto"/>
                                    <w:left w:val="none" w:sz="0" w:space="0" w:color="auto"/>
                                    <w:bottom w:val="none" w:sz="0" w:space="0" w:color="auto"/>
                                    <w:right w:val="none" w:sz="0" w:space="0" w:color="auto"/>
                                  </w:divBdr>
                                  <w:divsChild>
                                    <w:div w:id="11544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398458">
      <w:bodyDiv w:val="1"/>
      <w:marLeft w:val="0"/>
      <w:marRight w:val="0"/>
      <w:marTop w:val="0"/>
      <w:marBottom w:val="0"/>
      <w:divBdr>
        <w:top w:val="none" w:sz="0" w:space="0" w:color="auto"/>
        <w:left w:val="none" w:sz="0" w:space="0" w:color="auto"/>
        <w:bottom w:val="none" w:sz="0" w:space="0" w:color="auto"/>
        <w:right w:val="none" w:sz="0" w:space="0" w:color="auto"/>
      </w:divBdr>
    </w:div>
    <w:div w:id="1408766025">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8">
          <w:marLeft w:val="0"/>
          <w:marRight w:val="0"/>
          <w:marTop w:val="0"/>
          <w:marBottom w:val="0"/>
          <w:divBdr>
            <w:top w:val="none" w:sz="0" w:space="0" w:color="auto"/>
            <w:left w:val="none" w:sz="0" w:space="0" w:color="auto"/>
            <w:bottom w:val="none" w:sz="0" w:space="0" w:color="auto"/>
            <w:right w:val="none" w:sz="0" w:space="0" w:color="auto"/>
          </w:divBdr>
          <w:divsChild>
            <w:div w:id="1306934408">
              <w:marLeft w:val="0"/>
              <w:marRight w:val="0"/>
              <w:marTop w:val="0"/>
              <w:marBottom w:val="0"/>
              <w:divBdr>
                <w:top w:val="none" w:sz="0" w:space="0" w:color="auto"/>
                <w:left w:val="none" w:sz="0" w:space="0" w:color="auto"/>
                <w:bottom w:val="none" w:sz="0" w:space="0" w:color="auto"/>
                <w:right w:val="none" w:sz="0" w:space="0" w:color="auto"/>
              </w:divBdr>
              <w:divsChild>
                <w:div w:id="884754876">
                  <w:marLeft w:val="0"/>
                  <w:marRight w:val="0"/>
                  <w:marTop w:val="0"/>
                  <w:marBottom w:val="0"/>
                  <w:divBdr>
                    <w:top w:val="none" w:sz="0" w:space="0" w:color="auto"/>
                    <w:left w:val="none" w:sz="0" w:space="0" w:color="auto"/>
                    <w:bottom w:val="none" w:sz="0" w:space="0" w:color="auto"/>
                    <w:right w:val="none" w:sz="0" w:space="0" w:color="auto"/>
                  </w:divBdr>
                  <w:divsChild>
                    <w:div w:id="1344284156">
                      <w:marLeft w:val="0"/>
                      <w:marRight w:val="0"/>
                      <w:marTop w:val="0"/>
                      <w:marBottom w:val="0"/>
                      <w:divBdr>
                        <w:top w:val="none" w:sz="0" w:space="0" w:color="auto"/>
                        <w:left w:val="none" w:sz="0" w:space="0" w:color="auto"/>
                        <w:bottom w:val="none" w:sz="0" w:space="0" w:color="auto"/>
                        <w:right w:val="none" w:sz="0" w:space="0" w:color="auto"/>
                      </w:divBdr>
                      <w:divsChild>
                        <w:div w:id="927075167">
                          <w:marLeft w:val="0"/>
                          <w:marRight w:val="0"/>
                          <w:marTop w:val="0"/>
                          <w:marBottom w:val="0"/>
                          <w:divBdr>
                            <w:top w:val="none" w:sz="0" w:space="0" w:color="auto"/>
                            <w:left w:val="none" w:sz="0" w:space="0" w:color="auto"/>
                            <w:bottom w:val="none" w:sz="0" w:space="0" w:color="auto"/>
                            <w:right w:val="none" w:sz="0" w:space="0" w:color="auto"/>
                          </w:divBdr>
                          <w:divsChild>
                            <w:div w:id="832261797">
                              <w:marLeft w:val="0"/>
                              <w:marRight w:val="0"/>
                              <w:marTop w:val="0"/>
                              <w:marBottom w:val="0"/>
                              <w:divBdr>
                                <w:top w:val="none" w:sz="0" w:space="0" w:color="auto"/>
                                <w:left w:val="none" w:sz="0" w:space="0" w:color="auto"/>
                                <w:bottom w:val="none" w:sz="0" w:space="0" w:color="auto"/>
                                <w:right w:val="none" w:sz="0" w:space="0" w:color="auto"/>
                              </w:divBdr>
                              <w:divsChild>
                                <w:div w:id="192615700">
                                  <w:marLeft w:val="0"/>
                                  <w:marRight w:val="0"/>
                                  <w:marTop w:val="0"/>
                                  <w:marBottom w:val="0"/>
                                  <w:divBdr>
                                    <w:top w:val="none" w:sz="0" w:space="0" w:color="auto"/>
                                    <w:left w:val="none" w:sz="0" w:space="0" w:color="auto"/>
                                    <w:bottom w:val="none" w:sz="0" w:space="0" w:color="auto"/>
                                    <w:right w:val="none" w:sz="0" w:space="0" w:color="auto"/>
                                  </w:divBdr>
                                  <w:divsChild>
                                    <w:div w:id="170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1806</ap:Words>
  <ap:Characters>9937</ap:Characters>
  <ap:DocSecurity>4</ap:DocSecurity>
  <ap:Lines>82</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2019-03-19T16:20:00.0000000Z</lastPrinted>
  <dcterms:created xsi:type="dcterms:W3CDTF">2019-04-05T15:33:00.0000000Z</dcterms:created>
  <dcterms:modified xsi:type="dcterms:W3CDTF">2019-04-05T15:33:00.0000000Z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0x010100A3C91708DB8A024DB110C066FBFD89AB</vt:lpwstr>
  </property>
  <property fmtid="{D5CDD505-2E9C-101B-9397-08002B2CF9AE}" pid="3" name="Country/State">
    <vt:lpwstr>74;#N.v.t.|ec01d90b-9d0f-4785-8785-e1ea615196bf</vt:lpwstr>
  </property>
  <property fmtid="{D5CDD505-2E9C-101B-9397-08002B2CF9AE}" pid="4" name="Forum/Organization">
    <vt:lpwstr>103;#Bilateraal|7198da19-556e-4cbb-8805-1c98acde1bd1;#15;#EU|4d8f9873-61b3-4ee5-b6f7-0bb00c6df5e8</vt:lpwstr>
  </property>
  <property fmtid="{D5CDD505-2E9C-101B-9397-08002B2CF9AE}" pid="5" name="Continent/region">
    <vt:lpwstr>85;#Amerika|dff0de1f-9fb6-4005-a4e9-aefa9430dd66</vt:lpwstr>
  </property>
  <property fmtid="{D5CDD505-2E9C-101B-9397-08002B2CF9AE}" pid="6" name="Distribution level">
    <vt:lpwstr>61;#BZ onbeperkt|401ceadc-985b-456e-9e1c-f7e5109d31a0</vt:lpwstr>
  </property>
  <property fmtid="{D5CDD505-2E9C-101B-9397-08002B2CF9AE}" pid="7" name="Responsible">
    <vt:lpwstr>1;#DWH|9e731ad6-5afe-4072-b14e-243e7f61a4b7</vt:lpwstr>
  </property>
  <property fmtid="{D5CDD505-2E9C-101B-9397-08002B2CF9AE}" pid="8" name="Theme2">
    <vt:lpwstr>68;#Bilaterale betrekkingen|e1e267c8-5e13-42f6-91ac-5cc217f1aa01</vt:lpwstr>
  </property>
  <property fmtid="{D5CDD505-2E9C-101B-9397-08002B2CF9AE}" pid="9" name="Classification">
    <vt:lpwstr>60;#Niet-gerubriceerd|d92c6340-bc14-4cb2-a9a6-6deda93c493b</vt:lpwstr>
  </property>
  <property fmtid="{D5CDD505-2E9C-101B-9397-08002B2CF9AE}" pid="10" name="BZ_Country">
    <vt:lpwstr>2;#The Netherlands|2a7d5657-c236-46c8-a427-07a54ca89552</vt:lpwstr>
  </property>
  <property fmtid="{D5CDD505-2E9C-101B-9397-08002B2CF9AE}" pid="11" name="BZ_Classification">
    <vt:lpwstr>4;#DEPV|44c5317c-4070-428a-ab5b-3ea8ac7ad9f3</vt:lpwstr>
  </property>
  <property fmtid="{D5CDD505-2E9C-101B-9397-08002B2CF9AE}" pid="12" name="BZ_Forum">
    <vt:lpwstr>3;#Not applicable|0049e722-bfb1-4a3f-9d08-af7366a9af40</vt:lpwstr>
  </property>
  <property fmtid="{D5CDD505-2E9C-101B-9397-08002B2CF9AE}" pid="13" name="BZ_Theme">
    <vt:lpwstr>1;#Organization and management general|68c629c2-f36d-451d-9132-f1684bfd165b</vt:lpwstr>
  </property>
</Properties>
</file>