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530" w:type="dxa"/>
        <w:tblInd w:w="10" w:type="dxa"/>
        <w:tblLayout w:type="fixed"/>
        <w:tblCellMar>
          <w:left w:w="10" w:type="dxa"/>
          <w:right w:w="10" w:type="dxa"/>
        </w:tblCellMar>
        <w:tblLook w:val="07E0" w:firstRow="1" w:lastRow="1" w:firstColumn="1" w:lastColumn="1" w:noHBand="1" w:noVBand="1"/>
      </w:tblPr>
      <w:tblGrid>
        <w:gridCol w:w="2250"/>
        <w:gridCol w:w="5280"/>
      </w:tblGrid>
      <w:tr w:rsidR="00F40524" w:rsidTr="005C6B23" w14:paraId="314D4D04" w14:textId="77777777">
        <w:trPr>
          <w:trHeight w:val="200"/>
        </w:trPr>
        <w:tc>
          <w:tcPr>
            <w:tcW w:w="2250" w:type="dxa"/>
            <w:tcBorders>
              <w:bottom w:val="dotted" w:color="000000" w:sz="6" w:space="0"/>
            </w:tcBorders>
          </w:tcPr>
          <w:p w:rsidR="00F40524" w:rsidRDefault="00F40524" w14:paraId="0E860C02" w14:textId="77777777">
            <w:bookmarkStart w:name="_GoBack" w:id="0"/>
            <w:bookmarkEnd w:id="0"/>
          </w:p>
        </w:tc>
        <w:tc>
          <w:tcPr>
            <w:tcW w:w="5280" w:type="dxa"/>
            <w:tcBorders>
              <w:bottom w:val="dotted" w:color="000000" w:sz="6" w:space="0"/>
            </w:tcBorders>
          </w:tcPr>
          <w:p w:rsidR="00F40524" w:rsidRDefault="00F40524" w14:paraId="47876C29" w14:textId="77777777"/>
        </w:tc>
      </w:tr>
      <w:tr w:rsidR="00F40524" w:rsidTr="005C6B23" w14:paraId="0042B2D3" w14:textId="77777777">
        <w:trPr>
          <w:trHeight w:val="200"/>
        </w:trPr>
        <w:tc>
          <w:tcPr>
            <w:tcW w:w="2250" w:type="dxa"/>
          </w:tcPr>
          <w:p w:rsidR="00F40524" w:rsidRDefault="00F40524" w14:paraId="7D907069" w14:textId="77777777"/>
        </w:tc>
        <w:tc>
          <w:tcPr>
            <w:tcW w:w="5280" w:type="dxa"/>
          </w:tcPr>
          <w:p w:rsidR="00F40524" w:rsidRDefault="00F40524" w14:paraId="293563CF" w14:textId="77777777"/>
        </w:tc>
      </w:tr>
      <w:tr w:rsidR="00F40524" w:rsidTr="005C6B23" w14:paraId="62D608DC" w14:textId="77777777">
        <w:trPr>
          <w:trHeight w:val="240"/>
        </w:trPr>
        <w:tc>
          <w:tcPr>
            <w:tcW w:w="2250" w:type="dxa"/>
          </w:tcPr>
          <w:p w:rsidR="00F40524" w:rsidRDefault="005C6B23" w14:paraId="19D30C17" w14:textId="016BF792">
            <w:pPr>
              <w:pStyle w:val="StandaardReferentiegegevens"/>
            </w:pPr>
            <w:r>
              <w:t>Vergaderdatum</w:t>
            </w:r>
          </w:p>
        </w:tc>
        <w:tc>
          <w:tcPr>
            <w:tcW w:w="5280" w:type="dxa"/>
          </w:tcPr>
          <w:p w:rsidR="00F40524" w:rsidP="005C6B23" w:rsidRDefault="005C6B23" w14:paraId="5083941D" w14:textId="51749B05">
            <w:r>
              <w:t>21 t/m 22 februari 2019</w:t>
            </w:r>
          </w:p>
        </w:tc>
      </w:tr>
      <w:tr w:rsidR="00F40524" w:rsidTr="005C6B23" w14:paraId="2755F3FB" w14:textId="77777777">
        <w:trPr>
          <w:trHeight w:val="240"/>
        </w:trPr>
        <w:tc>
          <w:tcPr>
            <w:tcW w:w="2250" w:type="dxa"/>
          </w:tcPr>
          <w:p w:rsidR="00F40524" w:rsidRDefault="005C6B23" w14:paraId="481EDAA7" w14:textId="34669106">
            <w:pPr>
              <w:pStyle w:val="StandaardReferentiegegevens"/>
            </w:pPr>
            <w:r>
              <w:t>Aanwezig</w:t>
            </w:r>
          </w:p>
        </w:tc>
        <w:tc>
          <w:tcPr>
            <w:tcW w:w="5280" w:type="dxa"/>
          </w:tcPr>
          <w:p w:rsidR="00F40524" w:rsidP="005C6B23" w:rsidRDefault="005C6B23" w14:paraId="62B726BC" w14:textId="26054CF8">
            <w:r>
              <w:t xml:space="preserve">Vertegenwoordigers namens </w:t>
            </w:r>
            <w:proofErr w:type="spellStart"/>
            <w:r>
              <w:t>MinFin</w:t>
            </w:r>
            <w:proofErr w:type="spellEnd"/>
            <w:r>
              <w:t xml:space="preserve">, </w:t>
            </w:r>
            <w:proofErr w:type="spellStart"/>
            <w:r>
              <w:t>MinJenV</w:t>
            </w:r>
            <w:proofErr w:type="spellEnd"/>
            <w:r>
              <w:t>, DNB, OM en FIU-Nederland</w:t>
            </w:r>
          </w:p>
        </w:tc>
      </w:tr>
      <w:tr w:rsidR="00F40524" w:rsidTr="005C6B23" w14:paraId="1F1FDE76" w14:textId="77777777">
        <w:trPr>
          <w:trHeight w:val="240"/>
        </w:trPr>
        <w:tc>
          <w:tcPr>
            <w:tcW w:w="2250" w:type="dxa"/>
          </w:tcPr>
          <w:p w:rsidR="00F40524" w:rsidRDefault="00F40524" w14:paraId="277DBD6D" w14:textId="77777777">
            <w:pPr>
              <w:pStyle w:val="StandaardReferentiegegevens"/>
            </w:pPr>
          </w:p>
        </w:tc>
        <w:tc>
          <w:tcPr>
            <w:tcW w:w="5280" w:type="dxa"/>
          </w:tcPr>
          <w:p w:rsidR="00F40524" w:rsidRDefault="00F40524" w14:paraId="1DD8BEE3" w14:textId="77777777"/>
        </w:tc>
      </w:tr>
      <w:tr w:rsidR="00F40524" w:rsidTr="005C6B23" w14:paraId="2F33314F" w14:textId="77777777">
        <w:trPr>
          <w:trHeight w:val="240"/>
        </w:trPr>
        <w:tc>
          <w:tcPr>
            <w:tcW w:w="2250" w:type="dxa"/>
          </w:tcPr>
          <w:p w:rsidR="00F40524" w:rsidRDefault="00F40524" w14:paraId="24A62019" w14:textId="77777777">
            <w:pPr>
              <w:pStyle w:val="StandaardReferentiegegevens"/>
            </w:pPr>
          </w:p>
        </w:tc>
        <w:tc>
          <w:tcPr>
            <w:tcW w:w="5280" w:type="dxa"/>
          </w:tcPr>
          <w:p w:rsidR="00F40524" w:rsidRDefault="00F40524" w14:paraId="142A20A6" w14:textId="77777777"/>
        </w:tc>
      </w:tr>
      <w:tr w:rsidR="00F40524" w:rsidTr="001A006E" w14:paraId="63A327D0" w14:textId="77777777">
        <w:trPr>
          <w:trHeight w:val="111"/>
        </w:trPr>
        <w:tc>
          <w:tcPr>
            <w:tcW w:w="2250" w:type="dxa"/>
            <w:tcBorders>
              <w:bottom w:val="dotted" w:color="000000" w:sz="6" w:space="0"/>
            </w:tcBorders>
          </w:tcPr>
          <w:p w:rsidR="00F40524" w:rsidRDefault="00F40524" w14:paraId="59F77598" w14:textId="77777777"/>
        </w:tc>
        <w:tc>
          <w:tcPr>
            <w:tcW w:w="5280" w:type="dxa"/>
            <w:tcBorders>
              <w:bottom w:val="dotted" w:color="000000" w:sz="6" w:space="0"/>
            </w:tcBorders>
          </w:tcPr>
          <w:p w:rsidR="00F40524" w:rsidRDefault="00F40524" w14:paraId="05673684" w14:textId="1E1AEC95"/>
        </w:tc>
      </w:tr>
      <w:tr w:rsidR="00F40524" w:rsidTr="005C6B23" w14:paraId="4B20D1AE" w14:textId="77777777">
        <w:trPr>
          <w:trHeight w:val="200"/>
        </w:trPr>
        <w:tc>
          <w:tcPr>
            <w:tcW w:w="2250" w:type="dxa"/>
          </w:tcPr>
          <w:p w:rsidR="00F40524" w:rsidRDefault="00F40524" w14:paraId="053B49CE" w14:textId="77777777"/>
        </w:tc>
        <w:tc>
          <w:tcPr>
            <w:tcW w:w="5280" w:type="dxa"/>
          </w:tcPr>
          <w:p w:rsidR="00F40524" w:rsidRDefault="00F40524" w14:paraId="4E8B253F" w14:textId="77777777"/>
        </w:tc>
      </w:tr>
    </w:tbl>
    <w:p w:rsidRPr="000F3AA8" w:rsidR="005C6B23" w:rsidP="005C6B23" w:rsidRDefault="005C6B23" w14:paraId="4518DA5A" w14:textId="77777777">
      <w:pPr>
        <w:rPr>
          <w:b/>
        </w:rPr>
      </w:pPr>
      <w:r w:rsidRPr="000F3AA8">
        <w:rPr>
          <w:b/>
        </w:rPr>
        <w:t>Virtual assets</w:t>
      </w:r>
    </w:p>
    <w:p w:rsidRPr="000F3AA8" w:rsidR="00C345DE" w:rsidP="00C345DE" w:rsidRDefault="00C345DE" w14:paraId="657D75E0" w14:textId="152A5E97">
      <w:r>
        <w:t>In oktober 2018 heeft de</w:t>
      </w:r>
      <w:r w:rsidRPr="000F3AA8" w:rsidR="005C6B23">
        <w:t xml:space="preserve"> FATF de FATF-standaarden aangepast om te verduidelijken hoe deze moeten worden toe</w:t>
      </w:r>
      <w:r w:rsidR="006A3209">
        <w:t>ge</w:t>
      </w:r>
      <w:r w:rsidRPr="000F3AA8" w:rsidR="005C6B23">
        <w:t>past op activiteiten en ondernemingen in verband met ‘</w:t>
      </w:r>
      <w:r w:rsidRPr="000F3AA8" w:rsidR="005C6B23">
        <w:rPr>
          <w:i/>
        </w:rPr>
        <w:t>virtual assets’</w:t>
      </w:r>
      <w:r w:rsidRPr="000F3AA8" w:rsidR="005C6B23">
        <w:rPr>
          <w:vertAlign w:val="superscript"/>
        </w:rPr>
        <w:footnoteReference w:id="1"/>
      </w:r>
      <w:r>
        <w:t xml:space="preserve">. Om effectieve regulering van en toezicht </w:t>
      </w:r>
      <w:r w:rsidR="00B14784">
        <w:t xml:space="preserve">op </w:t>
      </w:r>
      <w:r w:rsidRPr="000F3AA8">
        <w:rPr>
          <w:i/>
        </w:rPr>
        <w:t xml:space="preserve">‘virtual assets </w:t>
      </w:r>
      <w:proofErr w:type="gramStart"/>
      <w:r w:rsidRPr="000F3AA8">
        <w:rPr>
          <w:i/>
        </w:rPr>
        <w:t>service providers</w:t>
      </w:r>
      <w:proofErr w:type="gramEnd"/>
      <w:r w:rsidRPr="000F3AA8">
        <w:rPr>
          <w:i/>
        </w:rPr>
        <w:t xml:space="preserve">’ </w:t>
      </w:r>
      <w:r>
        <w:t>te waarborgen</w:t>
      </w:r>
      <w:r w:rsidR="001A006E">
        <w:t xml:space="preserve"> heeft de FATF de details </w:t>
      </w:r>
      <w:r w:rsidR="00A3653A">
        <w:t xml:space="preserve">nader </w:t>
      </w:r>
      <w:r w:rsidR="00B14784">
        <w:t>uitgewerkt.</w:t>
      </w:r>
      <w:r w:rsidRPr="000F3AA8">
        <w:t xml:space="preserve"> </w:t>
      </w:r>
      <w:r w:rsidR="00B14784">
        <w:t xml:space="preserve">Er is overeenstemming bereikt over een concept voor een </w:t>
      </w:r>
      <w:r w:rsidRPr="000F3AA8" w:rsidR="00B14784">
        <w:t>zogenaamde ‘</w:t>
      </w:r>
      <w:proofErr w:type="spellStart"/>
      <w:r w:rsidR="00B14784">
        <w:rPr>
          <w:i/>
        </w:rPr>
        <w:t>Interpretive</w:t>
      </w:r>
      <w:proofErr w:type="spellEnd"/>
      <w:r w:rsidR="00B14784">
        <w:rPr>
          <w:i/>
        </w:rPr>
        <w:t xml:space="preserve"> </w:t>
      </w:r>
      <w:proofErr w:type="spellStart"/>
      <w:r w:rsidR="00B14784">
        <w:rPr>
          <w:i/>
        </w:rPr>
        <w:t>N</w:t>
      </w:r>
      <w:r w:rsidRPr="000F3AA8" w:rsidR="00B14784">
        <w:rPr>
          <w:i/>
        </w:rPr>
        <w:t>ote</w:t>
      </w:r>
      <w:proofErr w:type="spellEnd"/>
      <w:r w:rsidRPr="000F3AA8" w:rsidR="00B14784">
        <w:rPr>
          <w:i/>
        </w:rPr>
        <w:t xml:space="preserve">’ </w:t>
      </w:r>
      <w:r w:rsidRPr="000F3AA8" w:rsidR="00B14784">
        <w:t>(</w:t>
      </w:r>
      <w:r w:rsidR="00C37F95">
        <w:t>toelichting</w:t>
      </w:r>
      <w:r w:rsidR="00B14784">
        <w:t>) bij de desbetreffende A</w:t>
      </w:r>
      <w:r w:rsidRPr="000F3AA8" w:rsidR="00B14784">
        <w:t>anbeveling 15 over nieuwe technologieën.</w:t>
      </w:r>
      <w:r w:rsidR="00B14784">
        <w:t xml:space="preserve"> De tekst hiervan zal in juni definitief worden vastgesteld, na consul</w:t>
      </w:r>
      <w:r w:rsidR="006A3209">
        <w:t>t</w:t>
      </w:r>
      <w:r w:rsidR="00B14784">
        <w:t>atie van de private sector</w:t>
      </w:r>
      <w:r w:rsidR="00C37F95">
        <w:t>,</w:t>
      </w:r>
      <w:r w:rsidR="00F26E36">
        <w:t xml:space="preserve"> </w:t>
      </w:r>
      <w:r w:rsidR="00C37F95">
        <w:t>specifiek op het terrein van girale overschrijvingen</w:t>
      </w:r>
      <w:r w:rsidR="00B14784">
        <w:t>.</w:t>
      </w:r>
      <w:r w:rsidR="000D657A">
        <w:rPr>
          <w:rStyle w:val="Voetnootmarkering"/>
        </w:rPr>
        <w:footnoteReference w:id="2"/>
      </w:r>
      <w:r w:rsidR="00B14784">
        <w:t xml:space="preserve"> </w:t>
      </w:r>
      <w:r w:rsidRPr="000F3AA8">
        <w:t>Met deze verduidelijking beoogt de FATF een wereldwijd</w:t>
      </w:r>
      <w:r w:rsidR="006A3209">
        <w:t>e</w:t>
      </w:r>
      <w:r w:rsidRPr="000F3AA8">
        <w:t xml:space="preserve">, consistente behandeling van </w:t>
      </w:r>
      <w:r w:rsidRPr="000F3AA8">
        <w:rPr>
          <w:i/>
        </w:rPr>
        <w:t>virtual assets</w:t>
      </w:r>
      <w:r w:rsidRPr="000F3AA8">
        <w:t xml:space="preserve"> zeker te stellen, voor toepassing van AML/CFT</w:t>
      </w:r>
      <w:r w:rsidR="00C37F95">
        <w:rPr>
          <w:rStyle w:val="Voetnootmarkering"/>
        </w:rPr>
        <w:footnoteReference w:id="3"/>
      </w:r>
      <w:r w:rsidRPr="000F3AA8">
        <w:t>-regelgeving</w:t>
      </w:r>
      <w:r w:rsidRPr="000F3AA8">
        <w:rPr>
          <w:vertAlign w:val="superscript"/>
        </w:rPr>
        <w:footnoteReference w:id="4"/>
      </w:r>
      <w:r w:rsidRPr="000F3AA8">
        <w:t>.</w:t>
      </w:r>
    </w:p>
    <w:p w:rsidR="005C6B23" w:rsidP="005C6B23" w:rsidRDefault="005C6B23" w14:paraId="192001A5" w14:textId="77777777">
      <w:r w:rsidRPr="000F3AA8">
        <w:t xml:space="preserve"> </w:t>
      </w:r>
    </w:p>
    <w:p w:rsidRPr="000F3AA8" w:rsidR="005C6B23" w:rsidP="005C6B23" w:rsidRDefault="005C6B23" w14:paraId="38EE6ABE" w14:textId="77777777">
      <w:pPr>
        <w:rPr>
          <w:b/>
        </w:rPr>
      </w:pPr>
      <w:r w:rsidRPr="000F3AA8">
        <w:rPr>
          <w:b/>
        </w:rPr>
        <w:t>Wederzijdse evaluatie van jurisdicties</w:t>
      </w:r>
    </w:p>
    <w:p w:rsidRPr="000F3AA8" w:rsidR="005C6B23" w:rsidP="001A006E" w:rsidRDefault="005C6B23" w14:paraId="2D81C401" w14:textId="4B5A2FBE">
      <w:pPr>
        <w:widowControl w:val="0"/>
      </w:pPr>
      <w:r w:rsidRPr="000F3AA8">
        <w:t xml:space="preserve">Deze plenaire vergadering zijn de evaluatierapporten besproken van </w:t>
      </w:r>
      <w:r w:rsidR="00B14784">
        <w:t>Finland en van de Volksrepubliek China</w:t>
      </w:r>
      <w:r w:rsidRPr="000F3AA8">
        <w:t xml:space="preserve">. Door middel van </w:t>
      </w:r>
      <w:r w:rsidRPr="000F3AA8">
        <w:rPr>
          <w:i/>
        </w:rPr>
        <w:t>peer reviews</w:t>
      </w:r>
      <w:r w:rsidRPr="000F3AA8">
        <w:t xml:space="preserve"> is beoordeeld of de nationale AML/CFT-regimes van beide jurisdicties niet alleen technisch voldoen aan de FATF-standaarden, maar ook effectief zijn. De rapporten worden naar verwachting in </w:t>
      </w:r>
      <w:r w:rsidR="00B14784">
        <w:t>april 2019</w:t>
      </w:r>
      <w:r w:rsidRPr="000F3AA8">
        <w:t xml:space="preserve"> gepubliceerd op de website van de FATF.</w:t>
      </w:r>
      <w:r w:rsidRPr="000F3AA8">
        <w:rPr>
          <w:vertAlign w:val="superscript"/>
        </w:rPr>
        <w:footnoteReference w:id="5"/>
      </w:r>
      <w:r w:rsidRPr="000F3AA8">
        <w:t xml:space="preserve"> </w:t>
      </w:r>
    </w:p>
    <w:p w:rsidRPr="000F3AA8" w:rsidR="005C6B23" w:rsidP="001A006E" w:rsidRDefault="005C6B23" w14:paraId="6649310E" w14:textId="77777777">
      <w:pPr>
        <w:widowControl w:val="0"/>
        <w:rPr>
          <w:b/>
        </w:rPr>
      </w:pPr>
    </w:p>
    <w:p w:rsidRPr="000F3AA8" w:rsidR="005C6B23" w:rsidP="001A006E" w:rsidRDefault="005C6B23" w14:paraId="20EBC5FF" w14:textId="3A81D33C">
      <w:pPr>
        <w:widowControl w:val="0"/>
        <w:rPr>
          <w:b/>
        </w:rPr>
      </w:pPr>
      <w:r w:rsidRPr="000F3AA8">
        <w:rPr>
          <w:b/>
        </w:rPr>
        <w:t>Hoog</w:t>
      </w:r>
      <w:r w:rsidR="006A3209">
        <w:rPr>
          <w:b/>
        </w:rPr>
        <w:t>-</w:t>
      </w:r>
      <w:r w:rsidRPr="000F3AA8">
        <w:rPr>
          <w:b/>
        </w:rPr>
        <w:t>risico</w:t>
      </w:r>
      <w:r w:rsidR="00084929">
        <w:rPr>
          <w:b/>
        </w:rPr>
        <w:t xml:space="preserve"> </w:t>
      </w:r>
      <w:r w:rsidRPr="000F3AA8">
        <w:rPr>
          <w:b/>
        </w:rPr>
        <w:t>en overige jurisdicties die door de FATF gevolgd worden</w:t>
      </w:r>
    </w:p>
    <w:p w:rsidR="00084929" w:rsidP="001A006E" w:rsidRDefault="005C6B23" w14:paraId="3C831155" w14:textId="77777777">
      <w:pPr>
        <w:widowControl w:val="0"/>
      </w:pPr>
      <w:r w:rsidRPr="000F3AA8">
        <w:t xml:space="preserve">De FATF publiceert twee lijsten waarop jurisdicties staan met strategische </w:t>
      </w:r>
      <w:r w:rsidRPr="000F3AA8">
        <w:lastRenderedPageBreak/>
        <w:t xml:space="preserve">tekortkomingen in hun nationale regimes ter voorkoming en bestrijding van witwassen en terrorismefinanciering. De eerste lijst is het zogeheten </w:t>
      </w:r>
      <w:r w:rsidRPr="000F3AA8">
        <w:rPr>
          <w:i/>
        </w:rPr>
        <w:t xml:space="preserve">public statement </w:t>
      </w:r>
      <w:r w:rsidRPr="000F3AA8">
        <w:t xml:space="preserve">en bevat jurisdicties die geen </w:t>
      </w:r>
      <w:r w:rsidRPr="000F3AA8">
        <w:rPr>
          <w:i/>
        </w:rPr>
        <w:t>commitment</w:t>
      </w:r>
      <w:r w:rsidRPr="000F3AA8">
        <w:t xml:space="preserve"> tonen of onvoldoende voortgang hebben laten zien bij het aanpakken van hun strategische tekortkomingen en die een bedreiging kunnen vormen voor het internationale financiële systeem.</w:t>
      </w:r>
      <w:r w:rsidRPr="000F3AA8">
        <w:rPr>
          <w:vertAlign w:val="superscript"/>
        </w:rPr>
        <w:footnoteReference w:id="6"/>
      </w:r>
      <w:r w:rsidRPr="000F3AA8">
        <w:t xml:space="preserve"> </w:t>
      </w:r>
    </w:p>
    <w:p w:rsidR="00084929" w:rsidP="001A006E" w:rsidRDefault="00084929" w14:paraId="6843B688" w14:textId="77777777">
      <w:pPr>
        <w:widowControl w:val="0"/>
      </w:pPr>
    </w:p>
    <w:p w:rsidR="00084929" w:rsidP="001A006E" w:rsidRDefault="005C6B23" w14:paraId="2FC04575" w14:textId="77777777">
      <w:pPr>
        <w:widowControl w:val="0"/>
      </w:pPr>
      <w:r w:rsidRPr="000F3AA8">
        <w:t>Noord-Korea staat weer vermeld in</w:t>
      </w:r>
      <w:r w:rsidRPr="000F3AA8">
        <w:rPr>
          <w:i/>
        </w:rPr>
        <w:t xml:space="preserve"> </w:t>
      </w:r>
      <w:r w:rsidRPr="000F3AA8">
        <w:t xml:space="preserve">het </w:t>
      </w:r>
      <w:r w:rsidRPr="000F3AA8">
        <w:rPr>
          <w:i/>
        </w:rPr>
        <w:t xml:space="preserve">public statement </w:t>
      </w:r>
      <w:r w:rsidRPr="000F3AA8">
        <w:t xml:space="preserve">van </w:t>
      </w:r>
      <w:r w:rsidR="008C12F6">
        <w:t>2</w:t>
      </w:r>
      <w:r w:rsidR="00F94A28">
        <w:t>2</w:t>
      </w:r>
      <w:r w:rsidR="008C12F6">
        <w:t xml:space="preserve"> februari</w:t>
      </w:r>
      <w:r w:rsidRPr="000F3AA8">
        <w:t xml:space="preserve"> jl., met de oproep van de FATF aan alle leden en jurisdicties om effectieve tegenmaatregelen te nemen ter bescherming van het internationale financiële systeem. </w:t>
      </w:r>
    </w:p>
    <w:p w:rsidR="00084929" w:rsidP="001A006E" w:rsidRDefault="00084929" w14:paraId="26ED8C92" w14:textId="77777777">
      <w:pPr>
        <w:widowControl w:val="0"/>
      </w:pPr>
    </w:p>
    <w:p w:rsidRPr="000F3AA8" w:rsidR="005C6B23" w:rsidP="001A006E" w:rsidRDefault="005C6B23" w14:paraId="10178E4C" w14:textId="0A542773">
      <w:pPr>
        <w:widowControl w:val="0"/>
      </w:pPr>
      <w:r w:rsidRPr="000F3AA8">
        <w:t xml:space="preserve">Iran staat ook </w:t>
      </w:r>
      <w:r w:rsidR="000C4DC0">
        <w:t xml:space="preserve">weer </w:t>
      </w:r>
      <w:r w:rsidRPr="000F3AA8">
        <w:t xml:space="preserve">vermeld in het </w:t>
      </w:r>
      <w:r w:rsidRPr="000F3AA8">
        <w:rPr>
          <w:i/>
        </w:rPr>
        <w:t xml:space="preserve">public statement, </w:t>
      </w:r>
      <w:r w:rsidRPr="000F3AA8">
        <w:t xml:space="preserve">waarbij de oproep van de FATF om tegenmaatregelen te nemen tegen Iran sinds juni 2016 is opgeschort. Iran is toen begonnen de strategische tekortkomingen in zijn nationale AML/CFT-wetten weg te nemen op basis van een met de FATF overeengekomen actieplan. Dit actieplan is op 31 januari </w:t>
      </w:r>
      <w:r w:rsidR="008C12F6">
        <w:t>2018</w:t>
      </w:r>
      <w:r w:rsidRPr="000F3AA8">
        <w:t xml:space="preserve"> verstreken. Iran is echter nog steeds politiek gecommitteerd aan het actieplan en maakt vorderingen in het wetgevingsproces. Gezien het voorgaande heeft de FATF wederom de oproep om tegenmaatregelen te nemen tegen Iran opgeschort, maar de FATF heeft wel zijn teleurstelling uitgesproken over het feit dat de h</w:t>
      </w:r>
      <w:r>
        <w:t xml:space="preserve">et actieplan nog niet volledig is </w:t>
      </w:r>
      <w:r w:rsidRPr="000F3AA8">
        <w:t xml:space="preserve">afgerond. De FATF verwacht dat in </w:t>
      </w:r>
      <w:r w:rsidR="00F94A28">
        <w:t>juni</w:t>
      </w:r>
      <w:r w:rsidRPr="000F3AA8">
        <w:t xml:space="preserve"> 2019 de noodzakelijke wetgeving in Iran in werking is</w:t>
      </w:r>
      <w:r w:rsidR="000C4DC0">
        <w:t xml:space="preserve"> getreden</w:t>
      </w:r>
      <w:r w:rsidRPr="000F3AA8">
        <w:t>. Gebeurt dat niet</w:t>
      </w:r>
      <w:r w:rsidR="00F94A28">
        <w:t>,</w:t>
      </w:r>
      <w:r w:rsidRPr="000F3AA8">
        <w:t xml:space="preserve"> dan zal de FATF </w:t>
      </w:r>
      <w:r w:rsidR="00F94A28">
        <w:t>versterkt toezicht voorschrijven voor bijkantoren en dochtermaatschappijen van banken gevestigd in Iran, t</w:t>
      </w:r>
      <w:r w:rsidRPr="000F3AA8">
        <w:t>er bescherming tegen de risico’s die volgen uit de tekortkomingen in het Iraanse AML/</w:t>
      </w:r>
      <w:proofErr w:type="gramStart"/>
      <w:r w:rsidRPr="000F3AA8">
        <w:t>CFT regime</w:t>
      </w:r>
      <w:proofErr w:type="gramEnd"/>
      <w:r w:rsidRPr="000F3AA8">
        <w:t xml:space="preserve">. In de tussentijd blijft Iran op het </w:t>
      </w:r>
      <w:r w:rsidRPr="000F3AA8">
        <w:rPr>
          <w:i/>
        </w:rPr>
        <w:t>public statement</w:t>
      </w:r>
      <w:r w:rsidRPr="000F3AA8">
        <w:t xml:space="preserve"> st</w:t>
      </w:r>
      <w:r w:rsidR="0018452D">
        <w:t>aan met de oproep om verscherpt</w:t>
      </w:r>
      <w:r w:rsidRPr="000F3AA8">
        <w:t xml:space="preserve"> </w:t>
      </w:r>
      <w:r w:rsidR="001A006E">
        <w:t>cliëntenonderzoek</w:t>
      </w:r>
      <w:r w:rsidRPr="000F3AA8">
        <w:rPr>
          <w:i/>
        </w:rPr>
        <w:t xml:space="preserve"> </w:t>
      </w:r>
      <w:r w:rsidRPr="000F3AA8">
        <w:t xml:space="preserve">te </w:t>
      </w:r>
      <w:r w:rsidR="000C4DC0">
        <w:t>verrichten</w:t>
      </w:r>
      <w:r w:rsidR="0018452D">
        <w:t xml:space="preserve"> </w:t>
      </w:r>
      <w:r w:rsidRPr="000F3AA8">
        <w:t xml:space="preserve">bij zakelijke relaties en transacties met personen of entiteiten uit Iran. De tekst van het </w:t>
      </w:r>
      <w:r w:rsidRPr="000F3AA8">
        <w:rPr>
          <w:i/>
        </w:rPr>
        <w:t>public statement</w:t>
      </w:r>
      <w:r w:rsidRPr="000F3AA8">
        <w:t xml:space="preserve"> is te vinden op de website van de FATF.</w:t>
      </w:r>
      <w:r w:rsidRPr="000F3AA8">
        <w:rPr>
          <w:vertAlign w:val="superscript"/>
        </w:rPr>
        <w:footnoteReference w:id="7"/>
      </w:r>
      <w:r w:rsidRPr="000F3AA8">
        <w:t xml:space="preserve"> </w:t>
      </w:r>
    </w:p>
    <w:p w:rsidRPr="000F3AA8" w:rsidR="005C6B23" w:rsidP="005C6B23" w:rsidRDefault="005C6B23" w14:paraId="72BAB819" w14:textId="77777777"/>
    <w:p w:rsidR="005C6B23" w:rsidP="005C6B23" w:rsidRDefault="005C6B23" w14:paraId="003583A8" w14:textId="446BCDDB">
      <w:r w:rsidRPr="000F3AA8">
        <w:t>De tweede lijst die de FATF publiceert</w:t>
      </w:r>
      <w:r w:rsidR="001A006E">
        <w:t>,</w:t>
      </w:r>
      <w:r w:rsidRPr="000F3AA8">
        <w:t xml:space="preserve"> is getiteld </w:t>
      </w:r>
      <w:proofErr w:type="spellStart"/>
      <w:r w:rsidRPr="000F3AA8">
        <w:rPr>
          <w:i/>
        </w:rPr>
        <w:t>Improving</w:t>
      </w:r>
      <w:proofErr w:type="spellEnd"/>
      <w:r w:rsidRPr="000F3AA8">
        <w:rPr>
          <w:i/>
        </w:rPr>
        <w:t xml:space="preserve"> </w:t>
      </w:r>
      <w:proofErr w:type="spellStart"/>
      <w:r w:rsidRPr="000F3AA8">
        <w:rPr>
          <w:i/>
        </w:rPr>
        <w:t>global</w:t>
      </w:r>
      <w:proofErr w:type="spellEnd"/>
      <w:r w:rsidRPr="000F3AA8">
        <w:rPr>
          <w:i/>
        </w:rPr>
        <w:t xml:space="preserve"> AML/CFT compliance.</w:t>
      </w:r>
      <w:r w:rsidRPr="000F3AA8">
        <w:rPr>
          <w:i/>
          <w:vertAlign w:val="superscript"/>
        </w:rPr>
        <w:footnoteReference w:id="8"/>
      </w:r>
      <w:r w:rsidRPr="000F3AA8">
        <w:rPr>
          <w:i/>
        </w:rPr>
        <w:t xml:space="preserve"> </w:t>
      </w:r>
      <w:r w:rsidRPr="000F3AA8">
        <w:t xml:space="preserve">Deze lijst bevat landen die strategische tekortkomingen hebben in hun nationale regimes ter voorkoming en bestrijding van witwassen en terrorismefinanciering en die gecommitteerd zijn om deze tekortkomingen aan te pakken. Deze plenaire vergadering </w:t>
      </w:r>
      <w:r w:rsidR="00084929">
        <w:t>is Cambodja aan</w:t>
      </w:r>
      <w:r w:rsidRPr="000F3AA8">
        <w:t xml:space="preserve"> de lijst </w:t>
      </w:r>
      <w:r w:rsidR="00084929">
        <w:t>toegevoegd</w:t>
      </w:r>
      <w:r w:rsidRPr="000F3AA8">
        <w:t xml:space="preserve">, vanwege de strategische tekortkomingen in </w:t>
      </w:r>
      <w:r w:rsidR="00084929">
        <w:t>het nationale AML/CFT-regime van deze jurisdictie</w:t>
      </w:r>
      <w:r w:rsidRPr="000F3AA8">
        <w:t xml:space="preserve">. </w:t>
      </w:r>
      <w:r w:rsidR="00084929">
        <w:t>Cambodja</w:t>
      </w:r>
      <w:r w:rsidRPr="000F3AA8">
        <w:t xml:space="preserve"> heeft zich politiek gecommitteerd aan een FATF-actieplan om die tekortkomingen te a</w:t>
      </w:r>
      <w:r w:rsidR="00084929">
        <w:t>dresseren. In totaal staan nu twaalf</w:t>
      </w:r>
      <w:r w:rsidRPr="000F3AA8">
        <w:t xml:space="preserve"> landen op deze lijst.</w:t>
      </w:r>
      <w:r w:rsidRPr="000F3AA8">
        <w:rPr>
          <w:vertAlign w:val="superscript"/>
          <w:lang w:val="en-US"/>
        </w:rPr>
        <w:footnoteReference w:id="9"/>
      </w:r>
      <w:r w:rsidRPr="000F3AA8">
        <w:t xml:space="preserve"> </w:t>
      </w:r>
    </w:p>
    <w:p w:rsidRPr="000F3AA8" w:rsidR="00084929" w:rsidP="005C6B23" w:rsidRDefault="00084929" w14:paraId="7D2B0482" w14:textId="77777777"/>
    <w:p w:rsidRPr="000F3AA8" w:rsidR="005C6B23" w:rsidP="005C6B23" w:rsidRDefault="005C6B23" w14:paraId="20087F27" w14:textId="7AA53E6D">
      <w:r w:rsidRPr="000F3AA8">
        <w:t xml:space="preserve">De deelnemers van de Commissie meldplicht, inclusief alle toezichthouders </w:t>
      </w:r>
      <w:r w:rsidR="00AE3FDF">
        <w:t>op</w:t>
      </w:r>
      <w:r w:rsidRPr="000F3AA8">
        <w:t xml:space="preserve"> de Wet ter voorkoming va</w:t>
      </w:r>
      <w:r w:rsidR="00AE3FDF">
        <w:t>n witwassen en financieren van terrorisme (</w:t>
      </w:r>
      <w:proofErr w:type="spellStart"/>
      <w:r w:rsidR="00AE3FDF">
        <w:t>Wwft</w:t>
      </w:r>
      <w:proofErr w:type="spellEnd"/>
      <w:r w:rsidR="00AE3FDF">
        <w:t xml:space="preserve">) </w:t>
      </w:r>
      <w:r w:rsidRPr="000F3AA8">
        <w:t xml:space="preserve">en vertegenwoordigers van </w:t>
      </w:r>
      <w:proofErr w:type="spellStart"/>
      <w:r w:rsidRPr="000F3AA8">
        <w:t>meldingsplichtige</w:t>
      </w:r>
      <w:proofErr w:type="spellEnd"/>
      <w:r w:rsidRPr="000F3AA8">
        <w:t xml:space="preserve"> instellingen, worden op de hoogte gesteld van de FATF-lijsten. Ook publiceren De Nederlandsche Bank en de Autoriteit Financiële Markten na elke plenaire vergaderi</w:t>
      </w:r>
      <w:r w:rsidR="00AE3FDF">
        <w:t>ng een bericht op hun websites</w:t>
      </w:r>
      <w:r w:rsidRPr="000F3AA8">
        <w:t xml:space="preserve">, met verwijzingen naar de nieuwe lijsten. Op diezelfde websites wordt toegelicht welke (aanvullende) maatregelen Nederlandse financiële instellingen dienen te nemen in het kader van de naleving van de </w:t>
      </w:r>
      <w:proofErr w:type="spellStart"/>
      <w:r w:rsidRPr="000F3AA8">
        <w:t>Wwft</w:t>
      </w:r>
      <w:proofErr w:type="spellEnd"/>
      <w:r w:rsidRPr="000F3AA8">
        <w:t xml:space="preserve">, om het verhoogde </w:t>
      </w:r>
      <w:r w:rsidRPr="000F3AA8">
        <w:lastRenderedPageBreak/>
        <w:t>risico ten aanzien van relaties met ingezetenen van deze landen en het uitvoeren van transacties van of naar deze landen te mitigeren.</w:t>
      </w:r>
    </w:p>
    <w:p w:rsidR="005C6B23" w:rsidP="005C6B23" w:rsidRDefault="005C6B23" w14:paraId="0102BAB6" w14:textId="062E908B">
      <w:pPr>
        <w:rPr>
          <w:b/>
        </w:rPr>
      </w:pPr>
    </w:p>
    <w:p w:rsidRPr="000F3AA8" w:rsidR="005C6B23" w:rsidP="005C6B23" w:rsidRDefault="00F3690D" w14:paraId="60C19B2D" w14:textId="0D62A09B">
      <w:pPr>
        <w:rPr>
          <w:b/>
        </w:rPr>
      </w:pPr>
      <w:r>
        <w:rPr>
          <w:b/>
        </w:rPr>
        <w:t>F</w:t>
      </w:r>
      <w:r w:rsidRPr="000F3AA8" w:rsidR="005C6B23">
        <w:rPr>
          <w:b/>
        </w:rPr>
        <w:t>inanciering</w:t>
      </w:r>
      <w:r>
        <w:rPr>
          <w:b/>
        </w:rPr>
        <w:t xml:space="preserve"> van terrorisme</w:t>
      </w:r>
    </w:p>
    <w:p w:rsidRPr="000F3AA8" w:rsidR="005C6B23" w:rsidP="00E7059C" w:rsidRDefault="002E4C2E" w14:paraId="7E6AFCFD" w14:textId="740BD3A5">
      <w:pPr>
        <w:rPr>
          <w:b/>
        </w:rPr>
      </w:pPr>
      <w:r>
        <w:t>Ee</w:t>
      </w:r>
      <w:r w:rsidRPr="000F3AA8" w:rsidR="005C6B23">
        <w:t>n van de prioriteiten van de Vere</w:t>
      </w:r>
      <w:r>
        <w:t>nigde Staten, als FATF-voorzitter</w:t>
      </w:r>
      <w:r w:rsidRPr="000F3AA8" w:rsidR="005C6B23">
        <w:t xml:space="preserve"> 2018-2019, is </w:t>
      </w:r>
      <w:r w:rsidR="0005709F">
        <w:t xml:space="preserve">het voorkomen en </w:t>
      </w:r>
      <w:r w:rsidRPr="000F3AA8" w:rsidR="005C6B23">
        <w:t>bestrijd</w:t>
      </w:r>
      <w:r w:rsidR="0005709F">
        <w:t>en</w:t>
      </w:r>
      <w:r w:rsidRPr="000F3AA8" w:rsidR="005C6B23">
        <w:t xml:space="preserve"> van de financiering van </w:t>
      </w:r>
      <w:r w:rsidR="00A045F1">
        <w:t>terrorisme</w:t>
      </w:r>
      <w:r w:rsidRPr="000F3AA8" w:rsidR="005C6B23">
        <w:t xml:space="preserve">. </w:t>
      </w:r>
      <w:r>
        <w:t>Tijdens d</w:t>
      </w:r>
      <w:r w:rsidRPr="000F3AA8" w:rsidR="005C6B23">
        <w:t xml:space="preserve">eze plenaire vergadering heeft de FATF </w:t>
      </w:r>
      <w:r w:rsidR="00A045F1">
        <w:t xml:space="preserve">een verklaring </w:t>
      </w:r>
      <w:r>
        <w:t>vastgesteld</w:t>
      </w:r>
      <w:r w:rsidR="00A045F1">
        <w:t xml:space="preserve"> met een overzicht van de stand van zaken </w:t>
      </w:r>
      <w:r w:rsidR="0005709F">
        <w:t>over toezicht</w:t>
      </w:r>
      <w:r w:rsidR="00A045F1">
        <w:t xml:space="preserve"> en bestrijding van terrorismefinanciering</w:t>
      </w:r>
      <w:r w:rsidR="00C01728">
        <w:rPr>
          <w:rStyle w:val="Voetnootmarkering"/>
        </w:rPr>
        <w:footnoteReference w:id="10"/>
      </w:r>
      <w:r w:rsidR="00973185">
        <w:t>.</w:t>
      </w:r>
    </w:p>
    <w:p w:rsidR="005C6B23" w:rsidP="005C6B23" w:rsidRDefault="005C6B23" w14:paraId="697873F0" w14:textId="77777777">
      <w:pPr>
        <w:rPr>
          <w:b/>
        </w:rPr>
      </w:pPr>
    </w:p>
    <w:p w:rsidRPr="000F3AA8" w:rsidR="005C6B23" w:rsidP="005C6B23" w:rsidRDefault="005C6B23" w14:paraId="4D04AC1B" w14:textId="77777777">
      <w:pPr>
        <w:rPr>
          <w:b/>
        </w:rPr>
      </w:pPr>
      <w:r w:rsidRPr="000F3AA8">
        <w:rPr>
          <w:b/>
        </w:rPr>
        <w:t xml:space="preserve">Aanpassingen in de </w:t>
      </w:r>
      <w:proofErr w:type="spellStart"/>
      <w:r w:rsidRPr="000F3AA8">
        <w:rPr>
          <w:b/>
          <w:i/>
        </w:rPr>
        <w:t>governance</w:t>
      </w:r>
      <w:proofErr w:type="spellEnd"/>
      <w:r w:rsidRPr="000F3AA8">
        <w:rPr>
          <w:b/>
        </w:rPr>
        <w:t xml:space="preserve"> van de FATF</w:t>
      </w:r>
    </w:p>
    <w:p w:rsidRPr="000F3AA8" w:rsidR="005C6B23" w:rsidP="00E7059C" w:rsidRDefault="005C6B23" w14:paraId="474B738E" w14:textId="483FA10C">
      <w:r w:rsidRPr="000F3AA8">
        <w:t xml:space="preserve">Het wereldwijde belang van de FATF en zijn werkterrein is de afgelopen jaren toegenomen. Om ervoor te zorgen dat de thema’s die de FATF behandelt op een strategisch coherente manier worden benaderd en om de </w:t>
      </w:r>
      <w:r w:rsidRPr="000F3AA8">
        <w:rPr>
          <w:i/>
        </w:rPr>
        <w:t xml:space="preserve">commitment </w:t>
      </w:r>
      <w:r w:rsidRPr="000F3AA8">
        <w:t xml:space="preserve">aan de FATF-standaarden verder te </w:t>
      </w:r>
      <w:r w:rsidR="007770DC">
        <w:t>vergroten</w:t>
      </w:r>
      <w:r w:rsidRPr="000F3AA8">
        <w:t xml:space="preserve">, hebben de FATF-leden besloten om ministers en senior beleidsbepalers intensiever te betrekken bij de werkzaamheden van de FATF. </w:t>
      </w:r>
      <w:r w:rsidR="007770DC">
        <w:t xml:space="preserve">Eens in de vier jaar, </w:t>
      </w:r>
      <w:r w:rsidRPr="000F3AA8">
        <w:t xml:space="preserve">te beginnen in </w:t>
      </w:r>
      <w:r w:rsidR="007E220A">
        <w:t xml:space="preserve">april </w:t>
      </w:r>
      <w:r w:rsidRPr="000F3AA8">
        <w:t>2019</w:t>
      </w:r>
      <w:r w:rsidR="007770DC">
        <w:t>, zal</w:t>
      </w:r>
      <w:r w:rsidRPr="000F3AA8">
        <w:t xml:space="preserve"> een ministeriële bijeenkomst plaatsvinden voor FATF-leden, in de marge van de voorjaarsvergaderingen van het Internationaal Monetair Fonds en de Wereldbank. </w:t>
      </w:r>
      <w:r w:rsidR="007770DC">
        <w:t xml:space="preserve">Tijdens de komende bijeenkomst zal een nieuw mandaat voor de FATF worden besproken. </w:t>
      </w:r>
      <w:r w:rsidRPr="000F3AA8">
        <w:t>Dan zal ook worden stilgestaan bij het 30-jarige bestaan van de FATF.</w:t>
      </w:r>
      <w:r w:rsidR="007770DC">
        <w:t xml:space="preserve"> </w:t>
      </w:r>
    </w:p>
    <w:p w:rsidRPr="000F3AA8" w:rsidR="005C6B23" w:rsidP="005C6B23" w:rsidRDefault="005C6B23" w14:paraId="349CF012" w14:textId="77777777"/>
    <w:p w:rsidRPr="000F3AA8" w:rsidR="005C6B23" w:rsidP="005C6B23" w:rsidRDefault="005C6B23" w14:paraId="03B2A215" w14:textId="77777777">
      <w:pPr>
        <w:rPr>
          <w:b/>
        </w:rPr>
      </w:pPr>
      <w:r w:rsidRPr="000F3AA8">
        <w:rPr>
          <w:b/>
        </w:rPr>
        <w:t>Overige</w:t>
      </w:r>
    </w:p>
    <w:p w:rsidR="002E4C2E" w:rsidP="005C6B23" w:rsidRDefault="002E4C2E" w14:paraId="28594288" w14:textId="3020E25B">
      <w:r>
        <w:t>De plenaire vergadering van de FATF heeft een voorgangsrapportage aan de ministers van financiën en presidenten van de centrale banken van de G20 goedgekeurd. Dit rapport zal over enkele weken worden gepubliceerd.</w:t>
      </w:r>
    </w:p>
    <w:p w:rsidR="002E4C2E" w:rsidP="005C6B23" w:rsidRDefault="002E4C2E" w14:paraId="0E8B6C34" w14:textId="77777777"/>
    <w:p w:rsidRPr="000F3AA8" w:rsidR="005C6B23" w:rsidP="006042EF" w:rsidRDefault="005C6B23" w14:paraId="7111E269" w14:textId="30927209">
      <w:r w:rsidRPr="000F3AA8">
        <w:t xml:space="preserve">Deze plenaire vergadering heeft de FATF </w:t>
      </w:r>
      <w:r w:rsidR="002E4C2E">
        <w:t>dr</w:t>
      </w:r>
      <w:r w:rsidR="00557150">
        <w:t>i</w:t>
      </w:r>
      <w:r w:rsidR="002E4C2E">
        <w:t>e</w:t>
      </w:r>
      <w:r w:rsidRPr="000F3AA8">
        <w:t xml:space="preserve"> </w:t>
      </w:r>
      <w:proofErr w:type="spellStart"/>
      <w:r w:rsidRPr="000F3AA8">
        <w:rPr>
          <w:i/>
        </w:rPr>
        <w:t>guidance</w:t>
      </w:r>
      <w:proofErr w:type="spellEnd"/>
      <w:r w:rsidRPr="000F3AA8">
        <w:rPr>
          <w:i/>
        </w:rPr>
        <w:t xml:space="preserve"> papers </w:t>
      </w:r>
      <w:r w:rsidR="00557150">
        <w:t>besproken</w:t>
      </w:r>
      <w:r w:rsidRPr="000F3AA8">
        <w:t xml:space="preserve"> die </w:t>
      </w:r>
      <w:r w:rsidR="00557150">
        <w:t>zijn</w:t>
      </w:r>
      <w:r w:rsidRPr="000F3AA8">
        <w:t xml:space="preserve"> gepubliceerd op de website van de FATF</w:t>
      </w:r>
      <w:r w:rsidR="00557150">
        <w:t xml:space="preserve"> voor publieke consul</w:t>
      </w:r>
      <w:r w:rsidR="006A3209">
        <w:t>t</w:t>
      </w:r>
      <w:r w:rsidR="00557150">
        <w:t>atie</w:t>
      </w:r>
      <w:r w:rsidRPr="000F3AA8">
        <w:rPr>
          <w:vertAlign w:val="superscript"/>
        </w:rPr>
        <w:footnoteReference w:id="11"/>
      </w:r>
      <w:r w:rsidRPr="000F3AA8">
        <w:t xml:space="preserve">. Het betreft </w:t>
      </w:r>
      <w:proofErr w:type="spellStart"/>
      <w:r w:rsidRPr="000F3AA8">
        <w:rPr>
          <w:i/>
        </w:rPr>
        <w:t>guidance</w:t>
      </w:r>
      <w:proofErr w:type="spellEnd"/>
      <w:r w:rsidRPr="000F3AA8">
        <w:rPr>
          <w:i/>
        </w:rPr>
        <w:t xml:space="preserve"> </w:t>
      </w:r>
      <w:r w:rsidRPr="000F3AA8">
        <w:t xml:space="preserve">over toepassing van de </w:t>
      </w:r>
      <w:proofErr w:type="spellStart"/>
      <w:r w:rsidRPr="000F3AA8">
        <w:t>risicogebaseerde</w:t>
      </w:r>
      <w:proofErr w:type="spellEnd"/>
      <w:r w:rsidRPr="000F3AA8">
        <w:t xml:space="preserve"> benadering voor </w:t>
      </w:r>
      <w:r w:rsidR="00557150">
        <w:t>advocaten</w:t>
      </w:r>
      <w:r w:rsidR="002E4C2E">
        <w:t xml:space="preserve">, </w:t>
      </w:r>
      <w:r w:rsidR="002230F9">
        <w:t xml:space="preserve">notarissen, </w:t>
      </w:r>
      <w:r w:rsidR="00557150">
        <w:t>accountants</w:t>
      </w:r>
      <w:r w:rsidR="002E4C2E">
        <w:t xml:space="preserve"> en de trustsector</w:t>
      </w:r>
      <w:r w:rsidRPr="000F3AA8">
        <w:t xml:space="preserve">. Deze documenten bevatten handvatten en voorbeelden voor marktpartijen en toezichthouders over hoe </w:t>
      </w:r>
      <w:r w:rsidR="00557150">
        <w:t xml:space="preserve">zij </w:t>
      </w:r>
      <w:r w:rsidRPr="000F3AA8">
        <w:t xml:space="preserve">op een </w:t>
      </w:r>
      <w:proofErr w:type="spellStart"/>
      <w:r w:rsidRPr="000F3AA8">
        <w:t>risicogebaseerde</w:t>
      </w:r>
      <w:proofErr w:type="spellEnd"/>
      <w:r w:rsidRPr="000F3AA8">
        <w:t xml:space="preserve"> manier aan de AML/CFT-standaarden </w:t>
      </w:r>
      <w:r w:rsidR="00557150">
        <w:t>kunnen voldoen</w:t>
      </w:r>
      <w:r w:rsidRPr="000F3AA8">
        <w:t xml:space="preserve">. </w:t>
      </w:r>
      <w:r w:rsidR="006042EF">
        <w:t xml:space="preserve">Tijdens de FATF-bijeenkomst in juni </w:t>
      </w:r>
      <w:r w:rsidR="00973185">
        <w:t>zullen</w:t>
      </w:r>
      <w:r w:rsidR="006042EF">
        <w:t xml:space="preserve"> </w:t>
      </w:r>
      <w:r w:rsidR="00557150">
        <w:t xml:space="preserve">de </w:t>
      </w:r>
      <w:proofErr w:type="spellStart"/>
      <w:r w:rsidRPr="000F3AA8" w:rsidR="00557150">
        <w:rPr>
          <w:i/>
        </w:rPr>
        <w:t>guidance</w:t>
      </w:r>
      <w:proofErr w:type="spellEnd"/>
      <w:r w:rsidRPr="000F3AA8" w:rsidR="00557150">
        <w:rPr>
          <w:i/>
        </w:rPr>
        <w:t xml:space="preserve"> papers</w:t>
      </w:r>
      <w:r w:rsidR="006042EF">
        <w:t xml:space="preserve"> ter finale goedkeuring </w:t>
      </w:r>
      <w:r w:rsidR="00973185">
        <w:t xml:space="preserve">worden </w:t>
      </w:r>
      <w:r w:rsidR="006042EF">
        <w:t>voorgelegd</w:t>
      </w:r>
      <w:r w:rsidR="00557150">
        <w:t>.</w:t>
      </w:r>
    </w:p>
    <w:p w:rsidR="005C6B23" w:rsidP="005C6B23" w:rsidRDefault="005C6B23" w14:paraId="5627BA79" w14:textId="77777777"/>
    <w:p w:rsidR="00F40524" w:rsidRDefault="00F40524" w14:paraId="4D299630" w14:textId="77777777"/>
    <w:sectPr w:rsidR="00F40524">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62027" w14:textId="77777777" w:rsidR="009A4660" w:rsidRDefault="005C6B23">
      <w:pPr>
        <w:spacing w:line="240" w:lineRule="auto"/>
      </w:pPr>
      <w:r>
        <w:separator/>
      </w:r>
    </w:p>
  </w:endnote>
  <w:endnote w:type="continuationSeparator" w:id="0">
    <w:p w14:paraId="647FBBFC" w14:textId="77777777" w:rsidR="009A4660" w:rsidRDefault="005C6B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046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7C895" w14:textId="77777777" w:rsidR="00331701" w:rsidRDefault="003317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994EF" w14:textId="77777777" w:rsidR="00331701" w:rsidRDefault="003317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5C412" w14:textId="77777777" w:rsidR="00331701" w:rsidRDefault="003317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6B898" w14:textId="77777777" w:rsidR="009A4660" w:rsidRDefault="005C6B23">
      <w:pPr>
        <w:spacing w:line="240" w:lineRule="auto"/>
      </w:pPr>
      <w:r>
        <w:separator/>
      </w:r>
    </w:p>
  </w:footnote>
  <w:footnote w:type="continuationSeparator" w:id="0">
    <w:p w14:paraId="5166CE07" w14:textId="77777777" w:rsidR="009A4660" w:rsidRDefault="005C6B23">
      <w:pPr>
        <w:spacing w:line="240" w:lineRule="auto"/>
      </w:pPr>
      <w:r>
        <w:continuationSeparator/>
      </w:r>
    </w:p>
  </w:footnote>
  <w:footnote w:id="1">
    <w:p w14:paraId="021CEE87" w14:textId="77777777" w:rsidR="005C6B23" w:rsidRPr="001A006E" w:rsidRDefault="005C6B23" w:rsidP="005C6B23">
      <w:pPr>
        <w:pStyle w:val="Voetnoottekst"/>
        <w:rPr>
          <w:sz w:val="13"/>
          <w:lang w:val="nl-NL"/>
        </w:rPr>
      </w:pPr>
      <w:r w:rsidRPr="001A006E">
        <w:rPr>
          <w:rStyle w:val="Voetnootmarkering"/>
          <w:sz w:val="13"/>
        </w:rPr>
        <w:footnoteRef/>
      </w:r>
      <w:r w:rsidRPr="001A006E">
        <w:rPr>
          <w:sz w:val="13"/>
          <w:lang w:val="nl-NL"/>
        </w:rPr>
        <w:t xml:space="preserve"> </w:t>
      </w:r>
      <w:r w:rsidRPr="001A006E">
        <w:rPr>
          <w:sz w:val="13"/>
          <w:szCs w:val="16"/>
          <w:lang w:val="nl-NL"/>
        </w:rPr>
        <w:t xml:space="preserve">FATF </w:t>
      </w:r>
      <w:r w:rsidR="00C345DE" w:rsidRPr="001A006E">
        <w:rPr>
          <w:sz w:val="13"/>
          <w:szCs w:val="16"/>
          <w:lang w:val="nl-NL"/>
        </w:rPr>
        <w:t>gebruikt</w:t>
      </w:r>
      <w:r w:rsidRPr="001A006E">
        <w:rPr>
          <w:sz w:val="13"/>
          <w:szCs w:val="16"/>
          <w:lang w:val="nl-NL"/>
        </w:rPr>
        <w:t xml:space="preserve"> de term ‘virtual assets’ in plaats van ‘</w:t>
      </w:r>
      <w:r w:rsidRPr="001A006E">
        <w:rPr>
          <w:i/>
          <w:sz w:val="13"/>
          <w:szCs w:val="16"/>
          <w:lang w:val="nl-NL"/>
        </w:rPr>
        <w:t xml:space="preserve">virtual </w:t>
      </w:r>
      <w:proofErr w:type="spellStart"/>
      <w:r w:rsidRPr="001A006E">
        <w:rPr>
          <w:i/>
          <w:sz w:val="13"/>
          <w:szCs w:val="16"/>
          <w:lang w:val="nl-NL"/>
        </w:rPr>
        <w:t>currencies</w:t>
      </w:r>
      <w:proofErr w:type="spellEnd"/>
      <w:r w:rsidRPr="001A006E">
        <w:rPr>
          <w:sz w:val="13"/>
          <w:szCs w:val="16"/>
          <w:lang w:val="nl-NL"/>
        </w:rPr>
        <w:t>’ of ‘</w:t>
      </w:r>
      <w:r w:rsidRPr="001A006E">
        <w:rPr>
          <w:i/>
          <w:sz w:val="13"/>
          <w:szCs w:val="16"/>
          <w:lang w:val="nl-NL"/>
        </w:rPr>
        <w:t xml:space="preserve">crypto </w:t>
      </w:r>
      <w:proofErr w:type="spellStart"/>
      <w:r w:rsidRPr="001A006E">
        <w:rPr>
          <w:i/>
          <w:sz w:val="13"/>
          <w:szCs w:val="16"/>
          <w:lang w:val="nl-NL"/>
        </w:rPr>
        <w:t>currencies</w:t>
      </w:r>
      <w:proofErr w:type="spellEnd"/>
      <w:r w:rsidRPr="001A006E">
        <w:rPr>
          <w:i/>
          <w:sz w:val="13"/>
          <w:szCs w:val="16"/>
          <w:lang w:val="nl-NL"/>
        </w:rPr>
        <w:t>’</w:t>
      </w:r>
      <w:r w:rsidRPr="001A006E">
        <w:rPr>
          <w:sz w:val="13"/>
          <w:szCs w:val="16"/>
          <w:lang w:val="nl-NL"/>
        </w:rPr>
        <w:t xml:space="preserve">. Dit om te voorkomen dat de indruk ontstaat dat sprake is van een wettig betaalmiddel. </w:t>
      </w:r>
    </w:p>
  </w:footnote>
  <w:footnote w:id="2">
    <w:p w14:paraId="0B148EF5" w14:textId="1030A9B2" w:rsidR="000D657A" w:rsidRPr="001A006E" w:rsidRDefault="000D657A">
      <w:pPr>
        <w:pStyle w:val="Voetnoottekst"/>
        <w:rPr>
          <w:sz w:val="13"/>
          <w:lang w:val="nl-NL"/>
        </w:rPr>
      </w:pPr>
      <w:r w:rsidRPr="001A006E">
        <w:rPr>
          <w:rStyle w:val="Voetnootmarkering"/>
          <w:sz w:val="13"/>
        </w:rPr>
        <w:footnoteRef/>
      </w:r>
      <w:r w:rsidRPr="001A006E">
        <w:rPr>
          <w:sz w:val="13"/>
          <w:lang w:val="nl-NL"/>
        </w:rPr>
        <w:t xml:space="preserve"> Zie http://www.fatf-gafi.org/publications/fatfrecommendations/documents/regulation-virtual-assets-interpretive-note.html </w:t>
      </w:r>
    </w:p>
  </w:footnote>
  <w:footnote w:id="3">
    <w:p w14:paraId="44E6A13E" w14:textId="5435FD86" w:rsidR="00C37F95" w:rsidRPr="001A006E" w:rsidRDefault="00C37F95">
      <w:pPr>
        <w:pStyle w:val="Voetnoottekst"/>
        <w:rPr>
          <w:sz w:val="13"/>
          <w:lang w:val="nl-NL"/>
        </w:rPr>
      </w:pPr>
      <w:r w:rsidRPr="001A006E">
        <w:rPr>
          <w:rStyle w:val="Voetnootmarkering"/>
          <w:sz w:val="13"/>
        </w:rPr>
        <w:footnoteRef/>
      </w:r>
      <w:r w:rsidRPr="001A006E">
        <w:rPr>
          <w:sz w:val="13"/>
          <w:lang w:val="nl-NL"/>
        </w:rPr>
        <w:t xml:space="preserve"> </w:t>
      </w:r>
      <w:r w:rsidRPr="001A006E">
        <w:rPr>
          <w:sz w:val="13"/>
          <w:szCs w:val="16"/>
          <w:lang w:val="nl-NL"/>
        </w:rPr>
        <w:t xml:space="preserve">AML/CFT = Anti-Money </w:t>
      </w:r>
      <w:proofErr w:type="spellStart"/>
      <w:r w:rsidRPr="001A006E">
        <w:rPr>
          <w:sz w:val="13"/>
          <w:szCs w:val="16"/>
          <w:lang w:val="nl-NL"/>
        </w:rPr>
        <w:t>Laundering</w:t>
      </w:r>
      <w:proofErr w:type="spellEnd"/>
      <w:r w:rsidRPr="001A006E">
        <w:rPr>
          <w:sz w:val="13"/>
          <w:szCs w:val="16"/>
          <w:lang w:val="nl-NL"/>
        </w:rPr>
        <w:t xml:space="preserve"> /</w:t>
      </w:r>
      <w:proofErr w:type="spellStart"/>
      <w:proofErr w:type="gramStart"/>
      <w:r w:rsidRPr="001A006E">
        <w:rPr>
          <w:sz w:val="13"/>
          <w:szCs w:val="16"/>
          <w:lang w:val="nl-NL"/>
        </w:rPr>
        <w:t>Combati</w:t>
      </w:r>
      <w:r w:rsidR="0018452D" w:rsidRPr="001A006E">
        <w:rPr>
          <w:sz w:val="13"/>
          <w:szCs w:val="16"/>
          <w:lang w:val="nl-NL"/>
        </w:rPr>
        <w:t>ng</w:t>
      </w:r>
      <w:proofErr w:type="spellEnd"/>
      <w:r w:rsidR="0018452D" w:rsidRPr="001A006E">
        <w:rPr>
          <w:sz w:val="13"/>
          <w:szCs w:val="16"/>
          <w:lang w:val="nl-NL"/>
        </w:rPr>
        <w:t xml:space="preserve">  </w:t>
      </w:r>
      <w:proofErr w:type="spellStart"/>
      <w:r w:rsidR="0018452D" w:rsidRPr="001A006E">
        <w:rPr>
          <w:sz w:val="13"/>
          <w:szCs w:val="16"/>
          <w:lang w:val="nl-NL"/>
        </w:rPr>
        <w:t>Financing</w:t>
      </w:r>
      <w:proofErr w:type="spellEnd"/>
      <w:proofErr w:type="gramEnd"/>
      <w:r w:rsidR="0018452D" w:rsidRPr="001A006E">
        <w:rPr>
          <w:sz w:val="13"/>
          <w:szCs w:val="16"/>
          <w:lang w:val="nl-NL"/>
        </w:rPr>
        <w:t xml:space="preserve"> of </w:t>
      </w:r>
      <w:proofErr w:type="spellStart"/>
      <w:r w:rsidR="0018452D" w:rsidRPr="001A006E">
        <w:rPr>
          <w:sz w:val="13"/>
          <w:szCs w:val="16"/>
          <w:lang w:val="nl-NL"/>
        </w:rPr>
        <w:t>Terrorism</w:t>
      </w:r>
      <w:proofErr w:type="spellEnd"/>
      <w:r w:rsidR="0018452D" w:rsidRPr="001A006E">
        <w:rPr>
          <w:sz w:val="13"/>
          <w:szCs w:val="16"/>
          <w:lang w:val="nl-NL"/>
        </w:rPr>
        <w:t>, of</w:t>
      </w:r>
      <w:r w:rsidRPr="001A006E">
        <w:rPr>
          <w:sz w:val="13"/>
          <w:szCs w:val="16"/>
          <w:lang w:val="nl-NL"/>
        </w:rPr>
        <w:t>wel anti-witwassen en tegengaan van terrorismefinanciering.</w:t>
      </w:r>
    </w:p>
  </w:footnote>
  <w:footnote w:id="4">
    <w:p w14:paraId="2AF76A97" w14:textId="77777777" w:rsidR="00C345DE" w:rsidRPr="001A006E" w:rsidRDefault="00C345DE" w:rsidP="00C345DE">
      <w:pPr>
        <w:pStyle w:val="Voetnoottekst"/>
        <w:rPr>
          <w:sz w:val="13"/>
          <w:lang w:val="nl-NL"/>
        </w:rPr>
      </w:pPr>
      <w:r w:rsidRPr="001A006E">
        <w:rPr>
          <w:rStyle w:val="Voetnootmarkering"/>
          <w:sz w:val="13"/>
        </w:rPr>
        <w:footnoteRef/>
      </w:r>
      <w:r w:rsidRPr="001A006E">
        <w:rPr>
          <w:sz w:val="13"/>
          <w:lang w:val="nl-NL"/>
        </w:rPr>
        <w:t xml:space="preserve"> </w:t>
      </w:r>
      <w:r w:rsidRPr="001A006E">
        <w:rPr>
          <w:sz w:val="13"/>
          <w:szCs w:val="16"/>
          <w:lang w:val="nl-NL"/>
        </w:rPr>
        <w:t xml:space="preserve">De toepassing van de FATF-aanbevelingen op </w:t>
      </w:r>
      <w:r w:rsidRPr="001A006E">
        <w:rPr>
          <w:i/>
          <w:sz w:val="13"/>
          <w:szCs w:val="16"/>
          <w:lang w:val="nl-NL"/>
        </w:rPr>
        <w:t>virtual assets</w:t>
      </w:r>
      <w:r w:rsidRPr="001A006E">
        <w:rPr>
          <w:sz w:val="13"/>
          <w:szCs w:val="16"/>
          <w:lang w:val="nl-NL"/>
        </w:rPr>
        <w:t xml:space="preserve"> impliceert geen regulering voor </w:t>
      </w:r>
      <w:proofErr w:type="spellStart"/>
      <w:r w:rsidRPr="001A006E">
        <w:rPr>
          <w:sz w:val="13"/>
          <w:szCs w:val="16"/>
          <w:lang w:val="nl-NL"/>
        </w:rPr>
        <w:t>prudentiële</w:t>
      </w:r>
      <w:proofErr w:type="spellEnd"/>
      <w:r w:rsidRPr="001A006E">
        <w:rPr>
          <w:sz w:val="13"/>
          <w:szCs w:val="16"/>
          <w:lang w:val="nl-NL"/>
        </w:rPr>
        <w:t xml:space="preserve"> doeleinden of met het oog op bescherming van consumenten of investeerders.</w:t>
      </w:r>
      <w:r w:rsidRPr="001A006E">
        <w:rPr>
          <w:sz w:val="13"/>
          <w:lang w:val="nl-NL"/>
        </w:rPr>
        <w:t xml:space="preserve"> </w:t>
      </w:r>
    </w:p>
  </w:footnote>
  <w:footnote w:id="5">
    <w:p w14:paraId="17C0F2FF" w14:textId="51649D75" w:rsidR="005C6B23" w:rsidRPr="001A006E" w:rsidRDefault="005C6B23" w:rsidP="005C6B23">
      <w:pPr>
        <w:pStyle w:val="Voetnoottekst"/>
        <w:rPr>
          <w:sz w:val="13"/>
          <w:lang w:val="nl-NL"/>
        </w:rPr>
      </w:pPr>
      <w:r w:rsidRPr="001A006E">
        <w:rPr>
          <w:rStyle w:val="Voetnootmarkering"/>
          <w:sz w:val="13"/>
        </w:rPr>
        <w:footnoteRef/>
      </w:r>
      <w:r w:rsidRPr="001A006E">
        <w:rPr>
          <w:sz w:val="13"/>
          <w:szCs w:val="16"/>
          <w:lang w:val="nl-NL"/>
        </w:rPr>
        <w:t xml:space="preserve"> </w:t>
      </w:r>
      <w:r w:rsidR="00C37F95" w:rsidRPr="001A006E">
        <w:rPr>
          <w:sz w:val="13"/>
          <w:szCs w:val="16"/>
          <w:lang w:val="nl-NL"/>
        </w:rPr>
        <w:t xml:space="preserve">Zie </w:t>
      </w:r>
      <w:hyperlink r:id="rId1" w:history="1">
        <w:r w:rsidR="00C37F95" w:rsidRPr="001A006E">
          <w:rPr>
            <w:rStyle w:val="Hyperlink"/>
            <w:sz w:val="13"/>
            <w:szCs w:val="16"/>
            <w:lang w:val="nl-NL"/>
          </w:rPr>
          <w:t>http://www.fatf-gafi.org/publications/mutualevaluations/?hf=10&amp;b=0&amp;s=desc(fatf_releasedate)</w:t>
        </w:r>
      </w:hyperlink>
      <w:r w:rsidR="007F791E" w:rsidRPr="001A006E">
        <w:rPr>
          <w:rStyle w:val="Hyperlink"/>
          <w:sz w:val="13"/>
          <w:szCs w:val="16"/>
          <w:u w:val="none"/>
          <w:lang w:val="nl-NL"/>
        </w:rPr>
        <w:t>.</w:t>
      </w:r>
      <w:r w:rsidRPr="001A006E">
        <w:rPr>
          <w:sz w:val="13"/>
          <w:szCs w:val="16"/>
          <w:lang w:val="nl-NL"/>
        </w:rPr>
        <w:t xml:space="preserve"> Van de 37 FATF leden zijn tot nu geëvalueerd Australië, België, Canada, </w:t>
      </w:r>
      <w:r w:rsidR="00F94A28" w:rsidRPr="001A006E">
        <w:rPr>
          <w:sz w:val="13"/>
          <w:szCs w:val="16"/>
          <w:lang w:val="nl-NL"/>
        </w:rPr>
        <w:t xml:space="preserve">China, </w:t>
      </w:r>
      <w:r w:rsidRPr="001A006E">
        <w:rPr>
          <w:sz w:val="13"/>
          <w:szCs w:val="16"/>
          <w:lang w:val="nl-NL"/>
        </w:rPr>
        <w:t>Denemarken,</w:t>
      </w:r>
      <w:r w:rsidR="00F94A28" w:rsidRPr="001A006E">
        <w:rPr>
          <w:sz w:val="13"/>
          <w:szCs w:val="16"/>
          <w:lang w:val="nl-NL"/>
        </w:rPr>
        <w:t xml:space="preserve"> Finland,</w:t>
      </w:r>
      <w:r w:rsidRPr="001A006E">
        <w:rPr>
          <w:sz w:val="13"/>
          <w:szCs w:val="16"/>
          <w:lang w:val="nl-NL"/>
        </w:rPr>
        <w:t xml:space="preserve"> Ierland, Italië, IJsland, Maleisië, Mexico, Noorwegen, Oostenrijk, Portugal, Singapore, Spanje, het Verenigd Koninkrijk, de Verenigde Staten, Zweden en Zwitserland. In het gehele </w:t>
      </w:r>
      <w:proofErr w:type="gramStart"/>
      <w:r w:rsidRPr="001A006E">
        <w:rPr>
          <w:sz w:val="13"/>
          <w:szCs w:val="16"/>
          <w:lang w:val="nl-NL"/>
        </w:rPr>
        <w:t>FATF netwerk</w:t>
      </w:r>
      <w:proofErr w:type="gramEnd"/>
      <w:r w:rsidRPr="001A006E">
        <w:rPr>
          <w:sz w:val="13"/>
          <w:szCs w:val="16"/>
          <w:lang w:val="nl-NL"/>
        </w:rPr>
        <w:t xml:space="preserve"> zijn inmiddels zo’n 60 landen geëvalueerd. De evaluatie van Nederland staat voorlopig gepland voor de periode 2020-2021.</w:t>
      </w:r>
    </w:p>
  </w:footnote>
  <w:footnote w:id="6">
    <w:p w14:paraId="1B97A9AF" w14:textId="0412F7EC" w:rsidR="00477C7B" w:rsidRPr="001A006E" w:rsidRDefault="005C6B23" w:rsidP="005C6B23">
      <w:pPr>
        <w:pStyle w:val="Voetnoottekst"/>
        <w:rPr>
          <w:sz w:val="13"/>
          <w:szCs w:val="16"/>
          <w:lang w:val="nl-NL"/>
        </w:rPr>
      </w:pPr>
      <w:r w:rsidRPr="001A006E">
        <w:rPr>
          <w:rStyle w:val="Voetnootmarkering"/>
          <w:sz w:val="13"/>
        </w:rPr>
        <w:footnoteRef/>
      </w:r>
      <w:r w:rsidR="0018452D" w:rsidRPr="001A006E">
        <w:rPr>
          <w:sz w:val="13"/>
          <w:szCs w:val="16"/>
          <w:lang w:val="nl-NL"/>
        </w:rPr>
        <w:t xml:space="preserve"> </w:t>
      </w:r>
      <w:hyperlink r:id="rId2" w:history="1">
        <w:r w:rsidR="00477C7B" w:rsidRPr="001A006E">
          <w:rPr>
            <w:rStyle w:val="Hyperlink"/>
            <w:sz w:val="13"/>
            <w:szCs w:val="16"/>
            <w:lang w:val="nl-NL"/>
          </w:rPr>
          <w:t>http://www.fatf-gafi.org/publications/high-riskandnon-cooperativejurisdictions/documents/public-statement-february-2019.html</w:t>
        </w:r>
      </w:hyperlink>
      <w:r w:rsidR="00477C7B" w:rsidRPr="001A006E">
        <w:rPr>
          <w:sz w:val="13"/>
          <w:szCs w:val="16"/>
          <w:lang w:val="nl-NL"/>
        </w:rPr>
        <w:t xml:space="preserve"> </w:t>
      </w:r>
    </w:p>
  </w:footnote>
  <w:footnote w:id="7">
    <w:p w14:paraId="34C173B2" w14:textId="1CE75DC9" w:rsidR="005C6B23" w:rsidRPr="001A006E" w:rsidRDefault="005C6B23" w:rsidP="005C6B23">
      <w:pPr>
        <w:pStyle w:val="Voetnoottekst"/>
        <w:rPr>
          <w:sz w:val="13"/>
          <w:szCs w:val="16"/>
          <w:lang w:val="nl-NL"/>
        </w:rPr>
      </w:pPr>
      <w:r w:rsidRPr="001A006E">
        <w:rPr>
          <w:rStyle w:val="Voetnootmarkering"/>
          <w:sz w:val="13"/>
          <w:szCs w:val="16"/>
        </w:rPr>
        <w:footnoteRef/>
      </w:r>
      <w:r w:rsidR="00F94A28" w:rsidRPr="001A006E">
        <w:rPr>
          <w:sz w:val="13"/>
          <w:szCs w:val="16"/>
          <w:lang w:val="nl-NL"/>
        </w:rPr>
        <w:t xml:space="preserve"> Zie voetnoot 6</w:t>
      </w:r>
      <w:r w:rsidRPr="001A006E">
        <w:rPr>
          <w:sz w:val="13"/>
          <w:szCs w:val="16"/>
          <w:lang w:val="nl-NL"/>
        </w:rPr>
        <w:t>.</w:t>
      </w:r>
    </w:p>
  </w:footnote>
  <w:footnote w:id="8">
    <w:p w14:paraId="4DDFAC54" w14:textId="0224E6A3" w:rsidR="00F94A28" w:rsidRPr="001A006E" w:rsidRDefault="005C6B23" w:rsidP="005C6B23">
      <w:pPr>
        <w:pStyle w:val="Voetnoottekst"/>
        <w:rPr>
          <w:sz w:val="13"/>
          <w:szCs w:val="16"/>
          <w:lang w:val="nl-NL"/>
        </w:rPr>
      </w:pPr>
      <w:r w:rsidRPr="001A006E">
        <w:rPr>
          <w:rStyle w:val="Voetnootmarkering"/>
          <w:sz w:val="13"/>
        </w:rPr>
        <w:footnoteRef/>
      </w:r>
      <w:r w:rsidRPr="001A006E">
        <w:rPr>
          <w:sz w:val="13"/>
          <w:lang w:val="nl-NL"/>
        </w:rPr>
        <w:t xml:space="preserve"> </w:t>
      </w:r>
      <w:hyperlink r:id="rId3" w:history="1">
        <w:r w:rsidR="00F94A28" w:rsidRPr="001A006E">
          <w:rPr>
            <w:rStyle w:val="Hyperlink"/>
            <w:sz w:val="13"/>
            <w:szCs w:val="16"/>
            <w:lang w:val="nl-NL"/>
          </w:rPr>
          <w:t>http://www.fatf-gafi.org/publications/high-riskandnon-cooperativejurisdictions/documents/fatf-compliance-february-2019.html</w:t>
        </w:r>
      </w:hyperlink>
      <w:r w:rsidR="00F94A28" w:rsidRPr="001A006E">
        <w:rPr>
          <w:sz w:val="13"/>
          <w:szCs w:val="16"/>
          <w:lang w:val="nl-NL"/>
        </w:rPr>
        <w:t xml:space="preserve"> </w:t>
      </w:r>
    </w:p>
  </w:footnote>
  <w:footnote w:id="9">
    <w:p w14:paraId="60F941BB" w14:textId="05E87C5B" w:rsidR="005C6B23" w:rsidRPr="001A006E" w:rsidRDefault="005C6B23" w:rsidP="005C6B23">
      <w:pPr>
        <w:pStyle w:val="Voetnoottekst"/>
        <w:rPr>
          <w:sz w:val="13"/>
          <w:szCs w:val="16"/>
          <w:lang w:val="nl-NL"/>
        </w:rPr>
      </w:pPr>
      <w:r w:rsidRPr="001A006E">
        <w:rPr>
          <w:rStyle w:val="Voetnootmarkering"/>
          <w:sz w:val="13"/>
          <w:szCs w:val="16"/>
        </w:rPr>
        <w:footnoteRef/>
      </w:r>
      <w:r w:rsidRPr="001A006E">
        <w:rPr>
          <w:sz w:val="13"/>
          <w:szCs w:val="16"/>
          <w:lang w:val="nl-NL"/>
        </w:rPr>
        <w:t xml:space="preserve"> De Bahama’s, Botswana, </w:t>
      </w:r>
      <w:r w:rsidR="00084929" w:rsidRPr="001A006E">
        <w:rPr>
          <w:sz w:val="13"/>
          <w:szCs w:val="16"/>
          <w:lang w:val="nl-NL"/>
        </w:rPr>
        <w:t xml:space="preserve">Cambodja, </w:t>
      </w:r>
      <w:r w:rsidRPr="001A006E">
        <w:rPr>
          <w:sz w:val="13"/>
          <w:szCs w:val="16"/>
          <w:lang w:val="nl-NL"/>
        </w:rPr>
        <w:t xml:space="preserve">Ethiopië, Ghana, Pakistan, Sri Lanka, Syrië, Trinidad en Tobago, Tunesië, Jemen en Servië. </w:t>
      </w:r>
    </w:p>
  </w:footnote>
  <w:footnote w:id="10">
    <w:p w14:paraId="63847DE0" w14:textId="60F8E452" w:rsidR="00C01728" w:rsidRPr="001A006E" w:rsidRDefault="00C01728">
      <w:pPr>
        <w:pStyle w:val="Voetnoottekst"/>
        <w:rPr>
          <w:sz w:val="13"/>
          <w:szCs w:val="16"/>
          <w:lang w:val="nl-NL"/>
        </w:rPr>
      </w:pPr>
      <w:r w:rsidRPr="001A006E">
        <w:rPr>
          <w:rStyle w:val="Voetnootmarkering"/>
          <w:sz w:val="13"/>
          <w:szCs w:val="16"/>
        </w:rPr>
        <w:footnoteRef/>
      </w:r>
      <w:r w:rsidRPr="001A006E">
        <w:rPr>
          <w:sz w:val="13"/>
          <w:szCs w:val="16"/>
          <w:lang w:val="nl-NL"/>
        </w:rPr>
        <w:t xml:space="preserve"> </w:t>
      </w:r>
      <w:hyperlink r:id="rId4" w:history="1">
        <w:r w:rsidRPr="001A006E">
          <w:rPr>
            <w:rStyle w:val="Hyperlink"/>
            <w:sz w:val="13"/>
            <w:szCs w:val="16"/>
            <w:lang w:val="nl-NL"/>
          </w:rPr>
          <w:t>http://www.fatf-gafi.org/publications/methodsandtrends/documents/fatf-action-against-terrorist-financing-feb-2019.html</w:t>
        </w:r>
      </w:hyperlink>
      <w:r w:rsidRPr="001A006E">
        <w:rPr>
          <w:sz w:val="13"/>
          <w:szCs w:val="16"/>
          <w:lang w:val="nl-NL"/>
        </w:rPr>
        <w:t xml:space="preserve"> </w:t>
      </w:r>
    </w:p>
  </w:footnote>
  <w:footnote w:id="11">
    <w:p w14:paraId="6A7A98A1" w14:textId="1A48D3AF" w:rsidR="005C6B23" w:rsidRPr="001A006E" w:rsidRDefault="005C6B23" w:rsidP="005C6B23">
      <w:pPr>
        <w:pStyle w:val="Voetnoottekst"/>
        <w:rPr>
          <w:sz w:val="13"/>
          <w:szCs w:val="16"/>
          <w:lang w:val="nl-NL"/>
        </w:rPr>
      </w:pPr>
      <w:r w:rsidRPr="001A006E">
        <w:rPr>
          <w:rStyle w:val="Voetnootmarkering"/>
          <w:sz w:val="13"/>
          <w:szCs w:val="16"/>
        </w:rPr>
        <w:footnoteRef/>
      </w:r>
      <w:r w:rsidRPr="001A006E">
        <w:rPr>
          <w:sz w:val="13"/>
          <w:szCs w:val="16"/>
          <w:lang w:val="nl-NL"/>
        </w:rPr>
        <w:t xml:space="preserve"> </w:t>
      </w:r>
      <w:hyperlink r:id="rId5" w:history="1">
        <w:r w:rsidR="00557150" w:rsidRPr="001A006E">
          <w:rPr>
            <w:rStyle w:val="Hyperlink"/>
            <w:sz w:val="13"/>
            <w:szCs w:val="16"/>
            <w:lang w:val="nl-NL"/>
          </w:rPr>
          <w:t>http://www.fatf-gafi.org/publications/fatfgeneral/documents/public-consultation-guidance-tcsp.html</w:t>
        </w:r>
      </w:hyperlink>
      <w:r w:rsidR="00557150" w:rsidRPr="001A006E">
        <w:rPr>
          <w:sz w:val="13"/>
          <w:szCs w:val="16"/>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F7F0" w14:textId="77777777" w:rsidR="00331701" w:rsidRDefault="003317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77527" w14:textId="77777777" w:rsidR="00F40524" w:rsidRDefault="005C6B23">
    <w:r>
      <w:rPr>
        <w:noProof/>
      </w:rPr>
      <mc:AlternateContent>
        <mc:Choice Requires="wps">
          <w:drawing>
            <wp:anchor distT="0" distB="0" distL="0" distR="0" simplePos="0" relativeHeight="251653120" behindDoc="0" locked="1" layoutInCell="1" allowOverlap="1" wp14:anchorId="1E573F37" wp14:editId="1420E5EB">
              <wp:simplePos x="0" y="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987E95" w14:textId="77777777" w:rsidR="009A4660" w:rsidRDefault="009A4660"/>
                      </w:txbxContent>
                    </wps:txbx>
                    <wps:bodyPr vert="horz" wrap="square" lIns="0" tIns="0" rIns="0" bIns="0" anchor="t" anchorCtr="0"/>
                  </wps:wsp>
                </a:graphicData>
              </a:graphic>
            </wp:anchor>
          </w:drawing>
        </mc:Choice>
        <mc:Fallback>
          <w:pict>
            <v:shapetype w14:anchorId="1E573F37"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" filled="f" stroked="f">
              <v:textbox inset="0,0,0,0">
                <w:txbxContent>
                  <w:p w14:paraId="7D987E95" w14:textId="77777777" w:rsidR="009A4660" w:rsidRDefault="009A4660"/>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D21200B" wp14:editId="0AD71E44">
              <wp:simplePos x="0" y="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9E5B817" w14:textId="4A3A6580" w:rsidR="00F40524" w:rsidRDefault="005C6B23">
                          <w:pPr>
                            <w:pStyle w:val="StandaardReferentiegegevens"/>
                          </w:pPr>
                          <w:r>
                            <w:t xml:space="preserve">Pagina </w:t>
                          </w:r>
                          <w:r>
                            <w:fldChar w:fldCharType="begin"/>
                          </w:r>
                          <w:r>
                            <w:instrText>PAGE</w:instrText>
                          </w:r>
                          <w:r>
                            <w:fldChar w:fldCharType="separate"/>
                          </w:r>
                          <w:r w:rsidR="00956F3A">
                            <w:rPr>
                              <w:noProof/>
                            </w:rPr>
                            <w:t>2</w:t>
                          </w:r>
                          <w:r>
                            <w:fldChar w:fldCharType="end"/>
                          </w:r>
                          <w:r>
                            <w:t xml:space="preserve"> van </w:t>
                          </w:r>
                          <w:r>
                            <w:fldChar w:fldCharType="begin"/>
                          </w:r>
                          <w:r>
                            <w:instrText>NUMPAGES</w:instrText>
                          </w:r>
                          <w:r>
                            <w:fldChar w:fldCharType="separate"/>
                          </w:r>
                          <w:r w:rsidR="00956F3A">
                            <w:rPr>
                              <w:noProof/>
                            </w:rPr>
                            <w:t>3</w:t>
                          </w:r>
                          <w:r>
                            <w:fldChar w:fldCharType="end"/>
                          </w:r>
                        </w:p>
                      </w:txbxContent>
                    </wps:txbx>
                    <wps:bodyPr vert="horz" wrap="square" lIns="0" tIns="0" rIns="0" bIns="0" anchor="t" anchorCtr="0"/>
                  </wps:wsp>
                </a:graphicData>
              </a:graphic>
            </wp:anchor>
          </w:drawing>
        </mc:Choice>
        <mc:Fallback>
          <w:pict>
            <v:shapetype w14:anchorId="4D21200B" id="_x0000_t202" coordsize="21600,21600" o:spt="202" path="m,l,21600r21600,l21600,xe">
              <v:stroke joinstyle="miter"/>
              <v:path gradientshapeok="t" o:connecttype="rect"/>
            </v:shapetype>
            <v:shape id="Paginanummer vervolgpagina" o:spid="_x0000_s1027" type="#_x0000_t202" style="position:absolute;margin-left:466.25pt;margin-top:805pt;width:99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" filled="f" stroked="f">
              <v:textbox inset="0,0,0,0">
                <w:txbxContent>
                  <w:p w14:paraId="69E5B817" w14:textId="4A3A6580" w:rsidR="00F40524" w:rsidRDefault="005C6B23">
                    <w:pPr>
                      <w:pStyle w:val="StandaardReferentiegegevens"/>
                    </w:pPr>
                    <w:r>
                      <w:t xml:space="preserve">Pagina </w:t>
                    </w:r>
                    <w:r>
                      <w:fldChar w:fldCharType="begin"/>
                    </w:r>
                    <w:r>
                      <w:instrText>PAGE</w:instrText>
                    </w:r>
                    <w:r>
                      <w:fldChar w:fldCharType="separate"/>
                    </w:r>
                    <w:r w:rsidR="00956F3A">
                      <w:rPr>
                        <w:noProof/>
                      </w:rPr>
                      <w:t>2</w:t>
                    </w:r>
                    <w:r>
                      <w:fldChar w:fldCharType="end"/>
                    </w:r>
                    <w:r>
                      <w:t xml:space="preserve"> van </w:t>
                    </w:r>
                    <w:r>
                      <w:fldChar w:fldCharType="begin"/>
                    </w:r>
                    <w:r>
                      <w:instrText>NUMPAGES</w:instrText>
                    </w:r>
                    <w:r>
                      <w:fldChar w:fldCharType="separate"/>
                    </w:r>
                    <w:r w:rsidR="00956F3A">
                      <w:rPr>
                        <w:noProof/>
                      </w:rPr>
                      <w:t>3</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0683F" w14:textId="77777777" w:rsidR="00F40524" w:rsidRDefault="005C6B23">
    <w:pPr>
      <w:spacing w:after="5952" w:line="14" w:lineRule="exact"/>
    </w:pPr>
    <w:r>
      <w:rPr>
        <w:noProof/>
      </w:rPr>
      <mc:AlternateContent>
        <mc:Choice Requires="wps">
          <w:drawing>
            <wp:anchor distT="0" distB="0" distL="0" distR="0" simplePos="0" relativeHeight="251655168" behindDoc="0" locked="1" layoutInCell="1" allowOverlap="1" wp14:anchorId="79B0C920" wp14:editId="0E20DA32">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1F33E88" w14:textId="77777777" w:rsidR="00F40524" w:rsidRDefault="005C6B23">
                          <w:pPr>
                            <w:spacing w:line="240" w:lineRule="auto"/>
                          </w:pPr>
                          <w:r>
                            <w:rPr>
                              <w:noProof/>
                            </w:rPr>
                            <w:drawing>
                              <wp:inline distT="0" distB="0" distL="0" distR="0" wp14:anchorId="2290BC5D" wp14:editId="2596F482">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9B0C920" id="_x0000_t202" coordsize="21600,21600" o:spt="202" path="m,l,21600r21600,l21600,xe">
              <v:stroke joinstyle="miter"/>
              <v:path gradientshapeok="t" o:connecttype="rect"/>
            </v:shapetype>
            <v:shape id="Woordmerk" o:spid="_x0000_s1028"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" filled="f" stroked="f">
              <v:textbox inset="0,0,0,0">
                <w:txbxContent>
                  <w:p w14:paraId="61F33E88" w14:textId="77777777" w:rsidR="00F40524" w:rsidRDefault="005C6B23">
                    <w:pPr>
                      <w:spacing w:line="240" w:lineRule="auto"/>
                    </w:pPr>
                    <w:r>
                      <w:rPr>
                        <w:noProof/>
                      </w:rPr>
                      <w:drawing>
                        <wp:inline distT="0" distB="0" distL="0" distR="0" wp14:anchorId="2290BC5D" wp14:editId="2596F482">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1D5F7686" wp14:editId="7252BBA8">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707D8E4" w14:textId="77777777" w:rsidR="00F40524" w:rsidRDefault="005C6B23">
                          <w:pPr>
                            <w:spacing w:line="240" w:lineRule="auto"/>
                          </w:pPr>
                          <w:r>
                            <w:rPr>
                              <w:noProof/>
                            </w:rPr>
                            <w:drawing>
                              <wp:inline distT="0" distB="0" distL="0" distR="0" wp14:anchorId="2B2EE5F6" wp14:editId="4138D3D3">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3"/>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5F7686" id="Logo_MinFin" o:spid="_x0000_s1029"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" filled="f" stroked="f">
              <v:textbox inset="0,0,0,0">
                <w:txbxContent>
                  <w:p w14:paraId="2707D8E4" w14:textId="77777777" w:rsidR="00F40524" w:rsidRDefault="005C6B23">
                    <w:pPr>
                      <w:spacing w:line="240" w:lineRule="auto"/>
                    </w:pPr>
                    <w:r>
                      <w:rPr>
                        <w:noProof/>
                      </w:rPr>
                      <w:drawing>
                        <wp:inline distT="0" distB="0" distL="0" distR="0" wp14:anchorId="2B2EE5F6" wp14:editId="4138D3D3">
                          <wp:extent cx="467995" cy="1583865"/>
                          <wp:effectExtent l="0" t="0" r="0" b="0"/>
                          <wp:docPr id="4" name="Rijkslint"/>
                          <wp:cNvGraphicFramePr/>
                          <a:graphic xmlns:a="http://schemas.openxmlformats.org/drawingml/2006/main">
                            <a:graphicData uri="http://schemas.openxmlformats.org/drawingml/2006/picture">
                              <pic:pic xmlns:pic="http://schemas.openxmlformats.org/drawingml/2006/picture">
                                <pic:nvPicPr>
                                  <pic:cNvPr id="4" name="Rijkslint"/>
                                  <pic:cNvPicPr/>
                                </pic:nvPicPr>
                                <pic:blipFill>
                                  <a:blip r:embed="rId4"/>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AF61916" wp14:editId="7E2D40F9">
              <wp:simplePos x="0" y="0"/>
              <wp:positionH relativeFrom="page">
                <wp:posOffset>5921375</wp:posOffset>
              </wp:positionH>
              <wp:positionV relativeFrom="page">
                <wp:posOffset>1961514</wp:posOffset>
              </wp:positionV>
              <wp:extent cx="1257300" cy="7600950"/>
              <wp:effectExtent l="0" t="0" r="0" b="0"/>
              <wp:wrapNone/>
              <wp:docPr id="5" name="Colofon"/>
              <wp:cNvGraphicFramePr/>
              <a:graphic xmlns:a="http://schemas.openxmlformats.org/drawingml/2006/main">
                <a:graphicData uri="http://schemas.microsoft.com/office/word/2010/wordprocessingShape">
                  <wps:wsp>
                    <wps:cNvSpPr txBox="1"/>
                    <wps:spPr>
                      <a:xfrm>
                        <a:off x="0" y="0"/>
                        <a:ext cx="1257300" cy="7600950"/>
                      </a:xfrm>
                      <a:prstGeom prst="rect">
                        <a:avLst/>
                      </a:prstGeom>
                      <a:noFill/>
                    </wps:spPr>
                    <wps:txbx>
                      <w:txbxContent>
                        <w:p w14:paraId="0CB2E676" w14:textId="77777777" w:rsidR="00F40524" w:rsidRDefault="005C6B23">
                          <w:pPr>
                            <w:pStyle w:val="StandaardReferentiegegevensKop"/>
                          </w:pPr>
                          <w:r>
                            <w:t>Directie Financiële Markten</w:t>
                          </w:r>
                        </w:p>
                        <w:p w14:paraId="463FF789" w14:textId="77777777" w:rsidR="00F40524" w:rsidRDefault="00F40524">
                          <w:pPr>
                            <w:pStyle w:val="WitregelW1"/>
                          </w:pPr>
                        </w:p>
                      </w:txbxContent>
                    </wps:txbx>
                    <wps:bodyPr vert="horz" wrap="square" lIns="0" tIns="0" rIns="0" bIns="0" anchor="t" anchorCtr="0"/>
                  </wps:wsp>
                </a:graphicData>
              </a:graphic>
            </wp:anchor>
          </w:drawing>
        </mc:Choice>
        <mc:Fallback>
          <w:pict>
            <v:shape w14:anchorId="6AF61916" id="Colofon" o:spid="_x0000_s1030" type="#_x0000_t202" style="position:absolute;margin-left:466.25pt;margin-top:154.45pt;width:99pt;height:59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" filled="f" stroked="f">
              <v:textbox inset="0,0,0,0">
                <w:txbxContent>
                  <w:p w14:paraId="0CB2E676" w14:textId="77777777" w:rsidR="00F40524" w:rsidRDefault="005C6B23">
                    <w:pPr>
                      <w:pStyle w:val="StandaardReferentiegegevensKop"/>
                    </w:pPr>
                    <w:r>
                      <w:t>Directie Financiële Markten</w:t>
                    </w:r>
                  </w:p>
                  <w:p w14:paraId="463FF789" w14:textId="77777777" w:rsidR="00F40524" w:rsidRDefault="00F40524">
                    <w:pPr>
                      <w:pStyle w:val="WitregelW1"/>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228486" wp14:editId="2C42CA18">
              <wp:simplePos x="0" y="0"/>
              <wp:positionH relativeFrom="page">
                <wp:posOffset>1007744</wp:posOffset>
              </wp:positionH>
              <wp:positionV relativeFrom="page">
                <wp:posOffset>1713230</wp:posOffset>
              </wp:positionV>
              <wp:extent cx="359092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90925" cy="142875"/>
                      </a:xfrm>
                      <a:prstGeom prst="rect">
                        <a:avLst/>
                      </a:prstGeom>
                      <a:noFill/>
                    </wps:spPr>
                    <wps:txbx>
                      <w:txbxContent>
                        <w:p w14:paraId="1688EF79" w14:textId="77777777" w:rsidR="009A4660" w:rsidRDefault="009A4660"/>
                      </w:txbxContent>
                    </wps:txbx>
                    <wps:bodyPr vert="horz" wrap="square" lIns="0" tIns="0" rIns="0" bIns="0" anchor="t" anchorCtr="0"/>
                  </wps:wsp>
                </a:graphicData>
              </a:graphic>
            </wp:anchor>
          </w:drawing>
        </mc:Choice>
        <mc:Fallback>
          <w:pict>
            <v:shape w14:anchorId="29228486" id="Retouradres" o:spid="_x0000_s1031" type="#_x0000_t202" style="position:absolute;margin-left:79.35pt;margin-top:134.9pt;width:282.7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" filled="f" stroked="f">
              <v:textbox inset="0,0,0,0">
                <w:txbxContent>
                  <w:p w14:paraId="1688EF79" w14:textId="77777777" w:rsidR="009A4660" w:rsidRDefault="009A4660"/>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94FC427" wp14:editId="2424BFF2">
              <wp:simplePos x="0" y="0"/>
              <wp:positionH relativeFrom="page">
                <wp:posOffset>1007744</wp:posOffset>
              </wp:positionH>
              <wp:positionV relativeFrom="page">
                <wp:posOffset>1943735</wp:posOffset>
              </wp:positionV>
              <wp:extent cx="3347720"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347720" cy="1079500"/>
                      </a:xfrm>
                      <a:prstGeom prst="rect">
                        <a:avLst/>
                      </a:prstGeom>
                      <a:noFill/>
                    </wps:spPr>
                    <wps:txbx>
                      <w:txbxContent>
                        <w:p w14:paraId="278BB1F8" w14:textId="77777777" w:rsidR="009A4660" w:rsidRDefault="009A4660"/>
                      </w:txbxContent>
                    </wps:txbx>
                    <wps:bodyPr vert="horz" wrap="square" lIns="0" tIns="0" rIns="0" bIns="0" anchor="t" anchorCtr="0"/>
                  </wps:wsp>
                </a:graphicData>
              </a:graphic>
            </wp:anchor>
          </w:drawing>
        </mc:Choice>
        <mc:Fallback>
          <w:pict>
            <v:shape w14:anchorId="194FC427" id="Toezendgegevens" o:spid="_x0000_s1032" type="#_x0000_t202" style="position:absolute;margin-left:79.35pt;margin-top:153.05pt;width:263.6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" filled="f" stroked="f">
              <v:textbox inset="0,0,0,0">
                <w:txbxContent>
                  <w:p w14:paraId="278BB1F8" w14:textId="77777777" w:rsidR="009A4660" w:rsidRDefault="009A4660"/>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0E46E19" wp14:editId="46607DFD">
              <wp:simplePos x="0" y="0"/>
              <wp:positionH relativeFrom="page">
                <wp:posOffset>1007744</wp:posOffset>
              </wp:positionH>
              <wp:positionV relativeFrom="page">
                <wp:posOffset>3117215</wp:posOffset>
              </wp:positionV>
              <wp:extent cx="1209040" cy="532765"/>
              <wp:effectExtent l="0" t="0" r="0" b="0"/>
              <wp:wrapNone/>
              <wp:docPr id="8" name="Documentnaam"/>
              <wp:cNvGraphicFramePr/>
              <a:graphic xmlns:a="http://schemas.openxmlformats.org/drawingml/2006/main">
                <a:graphicData uri="http://schemas.microsoft.com/office/word/2010/wordprocessingShape">
                  <wps:wsp>
                    <wps:cNvSpPr txBox="1"/>
                    <wps:spPr>
                      <a:xfrm>
                        <a:off x="0" y="0"/>
                        <a:ext cx="1209040" cy="532765"/>
                      </a:xfrm>
                      <a:prstGeom prst="rect">
                        <a:avLst/>
                      </a:prstGeom>
                      <a:noFill/>
                    </wps:spPr>
                    <wps:txbx>
                      <w:txbxContent>
                        <w:p w14:paraId="20D90FAB" w14:textId="77777777" w:rsidR="00F40524" w:rsidRDefault="005C6B23">
                          <w:pPr>
                            <w:spacing w:line="240" w:lineRule="auto"/>
                          </w:pPr>
                          <w:r>
                            <w:rPr>
                              <w:noProof/>
                            </w:rPr>
                            <w:drawing>
                              <wp:inline distT="0" distB="0" distL="0" distR="0" wp14:anchorId="3C232E1A" wp14:editId="2CAC7D3A">
                                <wp:extent cx="1209040" cy="553758"/>
                                <wp:effectExtent l="0" t="0" r="0" b="0"/>
                                <wp:docPr id="9" name="verslag"/>
                                <wp:cNvGraphicFramePr/>
                                <a:graphic xmlns:a="http://schemas.openxmlformats.org/drawingml/2006/main">
                                  <a:graphicData uri="http://schemas.openxmlformats.org/drawingml/2006/picture">
                                    <pic:pic xmlns:pic="http://schemas.openxmlformats.org/drawingml/2006/picture">
                                      <pic:nvPicPr>
                                        <pic:cNvPr id="9" name="verslag"/>
                                        <pic:cNvPicPr/>
                                      </pic:nvPicPr>
                                      <pic:blipFill>
                                        <a:blip r:embed="rId5"/>
                                        <a:stretch>
                                          <a:fillRect/>
                                        </a:stretch>
                                      </pic:blipFill>
                                      <pic:spPr bwMode="auto">
                                        <a:xfrm>
                                          <a:off x="0" y="0"/>
                                          <a:ext cx="1209040" cy="553758"/>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E46E19" id="Documentnaam" o:spid="_x0000_s1033" type="#_x0000_t202" style="position:absolute;margin-left:79.35pt;margin-top:245.45pt;width:95.2pt;height:41.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" filled="f" stroked="f">
              <v:textbox inset="0,0,0,0">
                <w:txbxContent>
                  <w:p w14:paraId="20D90FAB" w14:textId="77777777" w:rsidR="00F40524" w:rsidRDefault="005C6B23">
                    <w:pPr>
                      <w:spacing w:line="240" w:lineRule="auto"/>
                    </w:pPr>
                    <w:r>
                      <w:rPr>
                        <w:noProof/>
                      </w:rPr>
                      <w:drawing>
                        <wp:inline distT="0" distB="0" distL="0" distR="0" wp14:anchorId="3C232E1A" wp14:editId="2CAC7D3A">
                          <wp:extent cx="1209040" cy="553758"/>
                          <wp:effectExtent l="0" t="0" r="0" b="0"/>
                          <wp:docPr id="9" name="verslag"/>
                          <wp:cNvGraphicFramePr/>
                          <a:graphic xmlns:a="http://schemas.openxmlformats.org/drawingml/2006/main">
                            <a:graphicData uri="http://schemas.openxmlformats.org/drawingml/2006/picture">
                              <pic:pic xmlns:pic="http://schemas.openxmlformats.org/drawingml/2006/picture">
                                <pic:nvPicPr>
                                  <pic:cNvPr id="9" name="verslag"/>
                                  <pic:cNvPicPr/>
                                </pic:nvPicPr>
                                <pic:blipFill>
                                  <a:blip r:embed="rId6"/>
                                  <a:stretch>
                                    <a:fillRect/>
                                  </a:stretch>
                                </pic:blipFill>
                                <pic:spPr bwMode="auto">
                                  <a:xfrm>
                                    <a:off x="0" y="0"/>
                                    <a:ext cx="1209040" cy="553758"/>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ECE22A1" wp14:editId="451384E1">
              <wp:simplePos x="0" y="0"/>
              <wp:positionH relativeFrom="page">
                <wp:posOffset>5921375</wp:posOffset>
              </wp:positionH>
              <wp:positionV relativeFrom="page">
                <wp:posOffset>10223500</wp:posOffset>
              </wp:positionV>
              <wp:extent cx="1259840" cy="179705"/>
              <wp:effectExtent l="0" t="0" r="0" b="0"/>
              <wp:wrapNone/>
              <wp:docPr id="10"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879585C" w14:textId="458D7DBA" w:rsidR="00F40524" w:rsidRDefault="005C6B23">
                          <w:pPr>
                            <w:pStyle w:val="StandaardReferentiegegevens"/>
                          </w:pPr>
                          <w:r>
                            <w:t xml:space="preserve">Pagina </w:t>
                          </w:r>
                          <w:r>
                            <w:fldChar w:fldCharType="begin"/>
                          </w:r>
                          <w:r>
                            <w:instrText>PAGE</w:instrText>
                          </w:r>
                          <w:r>
                            <w:fldChar w:fldCharType="separate"/>
                          </w:r>
                          <w:r w:rsidR="003157BA">
                            <w:rPr>
                              <w:noProof/>
                            </w:rPr>
                            <w:t>1</w:t>
                          </w:r>
                          <w:r>
                            <w:fldChar w:fldCharType="end"/>
                          </w:r>
                          <w:r>
                            <w:t xml:space="preserve"> van </w:t>
                          </w:r>
                          <w:r>
                            <w:fldChar w:fldCharType="begin"/>
                          </w:r>
                          <w:r>
                            <w:instrText>NUMPAGES</w:instrText>
                          </w:r>
                          <w:r>
                            <w:fldChar w:fldCharType="separate"/>
                          </w:r>
                          <w:r w:rsidR="003157BA">
                            <w:rPr>
                              <w:noProof/>
                            </w:rPr>
                            <w:t>3</w:t>
                          </w:r>
                          <w:r>
                            <w:fldChar w:fldCharType="end"/>
                          </w:r>
                        </w:p>
                      </w:txbxContent>
                    </wps:txbx>
                    <wps:bodyPr vert="horz" wrap="square" lIns="0" tIns="0" rIns="0" bIns="0" anchor="t" anchorCtr="0"/>
                  </wps:wsp>
                </a:graphicData>
              </a:graphic>
            </wp:anchor>
          </w:drawing>
        </mc:Choice>
        <mc:Fallback>
          <w:pict>
            <v:shapetype w14:anchorId="7ECE22A1" id="_x0000_t202" coordsize="21600,21600" o:spt="202" path="m,l,21600r21600,l21600,xe">
              <v:stroke joinstyle="miter"/>
              <v:path gradientshapeok="t" o:connecttype="rect"/>
            </v:shapetype>
            <v:shape id="Paginanummer" o:spid="_x0000_s1034" type="#_x0000_t202" style="position:absolute;margin-left:466.25pt;margin-top:805pt;width:99.2pt;height:14.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" filled="f" stroked="f">
              <v:textbox inset="0,0,0,0">
                <w:txbxContent>
                  <w:p w14:paraId="6879585C" w14:textId="458D7DBA" w:rsidR="00F40524" w:rsidRDefault="005C6B23">
                    <w:pPr>
                      <w:pStyle w:val="StandaardReferentiegegevens"/>
                    </w:pPr>
                    <w:r>
                      <w:t xml:space="preserve">Pagina </w:t>
                    </w:r>
                    <w:r>
                      <w:fldChar w:fldCharType="begin"/>
                    </w:r>
                    <w:r>
                      <w:instrText>PAGE</w:instrText>
                    </w:r>
                    <w:r>
                      <w:fldChar w:fldCharType="separate"/>
                    </w:r>
                    <w:r w:rsidR="003157BA">
                      <w:rPr>
                        <w:noProof/>
                      </w:rPr>
                      <w:t>1</w:t>
                    </w:r>
                    <w:r>
                      <w:fldChar w:fldCharType="end"/>
                    </w:r>
                    <w:r>
                      <w:t xml:space="preserve"> van </w:t>
                    </w:r>
                    <w:r>
                      <w:fldChar w:fldCharType="begin"/>
                    </w:r>
                    <w:r>
                      <w:instrText>NUMPAGES</w:instrText>
                    </w:r>
                    <w:r>
                      <w:fldChar w:fldCharType="separate"/>
                    </w:r>
                    <w:r w:rsidR="003157BA">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8DD9876" wp14:editId="082EAFDA">
              <wp:simplePos x="0" y="0"/>
              <wp:positionH relativeFrom="page">
                <wp:posOffset>2411730</wp:posOffset>
              </wp:positionH>
              <wp:positionV relativeFrom="page">
                <wp:posOffset>3401695</wp:posOffset>
              </wp:positionV>
              <wp:extent cx="3314700" cy="337820"/>
              <wp:effectExtent l="0" t="0" r="0" b="0"/>
              <wp:wrapNone/>
              <wp:docPr id="11" name="Onderwerp"/>
              <wp:cNvGraphicFramePr/>
              <a:graphic xmlns:a="http://schemas.openxmlformats.org/drawingml/2006/main">
                <a:graphicData uri="http://schemas.microsoft.com/office/word/2010/wordprocessingShape">
                  <wps:wsp>
                    <wps:cNvSpPr txBox="1"/>
                    <wps:spPr>
                      <a:xfrm>
                        <a:off x="0" y="0"/>
                        <a:ext cx="3314700" cy="337820"/>
                      </a:xfrm>
                      <a:prstGeom prst="rect">
                        <a:avLst/>
                      </a:prstGeom>
                      <a:noFill/>
                    </wps:spPr>
                    <wps:txbx>
                      <w:txbxContent>
                        <w:p w14:paraId="2D81C785" w14:textId="0DC1F981" w:rsidR="00F40524" w:rsidRDefault="00D21078">
                          <w:fldSimple w:instr=" DOCPROPERTY  &quot;Onderwerp&quot;  \* MERGEFORMAT ">
                            <w:r w:rsidR="003157BA">
                              <w:t>Plenaire vergadering FATF februari 2019</w:t>
                            </w:r>
                          </w:fldSimple>
                        </w:p>
                      </w:txbxContent>
                    </wps:txbx>
                    <wps:bodyPr vert="horz" wrap="square" lIns="0" tIns="0" rIns="0" bIns="0" anchor="t" anchorCtr="0"/>
                  </wps:wsp>
                </a:graphicData>
              </a:graphic>
            </wp:anchor>
          </w:drawing>
        </mc:Choice>
        <mc:Fallback>
          <w:pict>
            <v:shape w14:anchorId="18DD9876" id="Onderwerp" o:spid="_x0000_s1035" type="#_x0000_t202" style="position:absolute;margin-left:189.9pt;margin-top:267.85pt;width:261pt;height:26.6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" filled="f" stroked="f">
              <v:textbox inset="0,0,0,0">
                <w:txbxContent>
                  <w:p w14:paraId="2D81C785" w14:textId="0DC1F981" w:rsidR="00F40524" w:rsidRDefault="00D21078">
                    <w:fldSimple w:instr=" DOCPROPERTY  &quot;Onderwerp&quot;  \* MERGEFORMAT ">
                      <w:r w:rsidR="003157BA">
                        <w:t>Plenaire vergadering FATF februari 2019</w:t>
                      </w:r>
                    </w:fldSimple>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8882A"/>
    <w:multiLevelType w:val="multilevel"/>
    <w:tmpl w:val="6E7215D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0A5F00"/>
    <w:multiLevelType w:val="multilevel"/>
    <w:tmpl w:val="812E0A9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1ACAC08"/>
    <w:multiLevelType w:val="multilevel"/>
    <w:tmpl w:val="8078CFC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E29431"/>
    <w:multiLevelType w:val="multilevel"/>
    <w:tmpl w:val="6552AFDE"/>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4"/>
    <w:rsid w:val="000323F8"/>
    <w:rsid w:val="0005709F"/>
    <w:rsid w:val="00084929"/>
    <w:rsid w:val="000C4DC0"/>
    <w:rsid w:val="000D657A"/>
    <w:rsid w:val="0018452D"/>
    <w:rsid w:val="001A006E"/>
    <w:rsid w:val="002230F9"/>
    <w:rsid w:val="002E4C2E"/>
    <w:rsid w:val="003157BA"/>
    <w:rsid w:val="00331701"/>
    <w:rsid w:val="003E0EB9"/>
    <w:rsid w:val="00477C7B"/>
    <w:rsid w:val="004E368F"/>
    <w:rsid w:val="00557150"/>
    <w:rsid w:val="005C6B23"/>
    <w:rsid w:val="006042EF"/>
    <w:rsid w:val="006A3209"/>
    <w:rsid w:val="006B05E0"/>
    <w:rsid w:val="00716F5C"/>
    <w:rsid w:val="007770DC"/>
    <w:rsid w:val="007E220A"/>
    <w:rsid w:val="007F791E"/>
    <w:rsid w:val="008A7585"/>
    <w:rsid w:val="008C12F6"/>
    <w:rsid w:val="00956F3A"/>
    <w:rsid w:val="00973185"/>
    <w:rsid w:val="009A4660"/>
    <w:rsid w:val="00A045F1"/>
    <w:rsid w:val="00A3653A"/>
    <w:rsid w:val="00AA69F1"/>
    <w:rsid w:val="00AE3FDF"/>
    <w:rsid w:val="00B14784"/>
    <w:rsid w:val="00C01728"/>
    <w:rsid w:val="00C345DE"/>
    <w:rsid w:val="00C37F95"/>
    <w:rsid w:val="00D21078"/>
    <w:rsid w:val="00DB7512"/>
    <w:rsid w:val="00E678D3"/>
    <w:rsid w:val="00E7059C"/>
    <w:rsid w:val="00F26E36"/>
    <w:rsid w:val="00F3690D"/>
    <w:rsid w:val="00F40524"/>
    <w:rsid w:val="00F94A2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71ACDFD9"/>
  <w15:docId w15:val="{F7C47AC0-425C-470E-B17B-C12F28D5D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ummyfield">
    <w:name w:val="_dummy_field"/>
    <w:basedOn w:val="Standaard"/>
    <w:next w:val="Standaard"/>
    <w:rPr>
      <w:color w:val="FFFFFF"/>
      <w:sz w:val="2"/>
      <w:szCs w:val="2"/>
    </w:rPr>
  </w:style>
  <w:style w:type="paragraph" w:customStyle="1" w:styleId="AanvraagICTmiddelenproductentabel">
    <w:name w:val="Aanvraag ICT middelen producten tabel"/>
    <w:basedOn w:val="Standaard"/>
    <w:next w:val="Standaard"/>
    <w:pPr>
      <w:ind w:left="60"/>
    </w:pPr>
  </w:style>
  <w:style w:type="paragraph" w:customStyle="1" w:styleId="AanvraagformulierICTmiddelenCalibri">
    <w:name w:val="Aanvraagformulier ICT middelen Calibri"/>
    <w:basedOn w:val="Standaard"/>
    <w:next w:val="Standaard"/>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style>
  <w:style w:type="paragraph" w:customStyle="1" w:styleId="BulletOpdrBev">
    <w:name w:val="Bullet Opdr.Bev."/>
    <w:basedOn w:val="Standaard"/>
    <w:next w:val="Standaard"/>
    <w:pPr>
      <w:numPr>
        <w:numId w:val="2"/>
      </w:numPr>
    </w:pPr>
  </w:style>
  <w:style w:type="paragraph" w:customStyle="1" w:styleId="BulletOpdrachtbevestiging">
    <w:name w:val="Bullet Opdrachtbevestiging"/>
    <w:basedOn w:val="Standaard"/>
    <w:next w:val="Standaard"/>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Huisstijl-Actiepunt">
    <w:name w:val="Huisstijl - Actiepunt"/>
    <w:basedOn w:val="Standaard"/>
    <w:next w:val="Standaard"/>
    <w:pPr>
      <w:numPr>
        <w:numId w:val="1"/>
      </w:numPr>
    </w:pPr>
  </w:style>
  <w:style w:type="paragraph" w:styleId="Inhopg1">
    <w:name w:val="toc 1"/>
    <w:basedOn w:val="Standaard"/>
    <w:next w:val="Standaard"/>
    <w:pPr>
      <w:tabs>
        <w:tab w:val="left" w:pos="0"/>
        <w:tab w:val="right" w:pos="283"/>
      </w:tabs>
      <w:spacing w:before="280"/>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rPr>
      <w:sz w:val="16"/>
      <w:szCs w:val="16"/>
    </w:rPr>
  </w:style>
  <w:style w:type="paragraph" w:customStyle="1" w:styleId="InterimrapportVerdana8wit">
    <w:name w:val="Interimrapport Verdana 8 wit"/>
    <w:basedOn w:val="Standaard"/>
    <w:next w:val="Standaard"/>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Notitietabel">
    <w:name w:val="Notitie tabel"/>
    <w:basedOn w:val="Standaard"/>
    <w:next w:val="Standaard"/>
    <w:pPr>
      <w:spacing w:before="160"/>
    </w:pPr>
    <w:rPr>
      <w:sz w:val="13"/>
      <w:szCs w:val="13"/>
    </w:rPr>
  </w:style>
  <w:style w:type="paragraph" w:customStyle="1" w:styleId="NummeringlijstOpdrbev">
    <w:name w:val="Nummering lijst Opdr.bev."/>
    <w:basedOn w:val="Standaard"/>
    <w:next w:val="Standaard"/>
    <w:pPr>
      <w:numPr>
        <w:numId w:val="3"/>
      </w:numPr>
    </w:pPr>
  </w:style>
  <w:style w:type="paragraph" w:customStyle="1" w:styleId="NummeringlijstOpdrbevniv2">
    <w:name w:val="Nummering lijst Opdr.bev. niv. 2"/>
    <w:basedOn w:val="Standaard"/>
    <w:next w:val="Standaard"/>
    <w:pPr>
      <w:numPr>
        <w:ilvl w:val="1"/>
        <w:numId w:val="3"/>
      </w:numPr>
    </w:pPr>
  </w:style>
  <w:style w:type="paragraph" w:customStyle="1" w:styleId="NummeringlijstOpdrachtbevestiging">
    <w:name w:val="Nummering lijst Opdrachtbevestiging"/>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rPr>
      <w:b/>
      <w:smallCaps/>
      <w:sz w:val="13"/>
      <w:szCs w:val="13"/>
    </w:rPr>
  </w:style>
  <w:style w:type="paragraph" w:customStyle="1" w:styleId="Rubriceringvoettekst">
    <w:name w:val="Rubricering voettekst"/>
    <w:basedOn w:val="Standaard"/>
    <w:next w:val="Standaard"/>
    <w:rPr>
      <w:sz w:val="13"/>
      <w:szCs w:val="13"/>
    </w:rPr>
  </w:style>
  <w:style w:type="paragraph" w:customStyle="1" w:styleId="Standaardgecentreerd">
    <w:name w:val="Standaard gecentreerd"/>
    <w:basedOn w:val="Standaard"/>
    <w:next w:val="Standaard"/>
    <w:pPr>
      <w:jc w:val="center"/>
    </w:pPr>
  </w:style>
  <w:style w:type="paragraph" w:customStyle="1" w:styleId="StandaardVet">
    <w:name w:val="Standaard Vet"/>
    <w:basedOn w:val="Standaard"/>
    <w:next w:val="Standaard"/>
    <w:rPr>
      <w:b/>
    </w:rPr>
  </w:style>
  <w:style w:type="paragraph" w:customStyle="1" w:styleId="StandaardAanhef">
    <w:name w:val="Standaard_Aanhef"/>
    <w:basedOn w:val="Standaard"/>
    <w:next w:val="Standaard"/>
    <w:pPr>
      <w:spacing w:before="100" w:after="240"/>
    </w:pPr>
  </w:style>
  <w:style w:type="paragraph" w:customStyle="1" w:styleId="StandaardCursief">
    <w:name w:val="Standaard_Cursief"/>
    <w:basedOn w:val="Standaard"/>
    <w:next w:val="Standaard"/>
    <w:rPr>
      <w:i/>
    </w:rPr>
  </w:style>
  <w:style w:type="paragraph" w:customStyle="1" w:styleId="StandaardOndertekening">
    <w:name w:val="Standaard_Ondertekening"/>
    <w:basedOn w:val="Standaard"/>
    <w:next w:val="Standaard"/>
    <w:pPr>
      <w:spacing w:before="240"/>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style>
  <w:style w:type="paragraph" w:customStyle="1" w:styleId="Verdana11HoofdlettersVet">
    <w:name w:val="Verdana 11 Hoofdletters Vet"/>
    <w:basedOn w:val="Standaard"/>
    <w:next w:val="Standaard"/>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5C6B2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6B23"/>
    <w:rPr>
      <w:rFonts w:ascii="Verdana" w:hAnsi="Verdana"/>
      <w:color w:val="000000"/>
      <w:sz w:val="18"/>
      <w:szCs w:val="18"/>
    </w:rPr>
  </w:style>
  <w:style w:type="paragraph" w:styleId="Voettekst">
    <w:name w:val="footer"/>
    <w:basedOn w:val="Standaard"/>
    <w:link w:val="VoettekstChar"/>
    <w:uiPriority w:val="99"/>
    <w:unhideWhenUsed/>
    <w:rsid w:val="005C6B2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C6B23"/>
    <w:rPr>
      <w:rFonts w:ascii="Verdana" w:hAnsi="Verdana"/>
      <w:color w:val="000000"/>
      <w:sz w:val="18"/>
      <w:szCs w:val="18"/>
    </w:rPr>
  </w:style>
  <w:style w:type="paragraph" w:styleId="Voetnoottekst">
    <w:name w:val="footnote text"/>
    <w:basedOn w:val="Standaard"/>
    <w:link w:val="VoetnoottekstChar"/>
    <w:unhideWhenUsed/>
    <w:rsid w:val="005C6B23"/>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rsid w:val="005C6B23"/>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5C6B23"/>
    <w:rPr>
      <w:vertAlign w:val="superscript"/>
    </w:rPr>
  </w:style>
  <w:style w:type="character" w:styleId="Hyperlink">
    <w:name w:val="Hyperlink"/>
    <w:basedOn w:val="Standaardalinea-lettertype"/>
    <w:uiPriority w:val="99"/>
    <w:unhideWhenUsed/>
    <w:rsid w:val="005C6B23"/>
    <w:rPr>
      <w:color w:val="0563C1" w:themeColor="hyperlink"/>
      <w:u w:val="single"/>
    </w:rPr>
  </w:style>
  <w:style w:type="character" w:styleId="Verwijzingopmerking">
    <w:name w:val="annotation reference"/>
    <w:basedOn w:val="Standaardalinea-lettertype"/>
    <w:uiPriority w:val="99"/>
    <w:semiHidden/>
    <w:unhideWhenUsed/>
    <w:rsid w:val="00B14784"/>
    <w:rPr>
      <w:sz w:val="16"/>
      <w:szCs w:val="16"/>
    </w:rPr>
  </w:style>
  <w:style w:type="paragraph" w:styleId="Tekstopmerking">
    <w:name w:val="annotation text"/>
    <w:basedOn w:val="Standaard"/>
    <w:link w:val="TekstopmerkingChar"/>
    <w:uiPriority w:val="99"/>
    <w:semiHidden/>
    <w:unhideWhenUsed/>
    <w:rsid w:val="00B1478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1478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14784"/>
    <w:rPr>
      <w:b/>
      <w:bCs/>
    </w:rPr>
  </w:style>
  <w:style w:type="character" w:customStyle="1" w:styleId="OnderwerpvanopmerkingChar">
    <w:name w:val="Onderwerp van opmerking Char"/>
    <w:basedOn w:val="TekstopmerkingChar"/>
    <w:link w:val="Onderwerpvanopmerking"/>
    <w:uiPriority w:val="99"/>
    <w:semiHidden/>
    <w:rsid w:val="00B14784"/>
    <w:rPr>
      <w:rFonts w:ascii="Verdana" w:hAnsi="Verdana"/>
      <w:b/>
      <w:bCs/>
      <w:color w:val="000000"/>
    </w:rPr>
  </w:style>
  <w:style w:type="paragraph" w:styleId="Ballontekst">
    <w:name w:val="Balloon Text"/>
    <w:basedOn w:val="Standaard"/>
    <w:link w:val="BallontekstChar"/>
    <w:uiPriority w:val="99"/>
    <w:semiHidden/>
    <w:unhideWhenUsed/>
    <w:rsid w:val="00B14784"/>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B14784"/>
    <w:rPr>
      <w:rFonts w:ascii="Segoe UI" w:hAnsi="Segoe UI" w:cs="Segoe UI"/>
      <w:color w:val="000000"/>
      <w:sz w:val="18"/>
      <w:szCs w:val="18"/>
    </w:rPr>
  </w:style>
  <w:style w:type="character" w:styleId="GevolgdeHyperlink">
    <w:name w:val="FollowedHyperlink"/>
    <w:basedOn w:val="Standaardalinea-lettertype"/>
    <w:uiPriority w:val="99"/>
    <w:semiHidden/>
    <w:unhideWhenUsed/>
    <w:rsid w:val="00F94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 Target="webSettings0.xml" Id="rId19"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fatf-gafi.org/publications/high-riskandnon-cooperativejurisdictions/documents/fatf-compliance-february-2019.html" TargetMode="External"/><Relationship Id="rId2" Type="http://schemas.openxmlformats.org/officeDocument/2006/relationships/hyperlink" Target="http://www.fatf-gafi.org/publications/high-riskandnon-cooperativejurisdictions/documents/public-statement-february-2019.html" TargetMode="External"/><Relationship Id="rId1" Type="http://schemas.openxmlformats.org/officeDocument/2006/relationships/hyperlink" Target="http://www.fatf-gafi.org/publications/mutualevaluations/?hf=10&amp;b=0&amp;s=desc(fatf_releasedate)" TargetMode="External"/><Relationship Id="rId5" Type="http://schemas.openxmlformats.org/officeDocument/2006/relationships/hyperlink" Target="http://www.fatf-gafi.org/publications/fatfgeneral/documents/public-consultation-guidance-tcsp.html" TargetMode="External"/><Relationship Id="rId4" Type="http://schemas.openxmlformats.org/officeDocument/2006/relationships/hyperlink" Target="http://www.fatf-gafi.org/publications/methodsandtrends/documents/fatf-action-against-terrorist-financing-feb-2019.html"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5" Type="http://schemas.openxmlformats.org/officeDocument/2006/relationships/image" Target="media/image3.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1035</ap:Words>
  <ap:Characters>5696</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2019-03-21T14:20:00.0000000Z</dcterms:created>
  <dcterms:modified xsi:type="dcterms:W3CDTF">2019-03-21T14:20:00.0000000Z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DocGen_Verslag_nl_NL</vt:lpwstr>
  </property>
  <property fmtid="{D5CDD505-2E9C-101B-9397-08002B2CF9AE}" pid="3" name="Onderwerp">
    <vt:lpwstr>Plenaire vergadering FATF februari 2019</vt:lpwstr>
  </property>
  <property fmtid="{D5CDD505-2E9C-101B-9397-08002B2CF9AE}" pid="4" name="Datum">
    <vt:lpwstr>27 februari 2019</vt:lpwstr>
  </property>
  <property fmtid="{D5CDD505-2E9C-101B-9397-08002B2CF9AE}" pid="5" name="ContentTypeId">
    <vt:lpwstr>0x010100138B70C9EC23824C92DE05F71E7F61F0</vt:lpwstr>
  </property>
</Properties>
</file>