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383" w:rsidR="00C00215" w:rsidP="00C00215" w:rsidRDefault="00C00215">
      <w:pPr>
        <w:rPr>
          <w:rFonts w:asciiTheme="minorHAnsi" w:hAnsiTheme="minorHAnsi"/>
          <w:b/>
          <w:sz w:val="20"/>
          <w:szCs w:val="20"/>
        </w:rPr>
      </w:pPr>
      <w:r w:rsidRPr="00221383">
        <w:rPr>
          <w:rFonts w:asciiTheme="minorHAnsi" w:hAnsiTheme="minorHAnsi"/>
          <w:b/>
          <w:sz w:val="20"/>
          <w:szCs w:val="20"/>
        </w:rPr>
        <w:t>Overzicht nieuw gepubliceerde EU-voorstellen</w:t>
      </w:r>
      <w:r w:rsidR="002C6CCE">
        <w:rPr>
          <w:rFonts w:asciiTheme="minorHAnsi" w:hAnsiTheme="minorHAnsi"/>
          <w:b/>
          <w:sz w:val="20"/>
          <w:szCs w:val="20"/>
        </w:rPr>
        <w:t xml:space="preserve"> VWS</w:t>
      </w:r>
      <w:r w:rsidRPr="00221383">
        <w:rPr>
          <w:rFonts w:asciiTheme="minorHAnsi" w:hAnsiTheme="minorHAnsi"/>
          <w:b/>
          <w:sz w:val="20"/>
          <w:szCs w:val="20"/>
        </w:rPr>
        <w:t xml:space="preserve"> </w:t>
      </w:r>
    </w:p>
    <w:p w:rsidRPr="00221383" w:rsidR="00C00215" w:rsidP="00C00215" w:rsidRDefault="00C00215">
      <w:pPr>
        <w:rPr>
          <w:rFonts w:asciiTheme="minorHAnsi" w:hAnsiTheme="minorHAnsi"/>
          <w:sz w:val="20"/>
          <w:szCs w:val="20"/>
        </w:rPr>
      </w:pPr>
    </w:p>
    <w:p w:rsidRPr="001717F0" w:rsidR="00C00215" w:rsidP="00C00215" w:rsidRDefault="00C00215">
      <w:pPr>
        <w:rPr>
          <w:rFonts w:asciiTheme="minorHAnsi" w:hAnsiTheme="minorHAnsi"/>
          <w:sz w:val="20"/>
          <w:szCs w:val="20"/>
          <w:u w:val="single"/>
        </w:rPr>
      </w:pPr>
      <w:r w:rsidRPr="001717F0">
        <w:rPr>
          <w:rFonts w:asciiTheme="minorHAnsi" w:hAnsiTheme="minorHAnsi"/>
          <w:sz w:val="20"/>
          <w:szCs w:val="20"/>
          <w:u w:val="single"/>
        </w:rPr>
        <w:t xml:space="preserve">Integraal overzicht met nieuw gepubliceerde EU-voorstellen </w:t>
      </w:r>
      <w:r w:rsidR="002C6CCE">
        <w:rPr>
          <w:rFonts w:asciiTheme="minorHAnsi" w:hAnsiTheme="minorHAnsi"/>
          <w:sz w:val="20"/>
          <w:szCs w:val="20"/>
          <w:u w:val="single"/>
        </w:rPr>
        <w:t xml:space="preserve">VWS </w:t>
      </w:r>
      <w:bookmarkStart w:name="_GoBack" w:id="0"/>
      <w:bookmarkEnd w:id="0"/>
      <w:r w:rsidRPr="001717F0">
        <w:rPr>
          <w:rFonts w:asciiTheme="minorHAnsi" w:hAnsiTheme="minorHAnsi"/>
          <w:sz w:val="20"/>
          <w:szCs w:val="20"/>
          <w:u w:val="single"/>
        </w:rPr>
        <w:t xml:space="preserve">van </w:t>
      </w:r>
      <w:r w:rsidRPr="001717F0" w:rsidR="001717F0">
        <w:rPr>
          <w:rFonts w:asciiTheme="minorHAnsi" w:hAnsiTheme="minorHAnsi"/>
          <w:sz w:val="20"/>
          <w:szCs w:val="20"/>
          <w:u w:val="single"/>
        </w:rPr>
        <w:t>13</w:t>
      </w:r>
      <w:r w:rsidRPr="001717F0">
        <w:rPr>
          <w:rFonts w:asciiTheme="minorHAnsi" w:hAnsiTheme="minorHAnsi"/>
          <w:sz w:val="20"/>
          <w:szCs w:val="20"/>
          <w:u w:val="single"/>
        </w:rPr>
        <w:t xml:space="preserve">  </w:t>
      </w:r>
      <w:r w:rsidRPr="001717F0" w:rsidR="00B612FC">
        <w:rPr>
          <w:rFonts w:asciiTheme="minorHAnsi" w:hAnsiTheme="minorHAnsi"/>
          <w:sz w:val="20"/>
          <w:szCs w:val="20"/>
          <w:u w:val="single"/>
        </w:rPr>
        <w:t>februari</w:t>
      </w:r>
      <w:r w:rsidRPr="001717F0">
        <w:rPr>
          <w:rFonts w:asciiTheme="minorHAnsi" w:hAnsiTheme="minorHAnsi"/>
          <w:sz w:val="20"/>
          <w:szCs w:val="20"/>
          <w:u w:val="single"/>
        </w:rPr>
        <w:t xml:space="preserve"> 201</w:t>
      </w:r>
      <w:r w:rsidRPr="001717F0" w:rsidR="00B612FC">
        <w:rPr>
          <w:rFonts w:asciiTheme="minorHAnsi" w:hAnsiTheme="minorHAnsi"/>
          <w:sz w:val="20"/>
          <w:szCs w:val="20"/>
          <w:u w:val="single"/>
        </w:rPr>
        <w:t>9</w:t>
      </w:r>
      <w:r w:rsidRPr="001717F0">
        <w:rPr>
          <w:rFonts w:asciiTheme="minorHAnsi" w:hAnsiTheme="minorHAnsi"/>
          <w:sz w:val="20"/>
          <w:szCs w:val="20"/>
          <w:u w:val="single"/>
        </w:rPr>
        <w:t xml:space="preserve"> tot </w:t>
      </w:r>
      <w:r w:rsidRPr="001717F0" w:rsidR="00B612FC">
        <w:rPr>
          <w:rFonts w:asciiTheme="minorHAnsi" w:hAnsiTheme="minorHAnsi"/>
          <w:sz w:val="20"/>
          <w:szCs w:val="20"/>
          <w:u w:val="single"/>
        </w:rPr>
        <w:t>6</w:t>
      </w:r>
      <w:r w:rsidRPr="001717F0">
        <w:rPr>
          <w:rFonts w:asciiTheme="minorHAnsi" w:hAnsiTheme="minorHAnsi"/>
          <w:sz w:val="20"/>
          <w:szCs w:val="20"/>
          <w:u w:val="single"/>
        </w:rPr>
        <w:t xml:space="preserve"> </w:t>
      </w:r>
      <w:r w:rsidRPr="001717F0" w:rsidR="00B612FC">
        <w:rPr>
          <w:rFonts w:asciiTheme="minorHAnsi" w:hAnsiTheme="minorHAnsi"/>
          <w:sz w:val="20"/>
          <w:szCs w:val="20"/>
          <w:u w:val="single"/>
        </w:rPr>
        <w:t xml:space="preserve">maart </w:t>
      </w:r>
      <w:r w:rsidRPr="001717F0">
        <w:rPr>
          <w:rFonts w:asciiTheme="minorHAnsi" w:hAnsiTheme="minorHAnsi"/>
          <w:sz w:val="20"/>
          <w:szCs w:val="20"/>
          <w:u w:val="single"/>
        </w:rPr>
        <w:t xml:space="preserve"> 201</w:t>
      </w:r>
      <w:r w:rsidRPr="001717F0" w:rsidR="00B612FC">
        <w:rPr>
          <w:rFonts w:asciiTheme="minorHAnsi" w:hAnsiTheme="minorHAnsi"/>
          <w:sz w:val="20"/>
          <w:szCs w:val="20"/>
          <w:u w:val="single"/>
        </w:rPr>
        <w:t>9</w:t>
      </w:r>
      <w:r w:rsidRPr="001717F0">
        <w:rPr>
          <w:rFonts w:asciiTheme="minorHAnsi" w:hAnsiTheme="minorHAnsi"/>
          <w:sz w:val="20"/>
          <w:szCs w:val="20"/>
          <w:u w:val="single"/>
        </w:rPr>
        <w:t xml:space="preserve"> - d.d. </w:t>
      </w:r>
      <w:r w:rsidRPr="001717F0" w:rsidR="00B612FC">
        <w:rPr>
          <w:rFonts w:asciiTheme="minorHAnsi" w:hAnsiTheme="minorHAnsi"/>
          <w:sz w:val="20"/>
          <w:szCs w:val="20"/>
          <w:u w:val="single"/>
        </w:rPr>
        <w:t>6</w:t>
      </w:r>
      <w:r w:rsidRPr="001717F0">
        <w:rPr>
          <w:rFonts w:asciiTheme="minorHAnsi" w:hAnsiTheme="minorHAnsi"/>
          <w:sz w:val="20"/>
          <w:szCs w:val="20"/>
          <w:u w:val="single"/>
        </w:rPr>
        <w:t xml:space="preserve"> </w:t>
      </w:r>
      <w:r w:rsidRPr="001717F0" w:rsidR="00B612FC">
        <w:rPr>
          <w:rFonts w:asciiTheme="minorHAnsi" w:hAnsiTheme="minorHAnsi"/>
          <w:sz w:val="20"/>
          <w:szCs w:val="20"/>
          <w:u w:val="single"/>
        </w:rPr>
        <w:t>maart</w:t>
      </w:r>
      <w:r w:rsidRPr="001717F0">
        <w:rPr>
          <w:rFonts w:asciiTheme="minorHAnsi" w:hAnsiTheme="minorHAnsi"/>
          <w:sz w:val="20"/>
          <w:szCs w:val="20"/>
          <w:u w:val="single"/>
        </w:rPr>
        <w:t xml:space="preserve"> 201</w:t>
      </w:r>
      <w:r w:rsidRPr="001717F0" w:rsidR="00B612FC">
        <w:rPr>
          <w:rFonts w:asciiTheme="minorHAnsi" w:hAnsiTheme="minorHAnsi"/>
          <w:sz w:val="20"/>
          <w:szCs w:val="20"/>
          <w:u w:val="single"/>
        </w:rPr>
        <w:t>9</w:t>
      </w:r>
      <w:r w:rsidRPr="001717F0">
        <w:rPr>
          <w:rFonts w:asciiTheme="minorHAnsi" w:hAnsiTheme="minorHAnsi"/>
          <w:sz w:val="20"/>
          <w:szCs w:val="20"/>
          <w:u w:val="single"/>
        </w:rPr>
        <w:t xml:space="preserve">. </w:t>
      </w:r>
    </w:p>
    <w:p w:rsidRPr="00221383" w:rsidR="00C00215" w:rsidP="00C00215" w:rsidRDefault="00C00215">
      <w:pPr>
        <w:rPr>
          <w:rFonts w:asciiTheme="minorHAnsi" w:hAnsiTheme="minorHAnsi"/>
          <w:sz w:val="20"/>
          <w:szCs w:val="20"/>
        </w:rPr>
      </w:pPr>
    </w:p>
    <w:tbl>
      <w:tblPr>
        <w:tblW w:w="1447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149"/>
        <w:gridCol w:w="567"/>
        <w:gridCol w:w="1418"/>
        <w:gridCol w:w="5103"/>
        <w:gridCol w:w="1134"/>
        <w:gridCol w:w="709"/>
        <w:gridCol w:w="4394"/>
      </w:tblGrid>
      <w:tr w:rsidRPr="00221383" w:rsidR="00C00215" w:rsidTr="00014FF3">
        <w:trPr>
          <w:trHeight w:val="1550"/>
        </w:trPr>
        <w:tc>
          <w:tcPr>
            <w:tcW w:w="1149"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Publicatie-</w:t>
            </w:r>
          </w:p>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datum</w:t>
            </w:r>
          </w:p>
        </w:tc>
        <w:tc>
          <w:tcPr>
            <w:tcW w:w="567"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Voortouw</w:t>
            </w:r>
          </w:p>
        </w:tc>
        <w:tc>
          <w:tcPr>
            <w:tcW w:w="1418"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Soort</w:t>
            </w:r>
          </w:p>
        </w:tc>
        <w:tc>
          <w:tcPr>
            <w:tcW w:w="5103"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Titel</w:t>
            </w:r>
          </w:p>
        </w:tc>
        <w:tc>
          <w:tcPr>
            <w:tcW w:w="1134" w:type="dxa"/>
            <w:shd w:val="clear" w:color="auto" w:fill="auto"/>
            <w:textDirection w:val="btLr"/>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COM-nummer</w:t>
            </w:r>
          </w:p>
        </w:tc>
        <w:tc>
          <w:tcPr>
            <w:tcW w:w="709" w:type="dxa"/>
            <w:textDirection w:val="btLr"/>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Deadline</w:t>
            </w:r>
          </w:p>
          <w:p w:rsidRPr="00221383" w:rsidR="00C00215" w:rsidP="00014FF3" w:rsidRDefault="00C00215">
            <w:pPr>
              <w:rPr>
                <w:rFonts w:asciiTheme="minorHAnsi" w:hAnsiTheme="minorHAnsi"/>
                <w:b/>
                <w:bCs/>
                <w:color w:val="000000"/>
                <w:sz w:val="20"/>
                <w:szCs w:val="20"/>
              </w:rPr>
            </w:pPr>
            <w:proofErr w:type="spellStart"/>
            <w:r w:rsidRPr="00221383">
              <w:rPr>
                <w:rFonts w:asciiTheme="minorHAnsi" w:hAnsiTheme="minorHAnsi"/>
                <w:b/>
                <w:bCs/>
                <w:color w:val="000000"/>
                <w:sz w:val="20"/>
                <w:szCs w:val="20"/>
              </w:rPr>
              <w:t>Sub.toets</w:t>
            </w:r>
            <w:proofErr w:type="spellEnd"/>
          </w:p>
        </w:tc>
        <w:tc>
          <w:tcPr>
            <w:tcW w:w="4394" w:type="dxa"/>
            <w:shd w:val="clear" w:color="auto" w:fill="auto"/>
            <w:textDirection w:val="btLr"/>
            <w:vAlign w:val="bottom"/>
            <w:hideMark/>
          </w:tcPr>
          <w:p w:rsidRPr="008505DB" w:rsidR="00C00215" w:rsidP="00014FF3" w:rsidRDefault="00C00215">
            <w:pPr>
              <w:rPr>
                <w:rFonts w:asciiTheme="minorHAnsi" w:hAnsiTheme="minorHAnsi"/>
                <w:b/>
                <w:bCs/>
                <w:color w:val="000000"/>
                <w:sz w:val="20"/>
                <w:szCs w:val="20"/>
              </w:rPr>
            </w:pPr>
            <w:r w:rsidRPr="008505DB">
              <w:rPr>
                <w:rFonts w:asciiTheme="minorHAnsi" w:hAnsiTheme="minorHAnsi"/>
                <w:b/>
                <w:bCs/>
                <w:color w:val="000000"/>
                <w:sz w:val="20"/>
                <w:szCs w:val="20"/>
              </w:rPr>
              <w:t>Opmerking</w:t>
            </w:r>
          </w:p>
        </w:tc>
      </w:tr>
      <w:tr w:rsidRPr="00221383" w:rsidR="00C00215" w:rsidTr="00014FF3">
        <w:trPr>
          <w:trHeight w:val="300"/>
        </w:trPr>
        <w:tc>
          <w:tcPr>
            <w:tcW w:w="1149"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67"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418"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5103"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1134" w:type="dxa"/>
            <w:tcBorders>
              <w:bottom w:val="single" w:color="auto" w:sz="4" w:space="0"/>
            </w:tcBorders>
            <w:shd w:val="clear" w:color="000000" w:fill="538DD5"/>
            <w:vAlign w:val="bottom"/>
            <w:hideMark/>
          </w:tcPr>
          <w:p w:rsidRPr="00221383" w:rsidR="00C00215" w:rsidP="00014FF3" w:rsidRDefault="00C00215">
            <w:pPr>
              <w:rPr>
                <w:rFonts w:asciiTheme="minorHAnsi" w:hAnsiTheme="minorHAnsi"/>
                <w:b/>
                <w:bCs/>
                <w:color w:val="000000"/>
                <w:sz w:val="20"/>
                <w:szCs w:val="20"/>
              </w:rPr>
            </w:pPr>
            <w:r w:rsidRPr="00221383">
              <w:rPr>
                <w:rFonts w:asciiTheme="minorHAnsi" w:hAnsiTheme="minorHAnsi"/>
                <w:b/>
                <w:bCs/>
                <w:color w:val="000000"/>
                <w:sz w:val="20"/>
                <w:szCs w:val="20"/>
              </w:rPr>
              <w:t> </w:t>
            </w:r>
          </w:p>
        </w:tc>
        <w:tc>
          <w:tcPr>
            <w:tcW w:w="709" w:type="dxa"/>
            <w:tcBorders>
              <w:bottom w:val="single" w:color="auto" w:sz="4" w:space="0"/>
            </w:tcBorders>
            <w:shd w:val="clear" w:color="000000" w:fill="538DD5"/>
          </w:tcPr>
          <w:p w:rsidRPr="00221383" w:rsidR="00C00215" w:rsidP="00014FF3" w:rsidRDefault="00C00215">
            <w:pPr>
              <w:rPr>
                <w:rFonts w:asciiTheme="minorHAnsi" w:hAnsiTheme="minorHAnsi"/>
                <w:b/>
                <w:bCs/>
                <w:color w:val="000000"/>
                <w:sz w:val="20"/>
                <w:szCs w:val="20"/>
              </w:rPr>
            </w:pPr>
          </w:p>
        </w:tc>
        <w:tc>
          <w:tcPr>
            <w:tcW w:w="4394" w:type="dxa"/>
            <w:tcBorders>
              <w:bottom w:val="single" w:color="auto" w:sz="4" w:space="0"/>
            </w:tcBorders>
            <w:shd w:val="clear" w:color="000000" w:fill="538DD5"/>
            <w:hideMark/>
          </w:tcPr>
          <w:p w:rsidRPr="008505DB" w:rsidR="00C00215" w:rsidP="00014FF3" w:rsidRDefault="00C00215">
            <w:pPr>
              <w:rPr>
                <w:rFonts w:asciiTheme="minorHAnsi" w:hAnsiTheme="minorHAnsi"/>
                <w:b/>
                <w:bCs/>
                <w:color w:val="000000"/>
                <w:sz w:val="20"/>
                <w:szCs w:val="20"/>
              </w:rPr>
            </w:pPr>
            <w:r w:rsidRPr="008505DB">
              <w:rPr>
                <w:rFonts w:asciiTheme="minorHAnsi" w:hAnsiTheme="minorHAnsi"/>
                <w:b/>
                <w:bCs/>
                <w:color w:val="000000"/>
                <w:sz w:val="20"/>
                <w:szCs w:val="20"/>
              </w:rPr>
              <w:t> </w:t>
            </w:r>
          </w:p>
        </w:tc>
      </w:tr>
      <w:tr w:rsidRPr="00221383" w:rsidR="00C00215" w:rsidTr="00014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16"/>
        </w:trPr>
        <w:tc>
          <w:tcPr>
            <w:tcW w:w="1149"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557DE1" w:rsidP="00557DE1" w:rsidRDefault="00557DE1">
            <w:pPr>
              <w:rPr>
                <w:rFonts w:ascii="Calibri" w:hAnsi="Calibri"/>
                <w:sz w:val="22"/>
                <w:szCs w:val="22"/>
                <w:lang w:eastAsia="en-US"/>
              </w:rPr>
            </w:pPr>
            <w:r>
              <w:rPr>
                <w:color w:val="000000"/>
                <w:sz w:val="20"/>
                <w:szCs w:val="20"/>
              </w:rPr>
              <w:t>10-jan-19</w:t>
            </w:r>
          </w:p>
          <w:p w:rsidR="00C00215" w:rsidP="00014FF3" w:rsidRDefault="00C00215">
            <w:pPr>
              <w:rPr>
                <w:rFonts w:ascii="Calibri" w:hAnsi="Calibri"/>
                <w:color w:val="000000"/>
                <w:sz w:val="22"/>
                <w:szCs w:val="22"/>
              </w:rPr>
            </w:pPr>
          </w:p>
        </w:tc>
        <w:tc>
          <w:tcPr>
            <w:tcW w:w="567" w:type="dxa"/>
            <w:tcBorders>
              <w:top w:val="single" w:color="auto" w:sz="4" w:space="0"/>
              <w:left w:val="single" w:color="auto" w:sz="4" w:space="0"/>
              <w:bottom w:val="single" w:color="auto" w:sz="4" w:space="0"/>
              <w:right w:val="single" w:color="auto" w:sz="4" w:space="0"/>
            </w:tcBorders>
            <w:shd w:val="clear" w:color="auto" w:fill="FFFFFF" w:themeFill="background1"/>
          </w:tcPr>
          <w:p w:rsidR="00C00215" w:rsidP="00014FF3" w:rsidRDefault="00557DE1">
            <w:pPr>
              <w:rPr>
                <w:rFonts w:ascii="Calibri" w:hAnsi="Calibri"/>
                <w:color w:val="000000"/>
                <w:sz w:val="22"/>
                <w:szCs w:val="22"/>
              </w:rPr>
            </w:pPr>
            <w:r>
              <w:rPr>
                <w:rFonts w:ascii="Calibri" w:hAnsi="Calibri"/>
                <w:color w:val="000000"/>
                <w:sz w:val="22"/>
                <w:szCs w:val="22"/>
              </w:rPr>
              <w:t>VWS</w:t>
            </w:r>
          </w:p>
        </w:tc>
        <w:tc>
          <w:tcPr>
            <w:tcW w:w="1418" w:type="dxa"/>
            <w:tcBorders>
              <w:top w:val="single" w:color="auto" w:sz="4" w:space="0"/>
              <w:left w:val="nil"/>
              <w:bottom w:val="single" w:color="auto" w:sz="4" w:space="0"/>
              <w:right w:val="single" w:color="auto" w:sz="4" w:space="0"/>
            </w:tcBorders>
            <w:shd w:val="clear" w:color="auto" w:fill="FFFFFF" w:themeFill="background1"/>
            <w:noWrap/>
          </w:tcPr>
          <w:p w:rsidR="00C00215" w:rsidP="00014FF3" w:rsidRDefault="00557DE1">
            <w:pPr>
              <w:rPr>
                <w:rFonts w:ascii="Calibri" w:hAnsi="Calibri"/>
                <w:color w:val="000000"/>
                <w:sz w:val="22"/>
                <w:szCs w:val="22"/>
              </w:rPr>
            </w:pPr>
            <w:r>
              <w:rPr>
                <w:rFonts w:ascii="Calibri" w:hAnsi="Calibri"/>
                <w:color w:val="000000"/>
                <w:sz w:val="22"/>
                <w:szCs w:val="22"/>
              </w:rPr>
              <w:t>Raadpleging</w:t>
            </w:r>
          </w:p>
        </w:tc>
        <w:tc>
          <w:tcPr>
            <w:tcW w:w="5103" w:type="dxa"/>
            <w:tcBorders>
              <w:top w:val="single" w:color="auto" w:sz="4" w:space="0"/>
              <w:left w:val="nil"/>
              <w:bottom w:val="single" w:color="auto" w:sz="4" w:space="0"/>
              <w:right w:val="nil"/>
            </w:tcBorders>
            <w:shd w:val="clear" w:color="auto" w:fill="FFFFFF" w:themeFill="background1"/>
            <w:noWrap/>
          </w:tcPr>
          <w:p w:rsidR="00C00215" w:rsidP="00014FF3" w:rsidRDefault="00557DE1">
            <w:pPr>
              <w:rPr>
                <w:rFonts w:asciiTheme="minorHAnsi" w:hAnsiTheme="minorHAnsi"/>
                <w:color w:val="000000"/>
                <w:sz w:val="20"/>
                <w:szCs w:val="20"/>
              </w:rPr>
            </w:pPr>
            <w:r>
              <w:rPr>
                <w:color w:val="000000"/>
                <w:sz w:val="20"/>
                <w:szCs w:val="20"/>
                <w:lang w:val="en-GB"/>
              </w:rPr>
              <w:t>Evaluation of the Low Voltage Directive 2014/35/EU</w:t>
            </w:r>
          </w:p>
        </w:tc>
        <w:tc>
          <w:tcPr>
            <w:tcW w:w="1134" w:type="dxa"/>
            <w:tcBorders>
              <w:top w:val="single" w:color="auto" w:sz="4" w:space="0"/>
              <w:left w:val="single" w:color="auto" w:sz="4" w:space="0"/>
              <w:bottom w:val="single" w:color="auto" w:sz="4" w:space="0"/>
              <w:right w:val="single" w:color="auto" w:sz="4" w:space="0"/>
            </w:tcBorders>
            <w:shd w:val="clear" w:color="auto" w:fill="FFFFFF" w:themeFill="background1"/>
            <w:noWrap/>
          </w:tcPr>
          <w:p w:rsidR="00C00215" w:rsidP="00014FF3" w:rsidRDefault="002C6CCE">
            <w:pPr>
              <w:rPr>
                <w:rFonts w:ascii="Calibri" w:hAnsi="Calibri"/>
                <w:color w:val="0000FF"/>
                <w:sz w:val="22"/>
                <w:szCs w:val="22"/>
                <w:u w:val="single"/>
              </w:rPr>
            </w:pPr>
            <w:hyperlink w:history="1" r:id="rId8">
              <w:r w:rsidR="00557DE1">
                <w:rPr>
                  <w:rStyle w:val="Hyperlink"/>
                  <w:sz w:val="20"/>
                  <w:szCs w:val="20"/>
                </w:rPr>
                <w:t>OR</w:t>
              </w:r>
            </w:hyperlink>
          </w:p>
        </w:tc>
        <w:tc>
          <w:tcPr>
            <w:tcW w:w="709" w:type="dxa"/>
            <w:tcBorders>
              <w:top w:val="single" w:color="auto" w:sz="4" w:space="0"/>
              <w:left w:val="nil"/>
              <w:bottom w:val="single" w:color="auto" w:sz="4" w:space="0"/>
              <w:right w:val="single" w:color="auto" w:sz="4" w:space="0"/>
            </w:tcBorders>
            <w:shd w:val="clear" w:color="auto" w:fill="FFFFFF" w:themeFill="background1"/>
            <w:noWrap/>
          </w:tcPr>
          <w:p w:rsidRPr="00221383" w:rsidR="00C00215" w:rsidP="00014FF3" w:rsidRDefault="00C00215">
            <w:pPr>
              <w:rPr>
                <w:rFonts w:cs="Arial" w:asciiTheme="minorHAnsi" w:hAnsiTheme="minorHAnsi"/>
                <w:sz w:val="20"/>
                <w:szCs w:val="20"/>
              </w:rPr>
            </w:pPr>
          </w:p>
        </w:tc>
        <w:tc>
          <w:tcPr>
            <w:tcW w:w="4394" w:type="dxa"/>
            <w:tcBorders>
              <w:top w:val="single" w:color="auto" w:sz="4" w:space="0"/>
              <w:left w:val="nil"/>
              <w:bottom w:val="single" w:color="auto" w:sz="4" w:space="0"/>
              <w:right w:val="single" w:color="auto" w:sz="4" w:space="0"/>
            </w:tcBorders>
            <w:shd w:val="clear" w:color="auto" w:fill="FFFFFF" w:themeFill="background1"/>
          </w:tcPr>
          <w:p w:rsidR="00C00215" w:rsidP="00014FF3" w:rsidRDefault="003D49A3">
            <w:pPr>
              <w:pBdr>
                <w:top w:val="nil"/>
                <w:left w:val="nil"/>
                <w:bottom w:val="nil"/>
                <w:right w:val="nil"/>
                <w:between w:val="nil"/>
                <w:bar w:val="nil"/>
              </w:pBdr>
              <w:spacing w:after="240"/>
              <w:rPr>
                <w:rFonts w:eastAsia="Arial Unicode MS" w:asciiTheme="minorHAnsi" w:hAnsiTheme="minorHAnsi"/>
                <w:noProof/>
                <w:sz w:val="20"/>
                <w:szCs w:val="20"/>
              </w:rPr>
            </w:pPr>
            <w:r>
              <w:rPr>
                <w:rFonts w:eastAsia="Arial Unicode MS" w:asciiTheme="minorHAnsi" w:hAnsiTheme="minorHAnsi"/>
                <w:noProof/>
                <w:sz w:val="20"/>
                <w:szCs w:val="20"/>
              </w:rPr>
              <w:t>Deze openbare raadpleging gaat over de evualtie van de Low Voltage Richtlijn (2014/35/EU). De Europese Commissie haalt feedback op bij de sector voordat zij haar voorstellen doet ter herziening van de richtlijn.</w:t>
            </w:r>
            <w:r w:rsidR="008F4194">
              <w:rPr>
                <w:rFonts w:eastAsia="Arial Unicode MS" w:asciiTheme="minorHAnsi" w:hAnsiTheme="minorHAnsi"/>
                <w:noProof/>
                <w:sz w:val="20"/>
                <w:szCs w:val="20"/>
              </w:rPr>
              <w:t xml:space="preserve"> Het voorstel ziet de werking en veiligheid van elektrische apparaten met een bepaald voltage. Met name medische apparatuur  maken gebruik van deze bandbreedte van voltage.</w:t>
            </w:r>
          </w:p>
          <w:p w:rsidR="003D49A3" w:rsidP="00014FF3" w:rsidRDefault="003D49A3">
            <w:pPr>
              <w:pBdr>
                <w:top w:val="nil"/>
                <w:left w:val="nil"/>
                <w:bottom w:val="nil"/>
                <w:right w:val="nil"/>
                <w:between w:val="nil"/>
                <w:bar w:val="nil"/>
              </w:pBdr>
              <w:spacing w:after="240"/>
              <w:rPr>
                <w:rFonts w:eastAsia="Arial Unicode MS" w:asciiTheme="minorHAnsi" w:hAnsiTheme="minorHAnsi"/>
                <w:noProof/>
                <w:sz w:val="20"/>
                <w:szCs w:val="20"/>
              </w:rPr>
            </w:pPr>
            <w:r w:rsidRPr="003D49A3">
              <w:rPr>
                <w:rFonts w:eastAsia="Arial Unicode MS" w:asciiTheme="minorHAnsi" w:hAnsiTheme="minorHAnsi"/>
                <w:b/>
                <w:noProof/>
                <w:sz w:val="20"/>
                <w:szCs w:val="20"/>
              </w:rPr>
              <w:t>Behandelvoorstel</w:t>
            </w:r>
            <w:r>
              <w:rPr>
                <w:rFonts w:eastAsia="Arial Unicode MS" w:asciiTheme="minorHAnsi" w:hAnsiTheme="minorHAnsi"/>
                <w:noProof/>
                <w:sz w:val="20"/>
                <w:szCs w:val="20"/>
              </w:rPr>
              <w:t xml:space="preserve">: Afschrift van het ministerie afwachten. Het ministerie van VWS heeft aangegeven een reactie te sturen op de raadpleging. </w:t>
            </w:r>
          </w:p>
        </w:tc>
      </w:tr>
    </w:tbl>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BA14FC" w:rsidR="00C00215" w:rsidP="00C00215" w:rsidRDefault="00C00215">
      <w:pPr>
        <w:spacing w:after="200" w:line="276" w:lineRule="auto"/>
        <w:rPr>
          <w:rFonts w:asciiTheme="minorHAnsi" w:hAnsiTheme="minorHAnsi"/>
          <w:b/>
          <w:sz w:val="22"/>
          <w:szCs w:val="22"/>
        </w:rPr>
      </w:pPr>
    </w:p>
    <w:p w:rsidRPr="00221383" w:rsidR="00C00215" w:rsidP="00C00215" w:rsidRDefault="00C00215">
      <w:pPr>
        <w:spacing w:after="200" w:line="276" w:lineRule="auto"/>
        <w:rPr>
          <w:rFonts w:asciiTheme="minorHAnsi" w:hAnsiTheme="minorHAnsi"/>
          <w:b/>
          <w:sz w:val="22"/>
          <w:szCs w:val="22"/>
        </w:rPr>
      </w:pPr>
      <w:r w:rsidRPr="00221383">
        <w:rPr>
          <w:rFonts w:asciiTheme="minorHAnsi" w:hAnsiTheme="minorHAnsi"/>
          <w:b/>
          <w:sz w:val="22"/>
          <w:szCs w:val="22"/>
        </w:rPr>
        <w:lastRenderedPageBreak/>
        <w:t>Bijlage: behandelmogelijkheden EU-voorstellen</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221383" w:rsidR="00C00215" w:rsidP="00C00215" w:rsidRDefault="00C00215">
      <w:pPr>
        <w:rPr>
          <w:rFonts w:asciiTheme="minorHAnsi" w:hAnsiTheme="minorHAnsi"/>
          <w:sz w:val="20"/>
          <w:szCs w:val="20"/>
        </w:rPr>
      </w:pPr>
      <w:r w:rsidRPr="00221383">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221383" w:rsidR="00C00215" w:rsidP="00C00215" w:rsidRDefault="00C00215">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221383" w:rsidR="00C00215" w:rsidTr="00014FF3">
        <w:tc>
          <w:tcPr>
            <w:tcW w:w="2093" w:type="dxa"/>
          </w:tcPr>
          <w:p w:rsidRPr="00221383" w:rsidR="00C00215" w:rsidP="00014FF3" w:rsidRDefault="00C00215">
            <w:pPr>
              <w:pStyle w:val="Voetnoottekst"/>
              <w:rPr>
                <w:rFonts w:asciiTheme="minorHAnsi" w:hAnsiTheme="minorHAnsi"/>
                <w:b/>
              </w:rPr>
            </w:pPr>
            <w:r w:rsidRPr="00221383">
              <w:rPr>
                <w:rFonts w:asciiTheme="minorHAnsi" w:hAnsiTheme="minorHAnsi"/>
                <w:b/>
              </w:rPr>
              <w:t>Soort Instrument</w:t>
            </w:r>
          </w:p>
        </w:tc>
        <w:tc>
          <w:tcPr>
            <w:tcW w:w="6946" w:type="dxa"/>
          </w:tcPr>
          <w:p w:rsidRPr="00221383" w:rsidR="00C00215" w:rsidP="00014FF3" w:rsidRDefault="00C00215">
            <w:pPr>
              <w:pStyle w:val="Voetnoottekst"/>
              <w:rPr>
                <w:rFonts w:asciiTheme="minorHAnsi" w:hAnsiTheme="minorHAnsi"/>
                <w:b/>
              </w:rPr>
            </w:pPr>
            <w:r w:rsidRPr="00221383">
              <w:rPr>
                <w:rFonts w:asciiTheme="minorHAnsi" w:hAnsiTheme="minorHAnsi"/>
                <w:b/>
              </w:rPr>
              <w:t>Toelichting</w:t>
            </w:r>
          </w:p>
        </w:tc>
        <w:tc>
          <w:tcPr>
            <w:tcW w:w="5103" w:type="dxa"/>
          </w:tcPr>
          <w:p w:rsidRPr="00221383" w:rsidR="00C00215" w:rsidP="00014FF3" w:rsidRDefault="00C00215">
            <w:pPr>
              <w:pStyle w:val="Voetnoottekst"/>
              <w:rPr>
                <w:rFonts w:asciiTheme="minorHAnsi" w:hAnsiTheme="minorHAnsi"/>
                <w:b/>
              </w:rPr>
            </w:pPr>
            <w:r w:rsidRPr="00221383">
              <w:rPr>
                <w:rFonts w:asciiTheme="minorHAnsi" w:hAnsiTheme="minorHAnsi"/>
                <w:b/>
              </w:rPr>
              <w:t xml:space="preserve">Mogelijke beïnvloedingsmomenten </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p>
          <w:p w:rsidRPr="00221383" w:rsidR="00C00215" w:rsidP="00014FF3" w:rsidRDefault="00C00215">
            <w:pPr>
              <w:pStyle w:val="Voetnoottekst"/>
              <w:rPr>
                <w:rFonts w:asciiTheme="minorHAnsi" w:hAnsiTheme="minorHAnsi"/>
                <w:i/>
              </w:rPr>
            </w:pPr>
            <w:r w:rsidRPr="00221383">
              <w:rPr>
                <w:rFonts w:asciiTheme="minorHAnsi" w:hAnsiTheme="minorHAnsi"/>
                <w:i/>
              </w:rPr>
              <w:t>Wetgevende, bindende rechtshandelingen</w:t>
            </w:r>
            <w:r w:rsidRPr="00221383">
              <w:rPr>
                <w:rStyle w:val="Voetnootmarkering"/>
                <w:rFonts w:asciiTheme="minorHAnsi" w:hAnsiTheme="minorHAnsi"/>
                <w:i/>
              </w:rPr>
              <w:footnoteReference w:id="1"/>
            </w:r>
            <w:r w:rsidRPr="00221383">
              <w:rPr>
                <w:rFonts w:asciiTheme="minorHAnsi" w:hAnsiTheme="minorHAnsi"/>
                <w:i/>
              </w:rPr>
              <w:t xml:space="preserve">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Verordening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subsidiariteitstoets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behandelvoorbehoud overwegen: let op termijn (zie hieronder).</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ad-hoc rapporteur(s) binnen de commissie(s) benoemen.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tijdens overleg met kabinet NL onderhandelingsinzet aan de orde stellen, evt. aan de hand van het “BNC-fiche”.</w:t>
            </w:r>
            <w:r w:rsidRPr="00221383">
              <w:rPr>
                <w:rStyle w:val="Voetnootmarkering"/>
                <w:rFonts w:asciiTheme="minorHAnsi" w:hAnsiTheme="minorHAnsi"/>
              </w:rPr>
              <w:footnoteReference w:id="2"/>
            </w:r>
            <w:r w:rsidRPr="00221383">
              <w:rPr>
                <w:rFonts w:asciiTheme="minorHAnsi" w:hAnsiTheme="minorHAnsi"/>
              </w:rPr>
              <w:t xml:space="preserve"> </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EP-rapporteur uitnodigen, evt. via videoconferentie.</w:t>
            </w:r>
            <w:r w:rsidRPr="00221383">
              <w:rPr>
                <w:rFonts w:asciiTheme="minorHAnsi" w:hAnsiTheme="minorHAnsi"/>
              </w:rPr>
              <w:br/>
            </w:r>
            <w:r w:rsidRPr="00221383">
              <w:rPr>
                <w:rFonts w:asciiTheme="minorHAnsi" w:hAnsiTheme="minorHAnsi"/>
              </w:rPr>
              <w:br/>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NB: Pas na afronding van het onderhandelingstraject: nationale wetgevingstraject monitoren (</w:t>
            </w:r>
            <w:proofErr w:type="spellStart"/>
            <w:r w:rsidRPr="00221383">
              <w:rPr>
                <w:rFonts w:asciiTheme="minorHAnsi" w:hAnsiTheme="minorHAnsi"/>
              </w:rPr>
              <w:t>i.h.k.v</w:t>
            </w:r>
            <w:proofErr w:type="spellEnd"/>
            <w:r w:rsidRPr="00221383">
              <w:rPr>
                <w:rFonts w:asciiTheme="minorHAnsi" w:hAnsiTheme="minorHAnsi"/>
              </w:rPr>
              <w:t>. omzetting naar nationale wetgeving).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Richtlijn </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(Besluit)</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Een besluit is verbindend in al zijn onderdelen. Indien de adressanten worden </w:t>
            </w:r>
            <w:r w:rsidRPr="00221383">
              <w:rPr>
                <w:rFonts w:asciiTheme="minorHAnsi" w:hAnsiTheme="minorHAnsi"/>
              </w:rPr>
              <w:lastRenderedPageBreak/>
              <w:t xml:space="preserve">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221383">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221383" w:rsidR="00C00215" w:rsidP="00014FF3" w:rsidRDefault="00C00215">
            <w:pPr>
              <w:pStyle w:val="Voetnoottekst"/>
              <w:numPr>
                <w:ilvl w:val="0"/>
                <w:numId w:val="2"/>
              </w:numPr>
              <w:ind w:left="317" w:hanging="283"/>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lastRenderedPageBreak/>
              <w:t>Niet-wetgevende bindende rechtshandelingen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Gedelegeerde handeling</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221383" w:rsidR="00C00215" w:rsidP="00014FF3" w:rsidRDefault="00C00215">
            <w:pPr>
              <w:pStyle w:val="Voetnoottekst"/>
              <w:ind w:left="360"/>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proofErr w:type="spellStart"/>
            <w:r w:rsidRPr="00221383">
              <w:rPr>
                <w:rFonts w:asciiTheme="minorHAnsi" w:hAnsiTheme="minorHAnsi"/>
              </w:rPr>
              <w:t>Uitvoerings-handeling</w:t>
            </w:r>
            <w:proofErr w:type="spellEnd"/>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algemeen overleg/debat bevragen over stand van zaken en appreciatie EU onderhandelingen en NL inzet.</w:t>
            </w:r>
          </w:p>
          <w:p w:rsidRPr="00221383" w:rsidR="00C00215" w:rsidP="00014FF3" w:rsidRDefault="00C00215">
            <w:pPr>
              <w:numPr>
                <w:ilvl w:val="0"/>
                <w:numId w:val="1"/>
              </w:numPr>
              <w:rPr>
                <w:rFonts w:asciiTheme="minorHAnsi" w:hAnsiTheme="minorHAnsi"/>
                <w:sz w:val="20"/>
                <w:szCs w:val="20"/>
              </w:rPr>
            </w:pPr>
            <w:r w:rsidRPr="00221383">
              <w:rPr>
                <w:rFonts w:asciiTheme="minorHAnsi" w:hAnsiTheme="minorHAnsi"/>
                <w:color w:val="000000"/>
                <w:sz w:val="20"/>
                <w:szCs w:val="20"/>
              </w:rPr>
              <w:t xml:space="preserve">op basis van </w:t>
            </w:r>
            <w:r w:rsidRPr="00221383">
              <w:rPr>
                <w:rFonts w:asciiTheme="minorHAnsi" w:hAnsiTheme="minorHAnsi"/>
                <w:sz w:val="20"/>
                <w:szCs w:val="20"/>
              </w:rPr>
              <w:t xml:space="preserve">de </w:t>
            </w:r>
            <w:hyperlink w:history="1" r:id="rId9">
              <w:r w:rsidRPr="00221383">
                <w:rPr>
                  <w:rFonts w:asciiTheme="minorHAnsi" w:hAnsiTheme="minorHAnsi"/>
                  <w:sz w:val="20"/>
                  <w:szCs w:val="20"/>
                  <w:u w:val="single"/>
                </w:rPr>
                <w:t>(gewijzigde) motie Van Gent</w:t>
              </w:r>
            </w:hyperlink>
            <w:r w:rsidRPr="00221383">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Handelingen vastgesteld volgens de regelgevingsprocedure met toetsing</w:t>
            </w:r>
          </w:p>
        </w:tc>
        <w:tc>
          <w:tcPr>
            <w:tcW w:w="6946" w:type="dxa"/>
          </w:tcPr>
          <w:p w:rsidRPr="00221383" w:rsidR="00C00215" w:rsidP="00014FF3" w:rsidRDefault="00C00215">
            <w:pPr>
              <w:rPr>
                <w:rFonts w:asciiTheme="minorHAnsi" w:hAnsiTheme="minorHAnsi"/>
                <w:sz w:val="20"/>
                <w:szCs w:val="20"/>
              </w:rPr>
            </w:pPr>
            <w:r w:rsidRPr="00221383">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221383" w:rsidR="00C00215" w:rsidP="00014FF3" w:rsidRDefault="00C00215">
            <w:pPr>
              <w:pStyle w:val="Voetnoottekst"/>
              <w:numPr>
                <w:ilvl w:val="0"/>
                <w:numId w:val="1"/>
              </w:numPr>
              <w:rPr>
                <w:rFonts w:asciiTheme="minorHAnsi" w:hAnsiTheme="minorHAnsi"/>
              </w:rPr>
            </w:pP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Bijzondere rechtshandelingen</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221383" w:rsidR="00C00215" w:rsidP="00014FF3" w:rsidRDefault="00C00215">
            <w:pPr>
              <w:pStyle w:val="Voetnoottekst"/>
              <w:rPr>
                <w:rFonts w:asciiTheme="minorHAnsi" w:hAnsiTheme="minorHAnsi"/>
              </w:rPr>
            </w:pP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vragen, bespreken.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ambtenaren of Commissaris van Europese Commissie (de ‘auteurs’) uitnodigen voor briefing/gesprek, evt. via videoconferentie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indien het Europees Parlement een rapporteur heeft aangesteld kan deze desgewenst worden uitgenodigd voor een gesprek.</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uw commissie kan op dit onderwerp een ad-hoc rapporteur benoemen</w:t>
            </w:r>
          </w:p>
          <w:p w:rsidRPr="00221383" w:rsidR="00C00215" w:rsidP="00014FF3" w:rsidRDefault="00C00215">
            <w:pPr>
              <w:pStyle w:val="Voetnoottekst"/>
              <w:ind w:left="360"/>
              <w:rPr>
                <w:rFonts w:asciiTheme="minorHAnsi" w:hAnsiTheme="minorHAnsi"/>
              </w:rPr>
            </w:pPr>
            <w:r w:rsidRPr="00221383">
              <w:rPr>
                <w:rFonts w:asciiTheme="minorHAnsi" w:hAnsiTheme="minorHAnsi"/>
              </w:rPr>
              <w:t>nationale wetgevingstraject (</w:t>
            </w:r>
            <w:proofErr w:type="spellStart"/>
            <w:r w:rsidRPr="00221383">
              <w:rPr>
                <w:rFonts w:asciiTheme="minorHAnsi" w:hAnsiTheme="minorHAnsi"/>
              </w:rPr>
              <w:t>i.h.k.v</w:t>
            </w:r>
            <w:proofErr w:type="spellEnd"/>
            <w:r w:rsidRPr="00221383">
              <w:rPr>
                <w:rFonts w:asciiTheme="minorHAnsi" w:hAnsiTheme="minorHAnsi"/>
              </w:rPr>
              <w:t>. omzetting van richtlijn naar nationale wetgeving).</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Niet-bindende handelingen (soft-</w:t>
            </w:r>
            <w:proofErr w:type="spellStart"/>
            <w:r w:rsidRPr="00221383">
              <w:rPr>
                <w:rFonts w:asciiTheme="minorHAnsi" w:hAnsiTheme="minorHAnsi"/>
                <w:i/>
              </w:rPr>
              <w:t>law</w:t>
            </w:r>
            <w:proofErr w:type="spellEnd"/>
            <w:r w:rsidRPr="00221383">
              <w:rPr>
                <w:rFonts w:asciiTheme="minorHAnsi" w:hAnsiTheme="minorHAnsi"/>
                <w:i/>
              </w:rPr>
              <w: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Advies, aanbeveling, mededeling</w:t>
            </w: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p w:rsidRPr="00221383" w:rsidR="00C00215" w:rsidP="00014FF3" w:rsidRDefault="00C00215">
            <w:pPr>
              <w:jc w:val="right"/>
              <w:rPr>
                <w:rFonts w:asciiTheme="minorHAnsi" w:hAnsiTheme="minorHAnsi"/>
                <w:sz w:val="20"/>
                <w:szCs w:val="20"/>
              </w:rPr>
            </w:pP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De EU kent een grote hoeveelheid uiteenlopende typen beleid (‘soft </w:t>
            </w:r>
            <w:proofErr w:type="spellStart"/>
            <w:r w:rsidRPr="00221383">
              <w:rPr>
                <w:rFonts w:asciiTheme="minorHAnsi" w:hAnsiTheme="minorHAnsi"/>
              </w:rPr>
              <w:t>law</w:t>
            </w:r>
            <w:proofErr w:type="spellEnd"/>
            <w:r w:rsidRPr="00221383">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221383">
              <w:rPr>
                <w:rFonts w:asciiTheme="minorHAnsi" w:hAnsiTheme="minorHAnsi"/>
              </w:rPr>
              <w:t>law</w:t>
            </w:r>
            <w:proofErr w:type="spellEnd"/>
            <w:r w:rsidRPr="00221383">
              <w:rPr>
                <w:rFonts w:asciiTheme="minorHAnsi" w:hAnsiTheme="minorHAnsi"/>
              </w:rPr>
              <w:t xml:space="preserve">.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 xml:space="preserve">Overige handelingen en instrumenten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Routekaart, actieplannen, strategie, agenda </w:t>
            </w:r>
          </w:p>
        </w:tc>
        <w:tc>
          <w:tcPr>
            <w:tcW w:w="6946" w:type="dxa"/>
          </w:tcPr>
          <w:p w:rsidRPr="00221383" w:rsidR="00C00215" w:rsidP="00014FF3" w:rsidRDefault="00C00215">
            <w:pPr>
              <w:pStyle w:val="Voetnoottekst"/>
              <w:rPr>
                <w:rFonts w:asciiTheme="minorHAnsi" w:hAnsiTheme="minorHAnsi"/>
              </w:rPr>
            </w:pPr>
            <w:r w:rsidRPr="00221383">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221383">
              <w:rPr>
                <w:rStyle w:val="Zwaar"/>
                <w:rFonts w:cs="Arial" w:asciiTheme="minorHAnsi" w:hAnsiTheme="minorHAnsi"/>
                <w:b w:val="0"/>
              </w:rPr>
              <w:t>voor nieuwe initiatieven</w:t>
            </w:r>
            <w:r w:rsidRPr="00221383">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221383">
              <w:rPr>
                <w:rStyle w:val="Zwaar"/>
                <w:rFonts w:cs="Arial" w:asciiTheme="minorHAnsi" w:hAnsiTheme="minorHAnsi"/>
              </w:rPr>
              <w:t xml:space="preserve"> </w:t>
            </w:r>
            <w:r w:rsidRPr="00221383">
              <w:rPr>
                <w:rStyle w:val="Zwaar"/>
                <w:rFonts w:cs="Arial" w:asciiTheme="minorHAnsi" w:hAnsiTheme="minorHAnsi"/>
                <w:b w:val="0"/>
              </w:rPr>
              <w:t>voor evaluaties en geschiktheidscontroles</w:t>
            </w:r>
            <w:r w:rsidRPr="00221383">
              <w:rPr>
                <w:rFonts w:cs="Arial" w:asciiTheme="minorHAnsi" w:hAnsiTheme="minorHAnsi"/>
              </w:rPr>
              <w:t xml:space="preserve"> wordt bepaald wat er geëvalueerd moet worden en welke aspecten moeten worden onderzocht.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om appreciatie in de vorm van BNC-fiche verzoeken aangezien over deze categorie niet standaard een fiche wordt gemaakt</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en/of kabinet vragen om NL inzet (per commissiebrief of tijdens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Groen- en witboek</w:t>
            </w:r>
          </w:p>
        </w:tc>
        <w:tc>
          <w:tcPr>
            <w:tcW w:w="6946"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Groenboek: een discussiestuk, waarmee de Europese Commissie de stand van </w:t>
            </w:r>
            <w:r w:rsidRPr="00221383">
              <w:rPr>
                <w:rFonts w:asciiTheme="minorHAnsi" w:hAnsiTheme="minorHAnsi"/>
              </w:rPr>
              <w:lastRenderedPageBreak/>
              <w:t xml:space="preserve">zaken inventariseert omtrent een onderwerp. Ook doet ze aanbevelingen voor nieuw beleid. </w:t>
            </w:r>
          </w:p>
          <w:p w:rsidRPr="00221383" w:rsidR="00C00215" w:rsidP="00014FF3" w:rsidRDefault="00C00215">
            <w:pPr>
              <w:pStyle w:val="Voetnoottekst"/>
              <w:rPr>
                <w:rFonts w:asciiTheme="minorHAnsi" w:hAnsiTheme="minorHAnsi"/>
              </w:rPr>
            </w:pPr>
          </w:p>
          <w:p w:rsidRPr="00221383" w:rsidR="00C00215" w:rsidP="00014FF3" w:rsidRDefault="00C00215">
            <w:pPr>
              <w:pStyle w:val="Voetnoottekst"/>
              <w:rPr>
                <w:rFonts w:asciiTheme="minorHAnsi" w:hAnsiTheme="minorHAnsi"/>
              </w:rPr>
            </w:pPr>
            <w:r w:rsidRPr="00221383">
              <w:rPr>
                <w:rFonts w:asciiTheme="minorHAnsi" w:hAnsiTheme="minorHAnsi"/>
              </w:rPr>
              <w:t>Witboek: hierin zet de Europese Commissie uiteen hoe zij bepaalde doelen wil bereiken. Vaak worden in een witboek al concrete voorstellen uitgewerkt en toegelicht.</w:t>
            </w:r>
          </w:p>
          <w:p w:rsidRPr="00221383" w:rsidR="00C00215" w:rsidP="00014FF3" w:rsidRDefault="00C00215">
            <w:pPr>
              <w:pStyle w:val="Voetnoottekst"/>
              <w:rPr>
                <w:rFonts w:asciiTheme="minorHAnsi" w:hAnsiTheme="minorHAnsi"/>
              </w:rPr>
            </w:pPr>
            <w:r w:rsidRPr="00221383">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lastRenderedPageBreak/>
              <w:t xml:space="preserve">desgewenst ambtenaren EC of Europees Commissaris </w:t>
            </w:r>
            <w:r w:rsidRPr="00221383">
              <w:rPr>
                <w:rFonts w:asciiTheme="minorHAnsi" w:hAnsiTheme="minorHAnsi"/>
              </w:rPr>
              <w:lastRenderedPageBreak/>
              <w:t>uitnodigen voor een toelichting.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in commissieverband (via schriftelijke inbreng in de vorm van een politieke dialoog) of als lid, burger of via fracties een reactie sturen aan de Europese Commissie.</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Openbare raadpleging (consultatie)</w:t>
            </w:r>
          </w:p>
        </w:tc>
        <w:tc>
          <w:tcPr>
            <w:tcW w:w="6946" w:type="dxa"/>
          </w:tcPr>
          <w:p w:rsidRPr="00221383" w:rsidR="00C00215" w:rsidP="00014FF3" w:rsidRDefault="00C00215">
            <w:pPr>
              <w:pStyle w:val="Voetnoottekst"/>
              <w:spacing w:before="100" w:beforeAutospacing="1" w:after="100" w:afterAutospacing="1"/>
              <w:rPr>
                <w:rFonts w:asciiTheme="minorHAnsi" w:hAnsiTheme="minorHAnsi"/>
              </w:rPr>
            </w:pPr>
            <w:r w:rsidRPr="00221383">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221383">
                <w:rPr>
                  <w:rStyle w:val="Hyperlink"/>
                  <w:rFonts w:asciiTheme="minorHAnsi" w:hAnsiTheme="minorHAnsi"/>
                </w:rPr>
                <w:t>Bekijk alle openbare raadplegingen op "Uw stem in Europa"</w:t>
              </w:r>
            </w:hyperlink>
            <w:r w:rsidRPr="00221383">
              <w:rPr>
                <w:rFonts w:asciiTheme="minorHAnsi" w:hAnsiTheme="minorHAnsi"/>
              </w:rPr>
              <w:t xml:space="preserve"> . </w:t>
            </w:r>
          </w:p>
        </w:tc>
        <w:tc>
          <w:tcPr>
            <w:tcW w:w="5103" w:type="dxa"/>
          </w:tcPr>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als burger, lid, fractie of in commissieverband (via schriftelijke inbreng in de vorm van een politieke dialoog). meedoen aan de openbare raadpleging.</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kabinet verzoeken om de concept-kabinetsreactie naar de Kamer te sturen voordat de definitieve versie naar de Europese Commissie wordt gestuurd, teneinde desgewenst hierover met de bewindspersoon in gesprek te treden.</w:t>
            </w:r>
          </w:p>
          <w:p w:rsidRPr="00221383" w:rsidR="00C00215" w:rsidP="00014FF3" w:rsidRDefault="00C00215">
            <w:pPr>
              <w:pStyle w:val="Voetnoottekst"/>
              <w:numPr>
                <w:ilvl w:val="0"/>
                <w:numId w:val="1"/>
              </w:numPr>
              <w:autoSpaceDE w:val="0"/>
              <w:autoSpaceDN w:val="0"/>
              <w:rPr>
                <w:rFonts w:asciiTheme="minorHAnsi" w:hAnsiTheme="minorHAnsi"/>
              </w:rPr>
            </w:pPr>
            <w:r w:rsidRPr="00221383">
              <w:rPr>
                <w:rFonts w:asciiTheme="minorHAnsi" w:hAnsiTheme="minorHAnsi"/>
              </w:rPr>
              <w:t>de Kamer ontvangt krachtens de standaard-informatieafspraken de definitieve kabinetsreactie op alle consultaties van de Europese Commissie waarop het kabinet reageert.</w:t>
            </w:r>
          </w:p>
        </w:tc>
      </w:tr>
      <w:tr w:rsidRPr="00221383" w:rsidR="00C00215" w:rsidTr="00014FF3">
        <w:tc>
          <w:tcPr>
            <w:tcW w:w="14142" w:type="dxa"/>
            <w:gridSpan w:val="3"/>
          </w:tcPr>
          <w:p w:rsidRPr="00221383" w:rsidR="00C00215" w:rsidP="00014FF3" w:rsidRDefault="00C00215">
            <w:pPr>
              <w:pStyle w:val="Voetnoottekst"/>
              <w:rPr>
                <w:rFonts w:asciiTheme="minorHAnsi" w:hAnsiTheme="minorHAnsi"/>
                <w:i/>
              </w:rPr>
            </w:pPr>
            <w:r w:rsidRPr="00221383">
              <w:rPr>
                <w:rFonts w:asciiTheme="minorHAnsi" w:hAnsiTheme="minorHAnsi"/>
                <w:i/>
              </w:rPr>
              <w:t>Uitgelicht: twee specifieke parlementaire instrumenten bij nieuw gepubliceerde EU-voorstellen</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t xml:space="preserve">Subsidiariteitstoets </w:t>
            </w:r>
          </w:p>
          <w:p w:rsidRPr="00221383" w:rsidR="00C00215" w:rsidP="00014FF3" w:rsidRDefault="00C00215">
            <w:pPr>
              <w:pStyle w:val="Voetnoottekst"/>
              <w:rPr>
                <w:rFonts w:asciiTheme="minorHAnsi" w:hAnsiTheme="minorHAnsi"/>
              </w:rPr>
            </w:pPr>
            <w:r w:rsidRPr="00221383">
              <w:rPr>
                <w:rFonts w:asciiTheme="minorHAnsi" w:hAnsiTheme="minorHAnsi"/>
              </w:rPr>
              <w:t>(richting EU)</w:t>
            </w:r>
          </w:p>
        </w:tc>
        <w:tc>
          <w:tcPr>
            <w:tcW w:w="6946" w:type="dxa"/>
          </w:tcPr>
          <w:p w:rsidRPr="00221383" w:rsidR="00C00215" w:rsidP="00014FF3" w:rsidRDefault="00C00215">
            <w:pPr>
              <w:pStyle w:val="Lijstalinea"/>
              <w:ind w:left="0"/>
              <w:rPr>
                <w:rFonts w:asciiTheme="minorHAnsi" w:hAnsiTheme="minorHAnsi"/>
                <w:sz w:val="20"/>
                <w:szCs w:val="20"/>
              </w:rPr>
            </w:pPr>
            <w:r w:rsidRPr="00221383">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221383">
              <w:rPr>
                <w:rFonts w:asciiTheme="minorHAnsi" w:hAnsiTheme="minorHAnsi" w:cstheme="minorHAnsi"/>
                <w:color w:val="000000" w:themeColor="text1"/>
                <w:sz w:val="20"/>
                <w:szCs w:val="20"/>
              </w:rPr>
              <w:t xml:space="preserve">Elk parlement krijgt 2 stemmen, maar bij een </w:t>
            </w:r>
            <w:proofErr w:type="spellStart"/>
            <w:r w:rsidRPr="00221383">
              <w:rPr>
                <w:rFonts w:asciiTheme="minorHAnsi" w:hAnsiTheme="minorHAnsi" w:cstheme="minorHAnsi"/>
                <w:color w:val="000000" w:themeColor="text1"/>
                <w:sz w:val="20"/>
                <w:szCs w:val="20"/>
              </w:rPr>
              <w:t>bicameraal</w:t>
            </w:r>
            <w:proofErr w:type="spellEnd"/>
            <w:r w:rsidRPr="00221383">
              <w:rPr>
                <w:rFonts w:asciiTheme="minorHAnsi" w:hAnsiTheme="minorHAnsi" w:cstheme="minorHAnsi"/>
                <w:color w:val="000000" w:themeColor="text1"/>
                <w:sz w:val="20"/>
                <w:szCs w:val="20"/>
              </w:rPr>
              <w:t xml:space="preserve"> stelsel, zoals in Nederland, krijgt elke kamer 1 stem</w:t>
            </w:r>
            <w:r w:rsidRPr="00221383">
              <w:rPr>
                <w:rFonts w:asciiTheme="minorHAnsi" w:hAnsiTheme="minorHAnsi"/>
                <w:sz w:val="20"/>
                <w:szCs w:val="20"/>
              </w:rPr>
              <w:t>.</w:t>
            </w:r>
            <w:r w:rsidRPr="00221383">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kabinetsappreciatie (‘BNC-fiche’) komt voor aangekondigde subsidiariteitstoetsen binnen drie weken t.b.v. een snelle behandeling.</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met andere parlementen in overleg treden t.b.v. behalen meerderheid voor ’gele kaart’ (1/3 stemmen) via parlementaire vertegenwoordiging en/of fractielijnen. </w:t>
            </w:r>
          </w:p>
        </w:tc>
      </w:tr>
      <w:tr w:rsidRPr="00221383" w:rsidR="00C00215" w:rsidTr="00014FF3">
        <w:tc>
          <w:tcPr>
            <w:tcW w:w="2093" w:type="dxa"/>
          </w:tcPr>
          <w:p w:rsidRPr="00221383" w:rsidR="00C00215" w:rsidP="00014FF3" w:rsidRDefault="00C00215">
            <w:pPr>
              <w:pStyle w:val="Voetnoottekst"/>
              <w:rPr>
                <w:rFonts w:asciiTheme="minorHAnsi" w:hAnsiTheme="minorHAnsi"/>
              </w:rPr>
            </w:pPr>
            <w:r w:rsidRPr="00221383">
              <w:rPr>
                <w:rFonts w:asciiTheme="minorHAnsi" w:hAnsiTheme="minorHAnsi"/>
              </w:rPr>
              <w:lastRenderedPageBreak/>
              <w:t>Behandel-voorbehoud (richting regering)</w:t>
            </w:r>
          </w:p>
        </w:tc>
        <w:tc>
          <w:tcPr>
            <w:tcW w:w="6946" w:type="dxa"/>
          </w:tcPr>
          <w:p w:rsidRPr="00221383" w:rsidR="00C00215" w:rsidP="00014FF3" w:rsidRDefault="00C00215">
            <w:pPr>
              <w:pStyle w:val="Lijstalinea"/>
              <w:ind w:left="34"/>
              <w:rPr>
                <w:rFonts w:asciiTheme="minorHAnsi" w:hAnsiTheme="minorHAnsi"/>
                <w:sz w:val="20"/>
                <w:szCs w:val="20"/>
              </w:rPr>
            </w:pPr>
            <w:r w:rsidRPr="00221383">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bij wetgevende EU-voorstellen kan een commissie besluiten tot het uitvoeren van een zgn. ‘behandelvoorbehoud’. Over deze brief moet plenair gestemd worden (let op de termijnen).</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tijdens een speciaal overleg kan de commissie afspraken maken over informatieverstrekking (bv. in kwartaalrapportages) zolang het desbetreffende dossier in onderhandeling is.</w:t>
            </w:r>
          </w:p>
          <w:p w:rsidRPr="00221383" w:rsidR="00C00215" w:rsidP="00014FF3" w:rsidRDefault="00C00215">
            <w:pPr>
              <w:pStyle w:val="Voetnoottekst"/>
              <w:numPr>
                <w:ilvl w:val="0"/>
                <w:numId w:val="1"/>
              </w:numPr>
              <w:rPr>
                <w:rFonts w:asciiTheme="minorHAnsi" w:hAnsiTheme="minorHAnsi"/>
              </w:rPr>
            </w:pPr>
            <w:r w:rsidRPr="00221383">
              <w:rPr>
                <w:rFonts w:asciiTheme="minorHAnsi" w:hAnsiTheme="minorHAnsi"/>
              </w:rPr>
              <w:t xml:space="preserve">kabinetsappreciatie (‘BNC-fiche’) komt voor aangekondigde </w:t>
            </w:r>
            <w:proofErr w:type="spellStart"/>
            <w:r w:rsidRPr="00221383">
              <w:rPr>
                <w:rFonts w:asciiTheme="minorHAnsi" w:hAnsiTheme="minorHAnsi"/>
              </w:rPr>
              <w:t>behandelvoorbehouden</w:t>
            </w:r>
            <w:proofErr w:type="spellEnd"/>
            <w:r w:rsidRPr="00221383">
              <w:rPr>
                <w:rFonts w:asciiTheme="minorHAnsi" w:hAnsiTheme="minorHAnsi"/>
              </w:rPr>
              <w:t xml:space="preserve"> binnen drie weken t.b.v. een snelle behandeling.</w:t>
            </w:r>
          </w:p>
          <w:p w:rsidRPr="00221383" w:rsidR="00C00215" w:rsidP="00014FF3" w:rsidRDefault="00C00215">
            <w:pPr>
              <w:pStyle w:val="Voetnoottekst"/>
              <w:rPr>
                <w:rFonts w:asciiTheme="minorHAnsi" w:hAnsiTheme="minorHAnsi"/>
              </w:rPr>
            </w:pPr>
          </w:p>
        </w:tc>
      </w:tr>
    </w:tbl>
    <w:p w:rsidRPr="00221383" w:rsidR="00C00215" w:rsidP="00C00215" w:rsidRDefault="00C00215">
      <w:pPr>
        <w:rPr>
          <w:rFonts w:asciiTheme="minorHAnsi" w:hAnsiTheme="minorHAnsi"/>
          <w:sz w:val="20"/>
          <w:szCs w:val="20"/>
        </w:rPr>
      </w:pPr>
    </w:p>
    <w:p w:rsidRPr="00221383" w:rsidR="00C00215" w:rsidP="00C00215" w:rsidRDefault="00C00215">
      <w:pPr>
        <w:rPr>
          <w:rFonts w:asciiTheme="minorHAnsi" w:hAnsiTheme="minorHAnsi"/>
        </w:rPr>
      </w:pPr>
    </w:p>
    <w:p w:rsidR="00BF2EB9" w:rsidRDefault="00BF2EB9"/>
    <w:sectPr w:rsidR="00BF2EB9" w:rsidSect="00C30329">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215" w:rsidRDefault="00C00215" w:rsidP="00C00215">
      <w:r>
        <w:separator/>
      </w:r>
    </w:p>
  </w:endnote>
  <w:endnote w:type="continuationSeparator" w:id="0">
    <w:p w:rsidR="00C00215" w:rsidRDefault="00C00215" w:rsidP="00C0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215" w:rsidRDefault="00C00215" w:rsidP="00C00215">
      <w:r>
        <w:separator/>
      </w:r>
    </w:p>
  </w:footnote>
  <w:footnote w:type="continuationSeparator" w:id="0">
    <w:p w:rsidR="00C00215" w:rsidRDefault="00C00215" w:rsidP="00C00215">
      <w:r>
        <w:continuationSeparator/>
      </w:r>
    </w:p>
  </w:footnote>
  <w:footnote w:id="1">
    <w:p w:rsidR="00C00215" w:rsidRDefault="00C00215" w:rsidP="00C00215">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C00215" w:rsidRPr="00B45904" w:rsidRDefault="00C00215" w:rsidP="00C00215">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215"/>
    <w:rsid w:val="001717F0"/>
    <w:rsid w:val="002C6CCE"/>
    <w:rsid w:val="003D49A3"/>
    <w:rsid w:val="00433D6E"/>
    <w:rsid w:val="00557DE1"/>
    <w:rsid w:val="007E6A68"/>
    <w:rsid w:val="008F4194"/>
    <w:rsid w:val="009C7CE2"/>
    <w:rsid w:val="00A63FDD"/>
    <w:rsid w:val="00B612FC"/>
    <w:rsid w:val="00BF2EB9"/>
    <w:rsid w:val="00C00215"/>
    <w:rsid w:val="00FA2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3D49A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00215"/>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00215"/>
    <w:rPr>
      <w:color w:val="0000FF"/>
      <w:u w:val="single"/>
    </w:rPr>
  </w:style>
  <w:style w:type="character" w:styleId="Zwaar">
    <w:name w:val="Strong"/>
    <w:basedOn w:val="Standaardalinea-lettertype"/>
    <w:uiPriority w:val="22"/>
    <w:qFormat/>
    <w:rsid w:val="00C00215"/>
    <w:rPr>
      <w:b/>
      <w:bCs/>
    </w:rPr>
  </w:style>
  <w:style w:type="paragraph" w:styleId="Voetnoottekst">
    <w:name w:val="footnote text"/>
    <w:basedOn w:val="Standaard"/>
    <w:link w:val="VoetnoottekstChar"/>
    <w:rsid w:val="00C00215"/>
    <w:rPr>
      <w:sz w:val="20"/>
      <w:szCs w:val="20"/>
    </w:rPr>
  </w:style>
  <w:style w:type="character" w:customStyle="1" w:styleId="VoetnoottekstChar">
    <w:name w:val="Voetnoottekst Char"/>
    <w:basedOn w:val="Standaardalinea-lettertype"/>
    <w:link w:val="Voetnoottekst"/>
    <w:rsid w:val="00C00215"/>
  </w:style>
  <w:style w:type="table" w:styleId="Tabelraster">
    <w:name w:val="Table Grid"/>
    <w:basedOn w:val="Standaardtabel"/>
    <w:rsid w:val="00C002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00215"/>
    <w:pPr>
      <w:ind w:left="720"/>
    </w:pPr>
    <w:rPr>
      <w:rFonts w:eastAsiaTheme="minorHAnsi"/>
    </w:rPr>
  </w:style>
  <w:style w:type="character" w:styleId="Voetnootmarkering">
    <w:name w:val="footnote reference"/>
    <w:basedOn w:val="Standaardalinea-lettertype"/>
    <w:uiPriority w:val="99"/>
    <w:rsid w:val="00C00215"/>
    <w:rPr>
      <w:vertAlign w:val="superscript"/>
    </w:rPr>
  </w:style>
  <w:style w:type="character" w:styleId="GevolgdeHyperlink">
    <w:name w:val="FollowedHyperlink"/>
    <w:basedOn w:val="Standaardalinea-lettertype"/>
    <w:rsid w:val="003D49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33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law/better-regulation/initiatives/ares-2017-5291384_en"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2060</ap:Words>
  <ap:Characters>13601</ap:Characters>
  <ap:DocSecurity>0</ap:DocSecurity>
  <ap:Lines>113</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2019-03-07T11:55:00.0000000Z</dcterms:created>
  <dcterms:modified xsi:type="dcterms:W3CDTF">2019-03-07T11:55:00.0000000Z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0x010100107650DB4938174097B28B34B5C0CEC3</vt:lpwstr>
  </property>
</Properties>
</file>