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C00215" w:rsidP="00C00215" w:rsidRDefault="00C00215">
      <w:pPr>
        <w:rPr>
          <w:rFonts w:asciiTheme="minorHAnsi" w:hAnsiTheme="minorHAnsi"/>
          <w:b/>
          <w:sz w:val="20"/>
          <w:szCs w:val="20"/>
        </w:rPr>
      </w:pPr>
      <w:r w:rsidRPr="00221383">
        <w:rPr>
          <w:rFonts w:asciiTheme="minorHAnsi" w:hAnsiTheme="minorHAnsi"/>
          <w:b/>
          <w:sz w:val="20"/>
          <w:szCs w:val="20"/>
        </w:rPr>
        <w:t>Overzicht nieuw gepubliceerde EU-voorstellen</w:t>
      </w:r>
      <w:r w:rsidR="002C6CCE">
        <w:rPr>
          <w:rFonts w:asciiTheme="minorHAnsi" w:hAnsiTheme="minorHAnsi"/>
          <w:b/>
          <w:sz w:val="20"/>
          <w:szCs w:val="20"/>
        </w:rPr>
        <w:t xml:space="preserve"> VWS</w:t>
      </w:r>
      <w:r w:rsidRPr="00221383">
        <w:rPr>
          <w:rFonts w:asciiTheme="minorHAnsi" w:hAnsiTheme="minorHAnsi"/>
          <w:b/>
          <w:sz w:val="20"/>
          <w:szCs w:val="20"/>
        </w:rPr>
        <w:t xml:space="preserve"> </w:t>
      </w:r>
    </w:p>
    <w:p w:rsidRPr="00221383" w:rsidR="00C00215" w:rsidP="00C00215" w:rsidRDefault="00C00215">
      <w:pPr>
        <w:rPr>
          <w:rFonts w:asciiTheme="minorHAnsi" w:hAnsiTheme="minorHAnsi"/>
          <w:sz w:val="20"/>
          <w:szCs w:val="20"/>
        </w:rPr>
      </w:pPr>
    </w:p>
    <w:p w:rsidRPr="001717F0" w:rsidR="00C00215" w:rsidP="00C00215" w:rsidRDefault="00C00215">
      <w:pPr>
        <w:rPr>
          <w:rFonts w:asciiTheme="minorHAnsi" w:hAnsiTheme="minorHAnsi"/>
          <w:sz w:val="20"/>
          <w:szCs w:val="20"/>
          <w:u w:val="single"/>
        </w:rPr>
      </w:pPr>
      <w:r w:rsidRPr="001717F0">
        <w:rPr>
          <w:rFonts w:asciiTheme="minorHAnsi" w:hAnsiTheme="minorHAnsi"/>
          <w:sz w:val="20"/>
          <w:szCs w:val="20"/>
          <w:u w:val="single"/>
        </w:rPr>
        <w:t xml:space="preserve">Integraal overzicht met nieuw gepubliceerde EU-voorstellen </w:t>
      </w:r>
      <w:r w:rsidR="002C6CCE">
        <w:rPr>
          <w:rFonts w:asciiTheme="minorHAnsi" w:hAnsiTheme="minorHAnsi"/>
          <w:sz w:val="20"/>
          <w:szCs w:val="20"/>
          <w:u w:val="single"/>
        </w:rPr>
        <w:t xml:space="preserve">VWS </w:t>
      </w:r>
      <w:bookmarkStart w:name="_GoBack" w:id="0"/>
      <w:bookmarkEnd w:id="0"/>
      <w:r w:rsidRPr="001717F0">
        <w:rPr>
          <w:rFonts w:asciiTheme="minorHAnsi" w:hAnsiTheme="minorHAnsi"/>
          <w:sz w:val="20"/>
          <w:szCs w:val="20"/>
          <w:u w:val="single"/>
        </w:rPr>
        <w:t xml:space="preserve">van </w:t>
      </w:r>
      <w:r w:rsidRPr="001717F0" w:rsidR="001717F0">
        <w:rPr>
          <w:rFonts w:asciiTheme="minorHAnsi" w:hAnsiTheme="minorHAnsi"/>
          <w:sz w:val="20"/>
          <w:szCs w:val="20"/>
          <w:u w:val="single"/>
        </w:rPr>
        <w:t>13</w:t>
      </w:r>
      <w:r w:rsidRPr="001717F0">
        <w:rPr>
          <w:rFonts w:asciiTheme="minorHAnsi" w:hAnsiTheme="minorHAnsi"/>
          <w:sz w:val="20"/>
          <w:szCs w:val="20"/>
          <w:u w:val="single"/>
        </w:rPr>
        <w:t xml:space="preserve">  </w:t>
      </w:r>
      <w:r w:rsidRPr="001717F0" w:rsidR="00B612FC">
        <w:rPr>
          <w:rFonts w:asciiTheme="minorHAnsi" w:hAnsiTheme="minorHAnsi"/>
          <w:sz w:val="20"/>
          <w:szCs w:val="20"/>
          <w:u w:val="single"/>
        </w:rPr>
        <w:t>februari</w:t>
      </w:r>
      <w:r w:rsidRPr="001717F0">
        <w:rPr>
          <w:rFonts w:asciiTheme="minorHAnsi" w:hAnsiTheme="minorHAnsi"/>
          <w:sz w:val="20"/>
          <w:szCs w:val="20"/>
          <w:u w:val="single"/>
        </w:rPr>
        <w:t xml:space="preserve"> 201</w:t>
      </w:r>
      <w:r w:rsidRPr="001717F0" w:rsidR="00B612FC">
        <w:rPr>
          <w:rFonts w:asciiTheme="minorHAnsi" w:hAnsiTheme="minorHAnsi"/>
          <w:sz w:val="20"/>
          <w:szCs w:val="20"/>
          <w:u w:val="single"/>
        </w:rPr>
        <w:t>9</w:t>
      </w:r>
      <w:r w:rsidRPr="001717F0">
        <w:rPr>
          <w:rFonts w:asciiTheme="minorHAnsi" w:hAnsiTheme="minorHAnsi"/>
          <w:sz w:val="20"/>
          <w:szCs w:val="20"/>
          <w:u w:val="single"/>
        </w:rPr>
        <w:t xml:space="preserve"> tot </w:t>
      </w:r>
      <w:r w:rsidRPr="001717F0" w:rsidR="00B612FC">
        <w:rPr>
          <w:rFonts w:asciiTheme="minorHAnsi" w:hAnsiTheme="minorHAnsi"/>
          <w:sz w:val="20"/>
          <w:szCs w:val="20"/>
          <w:u w:val="single"/>
        </w:rPr>
        <w:t>6</w:t>
      </w:r>
      <w:r w:rsidRPr="001717F0">
        <w:rPr>
          <w:rFonts w:asciiTheme="minorHAnsi" w:hAnsiTheme="minorHAnsi"/>
          <w:sz w:val="20"/>
          <w:szCs w:val="20"/>
          <w:u w:val="single"/>
        </w:rPr>
        <w:t xml:space="preserve"> </w:t>
      </w:r>
      <w:r w:rsidRPr="001717F0" w:rsidR="00B612FC">
        <w:rPr>
          <w:rFonts w:asciiTheme="minorHAnsi" w:hAnsiTheme="minorHAnsi"/>
          <w:sz w:val="20"/>
          <w:szCs w:val="20"/>
          <w:u w:val="single"/>
        </w:rPr>
        <w:t xml:space="preserve">maart </w:t>
      </w:r>
      <w:r w:rsidRPr="001717F0">
        <w:rPr>
          <w:rFonts w:asciiTheme="minorHAnsi" w:hAnsiTheme="minorHAnsi"/>
          <w:sz w:val="20"/>
          <w:szCs w:val="20"/>
          <w:u w:val="single"/>
        </w:rPr>
        <w:t xml:space="preserve"> 201</w:t>
      </w:r>
      <w:r w:rsidRPr="001717F0" w:rsidR="00B612FC">
        <w:rPr>
          <w:rFonts w:asciiTheme="minorHAnsi" w:hAnsiTheme="minorHAnsi"/>
          <w:sz w:val="20"/>
          <w:szCs w:val="20"/>
          <w:u w:val="single"/>
        </w:rPr>
        <w:t>9</w:t>
      </w:r>
      <w:r w:rsidRPr="001717F0">
        <w:rPr>
          <w:rFonts w:asciiTheme="minorHAnsi" w:hAnsiTheme="minorHAnsi"/>
          <w:sz w:val="20"/>
          <w:szCs w:val="20"/>
          <w:u w:val="single"/>
        </w:rPr>
        <w:t xml:space="preserve"> - d.d. </w:t>
      </w:r>
      <w:r w:rsidRPr="001717F0" w:rsidR="00B612FC">
        <w:rPr>
          <w:rFonts w:asciiTheme="minorHAnsi" w:hAnsiTheme="minorHAnsi"/>
          <w:sz w:val="20"/>
          <w:szCs w:val="20"/>
          <w:u w:val="single"/>
        </w:rPr>
        <w:t>6</w:t>
      </w:r>
      <w:r w:rsidRPr="001717F0">
        <w:rPr>
          <w:rFonts w:asciiTheme="minorHAnsi" w:hAnsiTheme="minorHAnsi"/>
          <w:sz w:val="20"/>
          <w:szCs w:val="20"/>
          <w:u w:val="single"/>
        </w:rPr>
        <w:t xml:space="preserve"> </w:t>
      </w:r>
      <w:r w:rsidRPr="001717F0" w:rsidR="00B612FC">
        <w:rPr>
          <w:rFonts w:asciiTheme="minorHAnsi" w:hAnsiTheme="minorHAnsi"/>
          <w:sz w:val="20"/>
          <w:szCs w:val="20"/>
          <w:u w:val="single"/>
        </w:rPr>
        <w:t>maart</w:t>
      </w:r>
      <w:r w:rsidRPr="001717F0">
        <w:rPr>
          <w:rFonts w:asciiTheme="minorHAnsi" w:hAnsiTheme="minorHAnsi"/>
          <w:sz w:val="20"/>
          <w:szCs w:val="20"/>
          <w:u w:val="single"/>
        </w:rPr>
        <w:t xml:space="preserve"> 201</w:t>
      </w:r>
      <w:r w:rsidRPr="001717F0" w:rsidR="00B612FC">
        <w:rPr>
          <w:rFonts w:asciiTheme="minorHAnsi" w:hAnsiTheme="minorHAnsi"/>
          <w:sz w:val="20"/>
          <w:szCs w:val="20"/>
          <w:u w:val="single"/>
        </w:rPr>
        <w:t>9</w:t>
      </w:r>
      <w:r w:rsidRPr="001717F0">
        <w:rPr>
          <w:rFonts w:asciiTheme="minorHAnsi" w:hAnsiTheme="minorHAnsi"/>
          <w:sz w:val="20"/>
          <w:szCs w:val="20"/>
          <w:u w:val="single"/>
        </w:rPr>
        <w:t xml:space="preserve">. </w:t>
      </w:r>
    </w:p>
    <w:p w:rsidRPr="00221383" w:rsidR="00C00215" w:rsidP="00C00215" w:rsidRDefault="00C00215">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103"/>
        <w:gridCol w:w="1134"/>
        <w:gridCol w:w="709"/>
        <w:gridCol w:w="4394"/>
      </w:tblGrid>
      <w:tr w:rsidRPr="00221383" w:rsidR="00C00215" w:rsidTr="00014FF3">
        <w:trPr>
          <w:trHeight w:val="1550"/>
        </w:trPr>
        <w:tc>
          <w:tcPr>
            <w:tcW w:w="1149"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5103"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134"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9" w:type="dxa"/>
            <w:textDirection w:val="btLr"/>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394" w:type="dxa"/>
            <w:shd w:val="clear" w:color="auto" w:fill="auto"/>
            <w:textDirection w:val="btLr"/>
            <w:vAlign w:val="bottom"/>
            <w:hideMark/>
          </w:tcPr>
          <w:p w:rsidRPr="008505DB" w:rsidR="00C00215" w:rsidP="00014FF3" w:rsidRDefault="00C00215">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014FF3">
        <w:trPr>
          <w:trHeight w:val="300"/>
        </w:trPr>
        <w:tc>
          <w:tcPr>
            <w:tcW w:w="1149"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103"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134"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221383" w:rsidR="00C00215" w:rsidP="00014FF3" w:rsidRDefault="00C00215">
            <w:pPr>
              <w:rPr>
                <w:rFonts w:asciiTheme="minorHAnsi" w:hAnsiTheme="minorHAnsi"/>
                <w:b/>
                <w:bCs/>
                <w:color w:val="000000"/>
                <w:sz w:val="20"/>
                <w:szCs w:val="20"/>
              </w:rPr>
            </w:pPr>
          </w:p>
        </w:tc>
        <w:tc>
          <w:tcPr>
            <w:tcW w:w="4394" w:type="dxa"/>
            <w:tcBorders>
              <w:bottom w:val="single" w:color="auto" w:sz="4" w:space="0"/>
            </w:tcBorders>
            <w:shd w:val="clear" w:color="000000" w:fill="538DD5"/>
            <w:hideMark/>
          </w:tcPr>
          <w:p w:rsidRPr="008505DB" w:rsidR="00C00215" w:rsidP="00014FF3" w:rsidRDefault="00C00215">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C00215" w:rsidTr="0001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57DE1" w:rsidP="00557DE1" w:rsidRDefault="00557DE1">
            <w:pPr>
              <w:rPr>
                <w:rFonts w:ascii="Calibri" w:hAnsi="Calibri"/>
                <w:sz w:val="22"/>
                <w:szCs w:val="22"/>
                <w:lang w:eastAsia="en-US"/>
              </w:rPr>
            </w:pPr>
            <w:r>
              <w:rPr>
                <w:color w:val="000000"/>
                <w:sz w:val="20"/>
                <w:szCs w:val="20"/>
              </w:rPr>
              <w:t>10-jan-19</w:t>
            </w:r>
          </w:p>
          <w:p w:rsidR="00C00215" w:rsidP="00014FF3" w:rsidRDefault="00C00215">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00215" w:rsidP="00014FF3" w:rsidRDefault="00557DE1">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00215" w:rsidP="00014FF3" w:rsidRDefault="00557DE1">
            <w:pPr>
              <w:rPr>
                <w:rFonts w:ascii="Calibri" w:hAnsi="Calibri"/>
                <w:color w:val="000000"/>
                <w:sz w:val="22"/>
                <w:szCs w:val="22"/>
              </w:rPr>
            </w:pPr>
            <w:r>
              <w:rPr>
                <w:rFonts w:ascii="Calibri" w:hAnsi="Calibri"/>
                <w:color w:val="000000"/>
                <w:sz w:val="22"/>
                <w:szCs w:val="22"/>
              </w:rPr>
              <w:t>Raadpleging</w:t>
            </w:r>
          </w:p>
        </w:tc>
        <w:tc>
          <w:tcPr>
            <w:tcW w:w="5103" w:type="dxa"/>
            <w:tcBorders>
              <w:top w:val="single" w:color="auto" w:sz="4" w:space="0"/>
              <w:left w:val="nil"/>
              <w:bottom w:val="single" w:color="auto" w:sz="4" w:space="0"/>
              <w:right w:val="nil"/>
            </w:tcBorders>
            <w:shd w:val="clear" w:color="auto" w:fill="FFFFFF" w:themeFill="background1"/>
            <w:noWrap/>
          </w:tcPr>
          <w:p w:rsidR="00C00215" w:rsidP="00014FF3" w:rsidRDefault="00557DE1">
            <w:pPr>
              <w:rPr>
                <w:rFonts w:asciiTheme="minorHAnsi" w:hAnsiTheme="minorHAnsi"/>
                <w:color w:val="000000"/>
                <w:sz w:val="20"/>
                <w:szCs w:val="20"/>
              </w:rPr>
            </w:pPr>
            <w:r>
              <w:rPr>
                <w:color w:val="000000"/>
                <w:sz w:val="20"/>
                <w:szCs w:val="20"/>
                <w:lang w:val="en-GB"/>
              </w:rPr>
              <w:t>Evaluation of the Low Voltage Directive 2014/35/EU</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2C6CCE">
            <w:pPr>
              <w:rPr>
                <w:rFonts w:ascii="Calibri" w:hAnsi="Calibri"/>
                <w:color w:val="0000FF"/>
                <w:sz w:val="22"/>
                <w:szCs w:val="22"/>
                <w:u w:val="single"/>
              </w:rPr>
            </w:pPr>
            <w:hyperlink w:history="1" r:id="rId8">
              <w:r w:rsidR="00557DE1">
                <w:rPr>
                  <w:rStyle w:val="Hyperlink"/>
                  <w:sz w:val="20"/>
                  <w:szCs w:val="20"/>
                </w:rPr>
                <w:t>OR</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221383" w:rsidR="00C00215" w:rsidP="00014FF3" w:rsidRDefault="00C00215">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C00215" w:rsidP="00014FF3" w:rsidRDefault="003D49A3">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Deze openbare raadpleging gaat over de evualtie van de Low Voltage Richtlijn (2014/35/EU). De Europese Commissie haalt feedback op bij de sector voordat zij haar voorstellen doet ter herziening van de richtlijn.</w:t>
            </w:r>
            <w:r w:rsidR="008F4194">
              <w:rPr>
                <w:rFonts w:eastAsia="Arial Unicode MS" w:asciiTheme="minorHAnsi" w:hAnsiTheme="minorHAnsi"/>
                <w:noProof/>
                <w:sz w:val="20"/>
                <w:szCs w:val="20"/>
              </w:rPr>
              <w:t xml:space="preserve"> Het voorstel ziet de werking en veiligheid van elektrische apparaten met een bepaald voltage. Met name medische apparatuur  maken gebruik van deze bandbreedte van voltage.</w:t>
            </w:r>
          </w:p>
          <w:p w:rsidR="003D49A3" w:rsidP="00014FF3" w:rsidRDefault="003D49A3">
            <w:pPr>
              <w:pBdr>
                <w:top w:val="nil"/>
                <w:left w:val="nil"/>
                <w:bottom w:val="nil"/>
                <w:right w:val="nil"/>
                <w:between w:val="nil"/>
                <w:bar w:val="nil"/>
              </w:pBdr>
              <w:spacing w:after="240"/>
              <w:rPr>
                <w:rFonts w:eastAsia="Arial Unicode MS" w:asciiTheme="minorHAnsi" w:hAnsiTheme="minorHAnsi"/>
                <w:noProof/>
                <w:sz w:val="20"/>
                <w:szCs w:val="20"/>
              </w:rPr>
            </w:pPr>
            <w:r w:rsidRPr="003D49A3">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Afschrift van het ministerie afwachten. Het ministerie van VWS heeft aangegeven een reactie te sturen op de raadpleging. </w:t>
            </w:r>
          </w:p>
        </w:tc>
      </w:tr>
    </w:tbl>
    <w:p w:rsidRPr="00BA14FC" w:rsidR="00C00215" w:rsidP="00C00215" w:rsidRDefault="00C00215">
      <w:pPr>
        <w:spacing w:after="200" w:line="276" w:lineRule="auto"/>
        <w:rPr>
          <w:rFonts w:asciiTheme="minorHAnsi" w:hAnsiTheme="minorHAnsi"/>
          <w:b/>
          <w:sz w:val="22"/>
          <w:szCs w:val="22"/>
        </w:rPr>
      </w:pPr>
    </w:p>
    <w:p w:rsidRPr="00BA14FC" w:rsidR="00C00215" w:rsidP="00C00215" w:rsidRDefault="00C00215">
      <w:pPr>
        <w:spacing w:after="200" w:line="276" w:lineRule="auto"/>
        <w:rPr>
          <w:rFonts w:asciiTheme="minorHAnsi" w:hAnsiTheme="minorHAnsi"/>
          <w:b/>
          <w:sz w:val="22"/>
          <w:szCs w:val="22"/>
        </w:rPr>
      </w:pPr>
    </w:p>
    <w:p w:rsidRPr="00BA14FC" w:rsidR="00C00215" w:rsidP="00C00215" w:rsidRDefault="00C00215">
      <w:pPr>
        <w:spacing w:after="200" w:line="276" w:lineRule="auto"/>
        <w:rPr>
          <w:rFonts w:asciiTheme="minorHAnsi" w:hAnsiTheme="minorHAnsi"/>
          <w:b/>
          <w:sz w:val="22"/>
          <w:szCs w:val="22"/>
        </w:rPr>
      </w:pPr>
    </w:p>
    <w:p w:rsidRPr="00BA14FC" w:rsidR="00C00215" w:rsidP="00C00215" w:rsidRDefault="00C00215">
      <w:pPr>
        <w:spacing w:after="200" w:line="276" w:lineRule="auto"/>
        <w:rPr>
          <w:rFonts w:asciiTheme="minorHAnsi" w:hAnsiTheme="minorHAnsi"/>
          <w:b/>
          <w:sz w:val="22"/>
          <w:szCs w:val="22"/>
        </w:rPr>
      </w:pPr>
    </w:p>
    <w:p w:rsidRPr="00BA14FC" w:rsidR="00C00215" w:rsidP="00C00215" w:rsidRDefault="00C00215">
      <w:pPr>
        <w:spacing w:after="200" w:line="276" w:lineRule="auto"/>
        <w:rPr>
          <w:rFonts w:asciiTheme="minorHAnsi" w:hAnsiTheme="minorHAnsi"/>
          <w:b/>
          <w:sz w:val="22"/>
          <w:szCs w:val="22"/>
        </w:rPr>
      </w:pPr>
    </w:p>
    <w:p w:rsidRPr="00221383" w:rsidR="00C00215" w:rsidP="00C00215" w:rsidRDefault="00C00215">
      <w:pPr>
        <w:spacing w:after="200" w:line="276" w:lineRule="auto"/>
        <w:rPr>
          <w:rFonts w:asciiTheme="minorHAnsi" w:hAnsiTheme="minorHAnsi"/>
          <w:b/>
          <w:sz w:val="22"/>
          <w:szCs w:val="22"/>
        </w:rPr>
      </w:pPr>
      <w:r w:rsidRPr="00221383">
        <w:rPr>
          <w:rFonts w:asciiTheme="minorHAnsi" w:hAnsiTheme="minorHAnsi"/>
          <w:b/>
          <w:sz w:val="22"/>
          <w:szCs w:val="22"/>
        </w:rPr>
        <w:lastRenderedPageBreak/>
        <w:t>Bijlage: behandelmogelijkheden EU-voorstellen</w:t>
      </w:r>
    </w:p>
    <w:p w:rsidRPr="00221383" w:rsidR="00C00215" w:rsidP="00C00215" w:rsidRDefault="00C00215">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tc>
          <w:tcPr>
            <w:tcW w:w="2093" w:type="dxa"/>
          </w:tcPr>
          <w:p w:rsidRPr="00221383" w:rsidR="00C00215" w:rsidP="00014FF3" w:rsidRDefault="00C00215">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p>
          <w:p w:rsidRPr="00221383" w:rsidR="00C00215" w:rsidP="00014FF3" w:rsidRDefault="00C00215">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pPr>
              <w:pStyle w:val="Voetnoottekst"/>
              <w:numPr>
                <w:ilvl w:val="0"/>
                <w:numId w:val="2"/>
              </w:numPr>
              <w:ind w:left="317" w:hanging="283"/>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besluit is verbindend in al zijn onderdelen. Indien de adressanten worden </w:t>
            </w:r>
            <w:r w:rsidRPr="00221383">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pPr>
              <w:pStyle w:val="Voetnoottekst"/>
              <w:numPr>
                <w:ilvl w:val="0"/>
                <w:numId w:val="2"/>
              </w:numPr>
              <w:ind w:left="317" w:hanging="283"/>
              <w:rPr>
                <w:rFonts w:asciiTheme="minorHAnsi" w:hAnsiTheme="minorHAnsi"/>
              </w:rPr>
            </w:pP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pPr>
              <w:pStyle w:val="Voetnoottekst"/>
              <w:ind w:left="360"/>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9">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C00215" w:rsidP="00014FF3" w:rsidRDefault="00C00215">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pPr>
              <w:pStyle w:val="Voetnoottekst"/>
              <w:numPr>
                <w:ilvl w:val="0"/>
                <w:numId w:val="1"/>
              </w:numPr>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pPr>
              <w:pStyle w:val="Voetnoottekst"/>
              <w:rPr>
                <w:rFonts w:asciiTheme="minorHAnsi" w:hAnsiTheme="minorHAnsi"/>
              </w:rPr>
            </w:pP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tc>
        <w:tc>
          <w:tcPr>
            <w:tcW w:w="6946" w:type="dxa"/>
          </w:tcPr>
          <w:p w:rsidRPr="00221383" w:rsidR="00C00215" w:rsidP="00014FF3" w:rsidRDefault="00C00215">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Groenboek: een discussiestuk, waarmee de Europese Commissie de stand van </w:t>
            </w:r>
            <w:r w:rsidRPr="00221383">
              <w:rPr>
                <w:rFonts w:asciiTheme="minorHAnsi" w:hAnsiTheme="minorHAnsi"/>
              </w:rPr>
              <w:lastRenderedPageBreak/>
              <w:t xml:space="preserve">zaken inventariseert omtrent een onderwerp. Ook doet ze aanbevelingen voor nieuw beleid. </w:t>
            </w: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 xml:space="preserve">desgewenst ambtenaren EC of Europees Commissaris </w:t>
            </w:r>
            <w:r w:rsidRPr="00221383">
              <w:rPr>
                <w:rFonts w:asciiTheme="minorHAnsi" w:hAnsiTheme="minorHAnsi"/>
              </w:rPr>
              <w:lastRenderedPageBreak/>
              <w:t>uitnodigen voor een toelichting.</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C00215" w:rsidP="00014FF3" w:rsidRDefault="00C00215">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0">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C00215" w:rsidP="00014FF3" w:rsidRDefault="00C00215">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pPr>
              <w:pStyle w:val="Voetnoottekst"/>
              <w:rPr>
                <w:rFonts w:asciiTheme="minorHAnsi" w:hAnsiTheme="minorHAnsi"/>
              </w:rPr>
            </w:pPr>
          </w:p>
        </w:tc>
      </w:tr>
    </w:tbl>
    <w:p w:rsidRPr="00221383" w:rsidR="00C00215" w:rsidP="00C00215" w:rsidRDefault="00C00215">
      <w:pPr>
        <w:rPr>
          <w:rFonts w:asciiTheme="minorHAnsi" w:hAnsiTheme="minorHAnsi"/>
          <w:sz w:val="20"/>
          <w:szCs w:val="20"/>
        </w:rPr>
      </w:pPr>
    </w:p>
    <w:p w:rsidRPr="00221383" w:rsidR="00C00215" w:rsidP="00C00215" w:rsidRDefault="00C00215">
      <w:pPr>
        <w:rPr>
          <w:rFonts w:asciiTheme="minorHAnsi" w:hAnsiTheme="minorHAnsi"/>
        </w:rPr>
      </w:pPr>
    </w:p>
    <w:p w:rsidR="00BF2EB9" w:rsidRDefault="00BF2EB9"/>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215" w:rsidRDefault="00C00215" w:rsidP="00C00215">
      <w:r>
        <w:separator/>
      </w:r>
    </w:p>
  </w:endnote>
  <w:endnote w:type="continuationSeparator" w:id="0">
    <w:p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215" w:rsidRDefault="00C00215" w:rsidP="00C00215">
      <w:r>
        <w:separator/>
      </w:r>
    </w:p>
  </w:footnote>
  <w:footnote w:type="continuationSeparator" w:id="0">
    <w:p w:rsidR="00C00215" w:rsidRDefault="00C00215" w:rsidP="00C00215">
      <w:r>
        <w:continuationSeparator/>
      </w:r>
    </w:p>
  </w:footnote>
  <w:footnote w:id="1">
    <w:p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15"/>
    <w:rsid w:val="001717F0"/>
    <w:rsid w:val="002C6CCE"/>
    <w:rsid w:val="003D49A3"/>
    <w:rsid w:val="00433D6E"/>
    <w:rsid w:val="00557DE1"/>
    <w:rsid w:val="007E6A68"/>
    <w:rsid w:val="008F4194"/>
    <w:rsid w:val="009C7CE2"/>
    <w:rsid w:val="00A63FDD"/>
    <w:rsid w:val="00B612FC"/>
    <w:rsid w:val="00BF2EB9"/>
    <w:rsid w:val="00C00215"/>
    <w:rsid w:val="00FA2B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3D49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3D49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33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info/law/better-regulation/initiatives/ares-2017-5291384_en"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ec.europa.eu/yourvoice/consultations/index_nl.htm" TargetMode="External" Id="rId10" /><Relationship Type="http://schemas.openxmlformats.org/officeDocument/2006/relationships/settings" Target="settings.xml" Id="rId4"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2060</ap:Words>
  <ap:Characters>13601</ap:Characters>
  <ap:DocSecurity>0</ap:DocSecurity>
  <ap:Lines>113</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2019-03-07T11:55:00.0000000Z</dcterms:created>
  <dcterms:modified xsi:type="dcterms:W3CDTF">2019-03-07T11:55:00.0000000Z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0x010100107650DB4938174097B28B34B5C0CEC3</vt:lpwstr>
  </property>
</Properties>
</file>