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32D" w:rsidRDefault="005D0E65">
      <w:pPr>
        <w:rPr>
          <w:b/>
          <w:sz w:val="22"/>
        </w:rPr>
      </w:pPr>
      <w:bookmarkStart w:name="_GoBack" w:id="0"/>
      <w:bookmarkEnd w:id="0"/>
      <w:r w:rsidRPr="005D0E65">
        <w:rPr>
          <w:b/>
          <w:sz w:val="22"/>
        </w:rPr>
        <w:t>Kennisagenda 2019</w:t>
      </w:r>
      <w:r>
        <w:rPr>
          <w:b/>
          <w:sz w:val="22"/>
        </w:rPr>
        <w:t xml:space="preserve"> van de vaste </w:t>
      </w:r>
      <w:r w:rsidRPr="005D0E65">
        <w:rPr>
          <w:b/>
          <w:sz w:val="22"/>
        </w:rPr>
        <w:t xml:space="preserve">commissie </w:t>
      </w:r>
      <w:r>
        <w:rPr>
          <w:b/>
          <w:sz w:val="22"/>
        </w:rPr>
        <w:t xml:space="preserve">voor </w:t>
      </w:r>
      <w:r w:rsidR="00E075DF">
        <w:rPr>
          <w:b/>
          <w:sz w:val="22"/>
        </w:rPr>
        <w:t xml:space="preserve">Koninkrijksrelaties </w:t>
      </w:r>
    </w:p>
    <w:p w:rsidR="00076DBC" w:rsidP="00AE3198" w:rsidRDefault="00076DBC">
      <w:pPr>
        <w:spacing w:line="283" w:lineRule="exact"/>
      </w:pPr>
    </w:p>
    <w:p w:rsidR="00AE3198" w:rsidP="00AE3198" w:rsidRDefault="00AE3198">
      <w:pPr>
        <w:spacing w:line="283" w:lineRule="exact"/>
      </w:pPr>
      <w:r>
        <w:t xml:space="preserve">Bijlage besluitenlijst procedurevergadering </w:t>
      </w:r>
      <w:r w:rsidR="00E075DF">
        <w:t>2</w:t>
      </w:r>
      <w:r w:rsidR="00076DBC">
        <w:t>1</w:t>
      </w:r>
      <w:r>
        <w:t xml:space="preserve"> februari  2019</w:t>
      </w:r>
    </w:p>
    <w:p w:rsidR="00AE3198" w:rsidP="00AE3198" w:rsidRDefault="00AE3198">
      <w:pPr>
        <w:spacing w:line="283" w:lineRule="exact"/>
      </w:pPr>
    </w:p>
    <w:p w:rsidR="00076DBC" w:rsidP="00076DBC" w:rsidRDefault="00076DBC">
      <w:pPr>
        <w:pStyle w:val="Default"/>
      </w:pPr>
    </w:p>
    <w:p w:rsidR="00076DBC" w:rsidP="00076DBC" w:rsidRDefault="00076DBC">
      <w:pPr>
        <w:pStyle w:val="Default"/>
        <w:rPr>
          <w:sz w:val="18"/>
          <w:szCs w:val="18"/>
        </w:rPr>
      </w:pPr>
      <w:r>
        <w:rPr>
          <w:b/>
          <w:bCs/>
          <w:sz w:val="18"/>
          <w:szCs w:val="18"/>
        </w:rPr>
        <w:t xml:space="preserve">Inzet van kennisinstrumenten </w:t>
      </w:r>
    </w:p>
    <w:p w:rsidR="00AE3198" w:rsidP="00076DBC" w:rsidRDefault="00076DBC">
      <w:pPr>
        <w:spacing w:line="283" w:lineRule="exact"/>
      </w:pPr>
      <w:r>
        <w:rPr>
          <w:szCs w:val="18"/>
        </w:rPr>
        <w:t>De vaste commissie voor Koninkrijksrelaties  is voornemens in 2019 nadere voorstellen uit te werken voor de inzet van haar kennisinstrumentarium ten behoeve van de volgende onderwerpen.</w:t>
      </w:r>
      <w:r w:rsidR="00AE3198">
        <w:t xml:space="preserve"> </w:t>
      </w:r>
    </w:p>
    <w:p w:rsidR="00F976CD" w:rsidP="00F976CD" w:rsidRDefault="00F976CD">
      <w:pPr>
        <w:spacing w:line="283" w:lineRule="exact"/>
      </w:pPr>
    </w:p>
    <w:p w:rsidR="00AE3198" w:rsidP="00AE3198" w:rsidRDefault="00AE3198">
      <w:r w:rsidRPr="00E4177B">
        <w:t>De</w:t>
      </w:r>
      <w:r>
        <w:t>ze</w:t>
      </w:r>
      <w:r w:rsidRPr="00E4177B">
        <w:t xml:space="preserve"> </w:t>
      </w:r>
      <w:r>
        <w:t xml:space="preserve">kennisagenda kan </w:t>
      </w:r>
      <w:r w:rsidRPr="00E4177B">
        <w:t xml:space="preserve">gedurende het jaar desgewenst </w:t>
      </w:r>
      <w:r>
        <w:t>worden geactualiseerd of</w:t>
      </w:r>
      <w:r w:rsidRPr="00E4177B">
        <w:t xml:space="preserve"> </w:t>
      </w:r>
      <w:r>
        <w:t>aangevuld</w:t>
      </w:r>
      <w:r w:rsidRPr="00E4177B">
        <w:t>.</w:t>
      </w:r>
    </w:p>
    <w:p w:rsidR="005D0E65" w:rsidRDefault="005D0E65">
      <w:pPr>
        <w:rPr>
          <w:b/>
          <w:sz w:val="22"/>
        </w:rPr>
      </w:pPr>
    </w:p>
    <w:tbl>
      <w:tblPr>
        <w:tblStyle w:val="Tabelraster"/>
        <w:tblW w:w="9039" w:type="dxa"/>
        <w:tblLook w:val="04A0" w:firstRow="1" w:lastRow="0" w:firstColumn="1" w:lastColumn="0" w:noHBand="0" w:noVBand="1"/>
      </w:tblPr>
      <w:tblGrid>
        <w:gridCol w:w="2862"/>
        <w:gridCol w:w="3577"/>
        <w:gridCol w:w="2600"/>
      </w:tblGrid>
      <w:tr w:rsidR="00EF3860" w:rsidTr="005129CE">
        <w:tc>
          <w:tcPr>
            <w:tcW w:w="2862" w:type="dxa"/>
            <w:tcBorders>
              <w:bottom w:val="single" w:color="auto" w:sz="4" w:space="0"/>
            </w:tcBorders>
          </w:tcPr>
          <w:p w:rsidR="00EF3860" w:rsidP="005D0E65" w:rsidRDefault="00EF3860">
            <w:pPr>
              <w:rPr>
                <w:b/>
                <w:sz w:val="22"/>
              </w:rPr>
            </w:pPr>
            <w:r>
              <w:rPr>
                <w:b/>
                <w:sz w:val="22"/>
              </w:rPr>
              <w:t>Thema</w:t>
            </w:r>
          </w:p>
        </w:tc>
        <w:tc>
          <w:tcPr>
            <w:tcW w:w="3577" w:type="dxa"/>
            <w:tcBorders>
              <w:bottom w:val="single" w:color="auto" w:sz="4" w:space="0"/>
            </w:tcBorders>
          </w:tcPr>
          <w:p w:rsidR="00EF3860" w:rsidRDefault="00EF3860">
            <w:pPr>
              <w:rPr>
                <w:b/>
                <w:sz w:val="22"/>
              </w:rPr>
            </w:pPr>
            <w:r>
              <w:rPr>
                <w:b/>
                <w:sz w:val="22"/>
              </w:rPr>
              <w:t>Instrument/toelichting</w:t>
            </w:r>
          </w:p>
        </w:tc>
        <w:tc>
          <w:tcPr>
            <w:tcW w:w="2600" w:type="dxa"/>
            <w:tcBorders>
              <w:bottom w:val="single" w:color="auto" w:sz="4" w:space="0"/>
            </w:tcBorders>
          </w:tcPr>
          <w:p w:rsidR="00EF3860" w:rsidRDefault="00EF3860">
            <w:pPr>
              <w:rPr>
                <w:b/>
                <w:sz w:val="22"/>
              </w:rPr>
            </w:pPr>
            <w:r>
              <w:rPr>
                <w:b/>
                <w:sz w:val="22"/>
              </w:rPr>
              <w:t>Relevante punten planningsoverzicht ministerie BZK</w:t>
            </w:r>
          </w:p>
        </w:tc>
      </w:tr>
      <w:tr w:rsidR="00EF3860" w:rsidTr="005129CE">
        <w:tc>
          <w:tcPr>
            <w:tcW w:w="6439" w:type="dxa"/>
            <w:gridSpan w:val="2"/>
            <w:shd w:val="clear" w:color="auto" w:fill="A6A6A6" w:themeFill="background1" w:themeFillShade="A6"/>
          </w:tcPr>
          <w:p w:rsidR="00EF3860" w:rsidP="00AA1A47" w:rsidRDefault="00EF3860">
            <w:pPr>
              <w:rPr>
                <w:b/>
                <w:sz w:val="22"/>
              </w:rPr>
            </w:pPr>
            <w:r>
              <w:rPr>
                <w:b/>
                <w:sz w:val="22"/>
              </w:rPr>
              <w:t>In 2019 doorlopende activiteiten kennisagenda 2018</w:t>
            </w:r>
          </w:p>
        </w:tc>
        <w:tc>
          <w:tcPr>
            <w:tcW w:w="2600" w:type="dxa"/>
            <w:shd w:val="clear" w:color="auto" w:fill="A6A6A6" w:themeFill="background1" w:themeFillShade="A6"/>
          </w:tcPr>
          <w:p w:rsidR="00EF3860" w:rsidP="00AA1A47" w:rsidRDefault="00EF3860">
            <w:pPr>
              <w:rPr>
                <w:b/>
                <w:sz w:val="22"/>
              </w:rPr>
            </w:pPr>
          </w:p>
        </w:tc>
      </w:tr>
      <w:tr w:rsidRPr="005D0E65" w:rsidR="00EF3860" w:rsidTr="005129CE">
        <w:tc>
          <w:tcPr>
            <w:tcW w:w="2862" w:type="dxa"/>
          </w:tcPr>
          <w:p w:rsidRPr="00076DBC" w:rsidR="00EF3860" w:rsidP="006A212D" w:rsidRDefault="00EF3860">
            <w:pPr>
              <w:pStyle w:val="Lijstalinea"/>
              <w:numPr>
                <w:ilvl w:val="0"/>
                <w:numId w:val="3"/>
              </w:numPr>
            </w:pPr>
            <w:r w:rsidRPr="00076DBC">
              <w:t xml:space="preserve">financiële en sociaaleconomische ontwikkeling van de drie </w:t>
            </w:r>
            <w:proofErr w:type="spellStart"/>
            <w:r w:rsidRPr="00076DBC">
              <w:t>Koninkrijkslanden</w:t>
            </w:r>
            <w:proofErr w:type="spellEnd"/>
            <w:r w:rsidRPr="00076DBC">
              <w:t xml:space="preserve"> en de BES-eilanden sinds 2011</w:t>
            </w:r>
          </w:p>
        </w:tc>
        <w:tc>
          <w:tcPr>
            <w:tcW w:w="3577" w:type="dxa"/>
          </w:tcPr>
          <w:p w:rsidRPr="00CF16F0" w:rsidR="00EF3860" w:rsidP="006A212D" w:rsidRDefault="00EF3860">
            <w:r>
              <w:t>Onderzoek SEO; presentatie 21 februari 2019</w:t>
            </w:r>
            <w:r w:rsidRPr="00CF16F0">
              <w:t xml:space="preserve"> </w:t>
            </w:r>
          </w:p>
          <w:p w:rsidRPr="005D0E65" w:rsidR="00EF3860" w:rsidP="006A212D" w:rsidRDefault="00EF3860">
            <w:pPr>
              <w:rPr>
                <w:szCs w:val="18"/>
              </w:rPr>
            </w:pPr>
          </w:p>
        </w:tc>
        <w:tc>
          <w:tcPr>
            <w:tcW w:w="2600" w:type="dxa"/>
          </w:tcPr>
          <w:p w:rsidR="00EF3860" w:rsidP="006A212D" w:rsidRDefault="00EF3860">
            <w:r>
              <w:t>Q1:</w:t>
            </w:r>
          </w:p>
          <w:p w:rsidR="00EF3860" w:rsidP="00EF3860" w:rsidRDefault="00EF3860">
            <w:pPr>
              <w:pStyle w:val="Lijstalinea"/>
              <w:numPr>
                <w:ilvl w:val="0"/>
                <w:numId w:val="10"/>
              </w:numPr>
            </w:pPr>
            <w:r w:rsidRPr="00EF3860">
              <w:t xml:space="preserve">Informatie over verlenging </w:t>
            </w:r>
            <w:proofErr w:type="spellStart"/>
            <w:r w:rsidRPr="00EF3860">
              <w:t>Rft</w:t>
            </w:r>
            <w:proofErr w:type="spellEnd"/>
            <w:r w:rsidRPr="00EF3860">
              <w:t>, Koninklijk Besluit</w:t>
            </w:r>
          </w:p>
          <w:p w:rsidR="00EF3860" w:rsidP="006A212D" w:rsidRDefault="00EF3860">
            <w:r>
              <w:t>Q2:</w:t>
            </w:r>
          </w:p>
          <w:p w:rsidR="00EF3860" w:rsidP="00EF3860" w:rsidRDefault="00EF3860">
            <w:pPr>
              <w:pStyle w:val="Lijstalinea"/>
              <w:numPr>
                <w:ilvl w:val="0"/>
                <w:numId w:val="8"/>
              </w:numPr>
            </w:pPr>
            <w:r w:rsidRPr="00EF3860">
              <w:t>Voortgangsrapportage bestuursakkoord Bonaire</w:t>
            </w:r>
          </w:p>
          <w:p w:rsidR="00EF3860" w:rsidP="00EF3860" w:rsidRDefault="00EF3860">
            <w:pPr>
              <w:pStyle w:val="Lijstalinea"/>
              <w:numPr>
                <w:ilvl w:val="0"/>
                <w:numId w:val="8"/>
              </w:numPr>
            </w:pPr>
            <w:r w:rsidRPr="00EF3860">
              <w:t>Bestuursakkoord met Saba – Saba-package</w:t>
            </w:r>
          </w:p>
          <w:p w:rsidR="00EF3860" w:rsidP="00EF3860" w:rsidRDefault="00EF3860">
            <w:pPr>
              <w:pStyle w:val="Lijstalinea"/>
              <w:numPr>
                <w:ilvl w:val="0"/>
                <w:numId w:val="8"/>
              </w:numPr>
            </w:pPr>
            <w:r>
              <w:t>Stand van zaken besteding Regio-envelop</w:t>
            </w:r>
          </w:p>
          <w:p w:rsidR="00EF3860" w:rsidP="00EF3860" w:rsidRDefault="00EF3860">
            <w:pPr>
              <w:pStyle w:val="Lijstalinea"/>
              <w:numPr>
                <w:ilvl w:val="0"/>
                <w:numId w:val="8"/>
              </w:numPr>
            </w:pPr>
            <w:r>
              <w:t>IJkpunt sociale zekerheid</w:t>
            </w:r>
          </w:p>
          <w:p w:rsidR="00EF3860" w:rsidP="00EF3860" w:rsidRDefault="00EF3860">
            <w:r>
              <w:t>Q4:</w:t>
            </w:r>
          </w:p>
          <w:p w:rsidR="00EF3860" w:rsidP="00EF3860" w:rsidRDefault="00EF3860">
            <w:pPr>
              <w:pStyle w:val="Lijstalinea"/>
              <w:numPr>
                <w:ilvl w:val="0"/>
                <w:numId w:val="9"/>
              </w:numPr>
            </w:pPr>
            <w:r w:rsidRPr="00EF3860">
              <w:t>Voortgangsrapportage bestuursakkoord Bonaire en Saba-package</w:t>
            </w:r>
          </w:p>
          <w:p w:rsidR="00EF3860" w:rsidP="006A212D" w:rsidRDefault="00EF3860"/>
        </w:tc>
      </w:tr>
      <w:tr w:rsidRPr="005D0E65" w:rsidR="00EF3860" w:rsidTr="005129CE">
        <w:tc>
          <w:tcPr>
            <w:tcW w:w="2862" w:type="dxa"/>
          </w:tcPr>
          <w:p w:rsidRPr="00CF16F0" w:rsidR="00EF3860" w:rsidP="00076DBC" w:rsidRDefault="00EF3860">
            <w:pPr>
              <w:pStyle w:val="Lijstalinea"/>
              <w:numPr>
                <w:ilvl w:val="0"/>
                <w:numId w:val="3"/>
              </w:numPr>
            </w:pPr>
            <w:r w:rsidRPr="00076DBC">
              <w:t xml:space="preserve">Kennisopbouw in het kader van een toekomstvisie voor het Koninkrijk kennisvermeerdering over hoe andere landen (Engeland, Frankrijk, Denemarken) de relatie met hun voormalige koloniën hebben ingericht, in het licht van de financiële en sociaaleconomische ontwikkeling van de drie </w:t>
            </w:r>
            <w:proofErr w:type="spellStart"/>
            <w:r w:rsidRPr="00076DBC">
              <w:t>Koninkrijkslanden</w:t>
            </w:r>
            <w:proofErr w:type="spellEnd"/>
            <w:r w:rsidRPr="00076DBC">
              <w:t xml:space="preserve"> en de BES-eilanden sinds 2010.</w:t>
            </w:r>
          </w:p>
        </w:tc>
        <w:tc>
          <w:tcPr>
            <w:tcW w:w="3577" w:type="dxa"/>
          </w:tcPr>
          <w:p w:rsidRPr="005D0E65" w:rsidR="00EF3860" w:rsidP="00076DBC" w:rsidRDefault="00EF3860">
            <w:pPr>
              <w:rPr>
                <w:szCs w:val="18"/>
              </w:rPr>
            </w:pPr>
            <w:r w:rsidRPr="00076DBC">
              <w:t xml:space="preserve">Onderzoek </w:t>
            </w:r>
            <w:r>
              <w:t>RUG</w:t>
            </w:r>
            <w:r w:rsidRPr="00076DBC">
              <w:t xml:space="preserve">; presentatie </w:t>
            </w:r>
            <w:r>
              <w:t xml:space="preserve">naar verwachting april </w:t>
            </w:r>
            <w:r w:rsidRPr="00076DBC">
              <w:t xml:space="preserve">2019 </w:t>
            </w:r>
          </w:p>
        </w:tc>
        <w:tc>
          <w:tcPr>
            <w:tcW w:w="2600" w:type="dxa"/>
          </w:tcPr>
          <w:p w:rsidRPr="00076DBC" w:rsidR="00EF3860" w:rsidP="00076DBC" w:rsidRDefault="00EF3860">
            <w:r>
              <w:t>Zie ook onder punt 6.</w:t>
            </w:r>
          </w:p>
        </w:tc>
      </w:tr>
      <w:tr w:rsidRPr="005D0E65" w:rsidR="00EF3860" w:rsidTr="005129CE">
        <w:tc>
          <w:tcPr>
            <w:tcW w:w="2862" w:type="dxa"/>
          </w:tcPr>
          <w:p w:rsidRPr="00CF16F0" w:rsidR="00EF3860" w:rsidP="006A212D" w:rsidRDefault="00EF3860">
            <w:pPr>
              <w:pStyle w:val="Lijstalinea"/>
              <w:numPr>
                <w:ilvl w:val="0"/>
                <w:numId w:val="3"/>
              </w:numPr>
            </w:pPr>
            <w:r w:rsidRPr="00076DBC">
              <w:t>Volgen wederopbouw Bovenwindse eilanden na de orkaan</w:t>
            </w:r>
          </w:p>
        </w:tc>
        <w:tc>
          <w:tcPr>
            <w:tcW w:w="3577" w:type="dxa"/>
          </w:tcPr>
          <w:p w:rsidRPr="005D0E65" w:rsidR="00EF3860" w:rsidP="00076DBC" w:rsidRDefault="00EF3860">
            <w:pPr>
              <w:rPr>
                <w:szCs w:val="18"/>
              </w:rPr>
            </w:pPr>
            <w:r>
              <w:t xml:space="preserve">Overleggen met staatssecretaris </w:t>
            </w:r>
            <w:proofErr w:type="spellStart"/>
            <w:r>
              <w:t>nav</w:t>
            </w:r>
            <w:proofErr w:type="spellEnd"/>
            <w:r>
              <w:t xml:space="preserve"> periodieke rapportages</w:t>
            </w:r>
          </w:p>
        </w:tc>
        <w:tc>
          <w:tcPr>
            <w:tcW w:w="2600" w:type="dxa"/>
          </w:tcPr>
          <w:p w:rsidR="00EF3860" w:rsidP="00076DBC" w:rsidRDefault="00EF3860">
            <w:r>
              <w:t xml:space="preserve">Q 2: </w:t>
            </w:r>
            <w:r w:rsidRPr="00EF3860">
              <w:t>Tweede voortgangsrapportage Wereldbank en wederopbouw Sint Maarten</w:t>
            </w:r>
          </w:p>
        </w:tc>
      </w:tr>
      <w:tr w:rsidRPr="005D0E65" w:rsidR="00EF3860" w:rsidTr="005129CE">
        <w:tc>
          <w:tcPr>
            <w:tcW w:w="2862" w:type="dxa"/>
          </w:tcPr>
          <w:p w:rsidRPr="00CF16F0" w:rsidR="00EF3860" w:rsidP="00076DBC" w:rsidRDefault="00EF3860">
            <w:pPr>
              <w:pStyle w:val="Lijstalinea"/>
              <w:numPr>
                <w:ilvl w:val="0"/>
                <w:numId w:val="3"/>
              </w:numPr>
            </w:pPr>
            <w:r w:rsidRPr="00076DBC">
              <w:t xml:space="preserve">Volgen voortgang goed </w:t>
            </w:r>
            <w:r w:rsidRPr="00076DBC">
              <w:lastRenderedPageBreak/>
              <w:t>bestuur Sint Eustatius tijdens de geldingsduur van de Tijdelijke Wet Taakverwaarlozing Sint Eustatius</w:t>
            </w:r>
          </w:p>
        </w:tc>
        <w:tc>
          <w:tcPr>
            <w:tcW w:w="3577" w:type="dxa"/>
          </w:tcPr>
          <w:p w:rsidRPr="00CF16F0" w:rsidR="00EF3860" w:rsidP="006A212D" w:rsidRDefault="00EF3860">
            <w:r w:rsidRPr="00076DBC">
              <w:lastRenderedPageBreak/>
              <w:t xml:space="preserve">Overleggen met staatssecretaris </w:t>
            </w:r>
            <w:proofErr w:type="spellStart"/>
            <w:r w:rsidRPr="00076DBC">
              <w:t>nav</w:t>
            </w:r>
            <w:proofErr w:type="spellEnd"/>
            <w:r w:rsidRPr="00076DBC">
              <w:t xml:space="preserve"> </w:t>
            </w:r>
            <w:r w:rsidRPr="00076DBC">
              <w:lastRenderedPageBreak/>
              <w:t>periodieke rapportages</w:t>
            </w:r>
          </w:p>
        </w:tc>
        <w:tc>
          <w:tcPr>
            <w:tcW w:w="2600" w:type="dxa"/>
          </w:tcPr>
          <w:p w:rsidR="00EF3860" w:rsidP="00EF3860" w:rsidRDefault="00EF3860">
            <w:pPr>
              <w:pStyle w:val="Lijstalinea"/>
              <w:numPr>
                <w:ilvl w:val="0"/>
                <w:numId w:val="9"/>
              </w:numPr>
            </w:pPr>
            <w:r>
              <w:lastRenderedPageBreak/>
              <w:t xml:space="preserve">Q2: </w:t>
            </w:r>
            <w:r w:rsidRPr="00EF3860">
              <w:t xml:space="preserve">Derde </w:t>
            </w:r>
            <w:r w:rsidRPr="00EF3860">
              <w:lastRenderedPageBreak/>
              <w:t>voortgangsrapportage Sint Eustatius</w:t>
            </w:r>
          </w:p>
          <w:p w:rsidR="00EF3860" w:rsidP="00EF3860" w:rsidRDefault="00EF3860">
            <w:pPr>
              <w:pStyle w:val="Lijstalinea"/>
              <w:numPr>
                <w:ilvl w:val="0"/>
                <w:numId w:val="9"/>
              </w:numPr>
            </w:pPr>
            <w:r>
              <w:t xml:space="preserve">Q3: </w:t>
            </w:r>
            <w:r w:rsidRPr="00EF3860">
              <w:t>Besluit over verkiezingen op Sint Eustatius</w:t>
            </w:r>
          </w:p>
          <w:p w:rsidRPr="00076DBC" w:rsidR="00EF3860" w:rsidP="00EF3860" w:rsidRDefault="00EF3860">
            <w:pPr>
              <w:pStyle w:val="Lijstalinea"/>
              <w:numPr>
                <w:ilvl w:val="0"/>
                <w:numId w:val="9"/>
              </w:numPr>
            </w:pPr>
            <w:r>
              <w:t xml:space="preserve">Q4: </w:t>
            </w:r>
            <w:r w:rsidRPr="00EF3860">
              <w:t>Vierde voortgangsrapportage Sint Eustatius</w:t>
            </w:r>
          </w:p>
        </w:tc>
      </w:tr>
      <w:tr w:rsidRPr="005D0E65" w:rsidR="00EF3860" w:rsidTr="005129CE">
        <w:tc>
          <w:tcPr>
            <w:tcW w:w="2862" w:type="dxa"/>
          </w:tcPr>
          <w:p w:rsidRPr="00CF16F0" w:rsidR="00EF3860" w:rsidP="00AA1A47" w:rsidRDefault="00EF3860">
            <w:pPr>
              <w:pStyle w:val="Lijstalinea"/>
              <w:numPr>
                <w:ilvl w:val="0"/>
                <w:numId w:val="3"/>
              </w:numPr>
            </w:pPr>
            <w:r w:rsidRPr="00AA1A47">
              <w:lastRenderedPageBreak/>
              <w:t xml:space="preserve">SDG </w:t>
            </w:r>
            <w:proofErr w:type="spellStart"/>
            <w:r w:rsidRPr="00AA1A47">
              <w:t>Planet</w:t>
            </w:r>
            <w:proofErr w:type="spellEnd"/>
            <w:r w:rsidRPr="00AA1A47">
              <w:t xml:space="preserve"> / </w:t>
            </w:r>
            <w:proofErr w:type="spellStart"/>
            <w:r w:rsidRPr="00AA1A47">
              <w:t>Prosperity</w:t>
            </w:r>
            <w:proofErr w:type="spellEnd"/>
            <w:r w:rsidRPr="00AA1A47">
              <w:t xml:space="preserve">; </w:t>
            </w:r>
          </w:p>
        </w:tc>
        <w:tc>
          <w:tcPr>
            <w:tcW w:w="3577" w:type="dxa"/>
          </w:tcPr>
          <w:p w:rsidR="00EF3860" w:rsidP="006A212D" w:rsidRDefault="00EF3860">
            <w:r w:rsidRPr="00AA1A47">
              <w:t>betrekken bij IPKO juni 2019</w:t>
            </w:r>
            <w:r>
              <w:t>;</w:t>
            </w:r>
          </w:p>
          <w:p w:rsidRPr="00AA1A47" w:rsidR="00EF3860" w:rsidP="006A212D" w:rsidRDefault="00EF3860">
            <w:pPr>
              <w:rPr>
                <w:i/>
              </w:rPr>
            </w:pPr>
            <w:r w:rsidRPr="00AA1A47">
              <w:rPr>
                <w:i/>
              </w:rPr>
              <w:t xml:space="preserve">De trekker namens de Nederlandse delegatie is het lid Bosman. Afgesproken is dat de focus zal liggen op klimaatverandering, met als onderliggende aandachtspunten: (1) CO2-reductie, (2) carbon footprint, (3) </w:t>
            </w:r>
            <w:proofErr w:type="spellStart"/>
            <w:r w:rsidRPr="00AA1A47">
              <w:rPr>
                <w:i/>
              </w:rPr>
              <w:t>wastemanagement</w:t>
            </w:r>
            <w:proofErr w:type="spellEnd"/>
            <w:r w:rsidRPr="00AA1A47">
              <w:rPr>
                <w:i/>
              </w:rPr>
              <w:t xml:space="preserve"> op macro-, </w:t>
            </w:r>
            <w:proofErr w:type="spellStart"/>
            <w:r w:rsidRPr="00AA1A47">
              <w:rPr>
                <w:i/>
              </w:rPr>
              <w:t>meso</w:t>
            </w:r>
            <w:proofErr w:type="spellEnd"/>
            <w:r w:rsidRPr="00AA1A47">
              <w:rPr>
                <w:i/>
              </w:rPr>
              <w:t xml:space="preserve">- en </w:t>
            </w:r>
            <w:proofErr w:type="spellStart"/>
            <w:r w:rsidRPr="00AA1A47">
              <w:rPr>
                <w:i/>
              </w:rPr>
              <w:t>micro-niveau</w:t>
            </w:r>
            <w:proofErr w:type="spellEnd"/>
            <w:r w:rsidRPr="00AA1A47">
              <w:rPr>
                <w:i/>
              </w:rPr>
              <w:t xml:space="preserve"> en (4) bewustwording.)</w:t>
            </w:r>
          </w:p>
        </w:tc>
        <w:tc>
          <w:tcPr>
            <w:tcW w:w="2600" w:type="dxa"/>
          </w:tcPr>
          <w:p w:rsidRPr="00AA1A47" w:rsidR="00EF3860" w:rsidP="006A212D" w:rsidRDefault="00EF3860"/>
        </w:tc>
      </w:tr>
      <w:tr w:rsidR="00EF3860" w:rsidTr="005129CE">
        <w:tc>
          <w:tcPr>
            <w:tcW w:w="6439" w:type="dxa"/>
            <w:gridSpan w:val="2"/>
            <w:shd w:val="clear" w:color="auto" w:fill="A6A6A6" w:themeFill="background1" w:themeFillShade="A6"/>
          </w:tcPr>
          <w:p w:rsidR="00EF3860" w:rsidP="00AA1A47" w:rsidRDefault="00EF3860">
            <w:pPr>
              <w:rPr>
                <w:b/>
                <w:sz w:val="22"/>
              </w:rPr>
            </w:pPr>
            <w:r>
              <w:rPr>
                <w:b/>
                <w:sz w:val="22"/>
              </w:rPr>
              <w:t>Toegevoegde onderwerpen kennisagenda 2019</w:t>
            </w:r>
          </w:p>
        </w:tc>
        <w:tc>
          <w:tcPr>
            <w:tcW w:w="2600" w:type="dxa"/>
            <w:shd w:val="clear" w:color="auto" w:fill="A6A6A6" w:themeFill="background1" w:themeFillShade="A6"/>
          </w:tcPr>
          <w:p w:rsidR="00EF3860" w:rsidP="00AA1A47" w:rsidRDefault="00EF3860">
            <w:pPr>
              <w:rPr>
                <w:b/>
                <w:sz w:val="22"/>
              </w:rPr>
            </w:pPr>
          </w:p>
        </w:tc>
      </w:tr>
      <w:tr w:rsidRPr="005D0E65" w:rsidR="00EF3860" w:rsidTr="005129CE">
        <w:tc>
          <w:tcPr>
            <w:tcW w:w="2862" w:type="dxa"/>
          </w:tcPr>
          <w:p w:rsidRPr="00AA1A47" w:rsidR="00EF3860" w:rsidP="005D0E65" w:rsidRDefault="00EF3860">
            <w:pPr>
              <w:pStyle w:val="Lijstalinea"/>
              <w:numPr>
                <w:ilvl w:val="0"/>
                <w:numId w:val="3"/>
              </w:numPr>
              <w:rPr>
                <w:szCs w:val="18"/>
              </w:rPr>
            </w:pPr>
            <w:r w:rsidRPr="00AA1A47">
              <w:rPr>
                <w:rFonts w:eastAsia="DejaVu Sans" w:cs="Lohit Hindi"/>
                <w:bCs/>
                <w:color w:val="000000"/>
                <w:szCs w:val="18"/>
                <w:lang w:eastAsia="nl-NL"/>
              </w:rPr>
              <w:t>Voorbereiding behandeling Geschillenregeling / oriëntatie toekomstige Koninkrijksverhoudingen</w:t>
            </w:r>
          </w:p>
        </w:tc>
        <w:tc>
          <w:tcPr>
            <w:tcW w:w="3577" w:type="dxa"/>
          </w:tcPr>
          <w:p w:rsidRPr="00AA1A47" w:rsidR="00EF3860" w:rsidP="00AA1A47" w:rsidRDefault="00EF3860">
            <w:pPr>
              <w:numPr>
                <w:ilvl w:val="0"/>
                <w:numId w:val="7"/>
              </w:numPr>
              <w:rPr>
                <w:bCs/>
              </w:rPr>
            </w:pPr>
            <w:r w:rsidRPr="00AA1A47">
              <w:t xml:space="preserve">Voorafgaand aan de plenaire behandeling van de </w:t>
            </w:r>
            <w:r w:rsidRPr="00AA1A47">
              <w:rPr>
                <w:bCs/>
              </w:rPr>
              <w:t xml:space="preserve">Rijkswet </w:t>
            </w:r>
            <w:proofErr w:type="spellStart"/>
            <w:r w:rsidRPr="00AA1A47">
              <w:rPr>
                <w:bCs/>
              </w:rPr>
              <w:t>Koninkrijksgeschillen</w:t>
            </w:r>
            <w:proofErr w:type="spellEnd"/>
            <w:r w:rsidRPr="00AA1A47">
              <w:rPr>
                <w:bCs/>
              </w:rPr>
              <w:t xml:space="preserve"> wordt een rondetafelgesprek georganiseerd met staatsrechtsgeleerden</w:t>
            </w:r>
            <w:r w:rsidR="00ED477C">
              <w:rPr>
                <w:bCs/>
              </w:rPr>
              <w:t xml:space="preserve">, c.q. </w:t>
            </w:r>
            <w:r w:rsidRPr="00AA1A47">
              <w:rPr>
                <w:bCs/>
              </w:rPr>
              <w:t>deskundigen</w:t>
            </w:r>
            <w:r>
              <w:rPr>
                <w:bCs/>
              </w:rPr>
              <w:t xml:space="preserve">. Daarbij kan </w:t>
            </w:r>
            <w:r w:rsidR="00ED477C">
              <w:rPr>
                <w:bCs/>
              </w:rPr>
              <w:t xml:space="preserve">wellicht </w:t>
            </w:r>
            <w:r w:rsidRPr="00AA1A47">
              <w:rPr>
                <w:bCs/>
              </w:rPr>
              <w:t>ook het bredere kader van toekomstige Koninkrijksverhoudingen aan de orde komen.</w:t>
            </w:r>
          </w:p>
          <w:p w:rsidRPr="00AE3198" w:rsidR="00EF3860" w:rsidP="00AA1A47" w:rsidRDefault="00EF3860">
            <w:pPr>
              <w:numPr>
                <w:ilvl w:val="0"/>
                <w:numId w:val="7"/>
              </w:numPr>
            </w:pPr>
            <w:r w:rsidRPr="00AA1A47">
              <w:rPr>
                <w:bCs/>
              </w:rPr>
              <w:t xml:space="preserve">Wellicht biedt de in maart van dit jaar te verwachten rapportage van de Rijksuniversiteit Groningen over het lopende vergelijkende onderzoek naar de staatkundige positie van diverse Caribische eilandgebieden </w:t>
            </w:r>
            <w:r>
              <w:rPr>
                <w:bCs/>
              </w:rPr>
              <w:t>verdere</w:t>
            </w:r>
            <w:r w:rsidRPr="00AA1A47">
              <w:rPr>
                <w:bCs/>
              </w:rPr>
              <w:t xml:space="preserve"> aanknopingspunten</w:t>
            </w:r>
            <w:r w:rsidR="00E03EB0">
              <w:rPr>
                <w:bCs/>
              </w:rPr>
              <w:t xml:space="preserve"> toekomstige Koninkrijksverhoudingen</w:t>
            </w:r>
            <w:r w:rsidRPr="00AA1A47">
              <w:rPr>
                <w:bCs/>
              </w:rPr>
              <w:t>.</w:t>
            </w:r>
          </w:p>
        </w:tc>
        <w:tc>
          <w:tcPr>
            <w:tcW w:w="2600" w:type="dxa"/>
          </w:tcPr>
          <w:p w:rsidR="00EF3860" w:rsidP="00EF3860" w:rsidRDefault="00EF3860">
            <w:r>
              <w:t>Q4:</w:t>
            </w:r>
          </w:p>
          <w:p w:rsidR="00EF3860" w:rsidP="00EF3860" w:rsidRDefault="00EF3860">
            <w:pPr>
              <w:numPr>
                <w:ilvl w:val="0"/>
                <w:numId w:val="7"/>
              </w:numPr>
            </w:pPr>
            <w:r>
              <w:t>Kabinetsstandpunt over de voorlichting van de Raad van State (motie Diertens)</w:t>
            </w:r>
          </w:p>
          <w:p w:rsidR="00EF3860" w:rsidP="00EF3860" w:rsidRDefault="00EF3860">
            <w:pPr>
              <w:numPr>
                <w:ilvl w:val="0"/>
                <w:numId w:val="7"/>
              </w:numPr>
            </w:pPr>
            <w:r>
              <w:t>Informatie over rapport van de aangevraagde IBO, betreffende de coördinerende rol van BZK</w:t>
            </w:r>
          </w:p>
          <w:p w:rsidR="00EF3860" w:rsidP="00EF3860" w:rsidRDefault="00EF3860">
            <w:pPr>
              <w:numPr>
                <w:ilvl w:val="0"/>
                <w:numId w:val="7"/>
              </w:numPr>
            </w:pPr>
            <w:r>
              <w:t>Kabinetsstandpunt over bereidheid de eilanden een stem te geven bij benoeming van de Rijksvertegenwoordiger</w:t>
            </w:r>
          </w:p>
          <w:p w:rsidRPr="00AA1A47" w:rsidR="00EF3860" w:rsidP="00EF3860" w:rsidRDefault="00EF3860">
            <w:pPr>
              <w:numPr>
                <w:ilvl w:val="0"/>
                <w:numId w:val="7"/>
              </w:numPr>
            </w:pPr>
            <w:r>
              <w:t>Kabinetsstandpunt over regierol BZK en meer integrale aanpak (motie Diertens e.a.)</w:t>
            </w:r>
          </w:p>
        </w:tc>
      </w:tr>
      <w:tr w:rsidRPr="005D0E65" w:rsidR="00EF3860" w:rsidTr="005129CE">
        <w:tc>
          <w:tcPr>
            <w:tcW w:w="2862" w:type="dxa"/>
          </w:tcPr>
          <w:p w:rsidRPr="00AA1A47" w:rsidR="00EF3860" w:rsidP="005D0E65" w:rsidRDefault="00EF3860">
            <w:pPr>
              <w:pStyle w:val="Lijstalinea"/>
              <w:numPr>
                <w:ilvl w:val="0"/>
                <w:numId w:val="3"/>
              </w:numPr>
              <w:rPr>
                <w:szCs w:val="18"/>
              </w:rPr>
            </w:pPr>
            <w:r w:rsidRPr="00AA1A47">
              <w:rPr>
                <w:bCs/>
                <w:szCs w:val="18"/>
              </w:rPr>
              <w:t>Onderzoek verbeteren landbouw BES-eilanden (terugblik en vooruitblik</w:t>
            </w:r>
          </w:p>
        </w:tc>
        <w:tc>
          <w:tcPr>
            <w:tcW w:w="3577" w:type="dxa"/>
          </w:tcPr>
          <w:p w:rsidR="00EF3860" w:rsidP="00AA1A47" w:rsidRDefault="00EF3860">
            <w:pPr>
              <w:pStyle w:val="Lijstalinea"/>
              <w:numPr>
                <w:ilvl w:val="0"/>
                <w:numId w:val="6"/>
              </w:numPr>
            </w:pPr>
            <w:r>
              <w:t>Verzoek aan de Algemene Rekenkamer om dit onderzoek te verrichten, voor zover het de besteding van de landbouwgelden betreft.</w:t>
            </w:r>
          </w:p>
          <w:p w:rsidR="00EF3860" w:rsidP="00AA1A47" w:rsidRDefault="00EF3860">
            <w:pPr>
              <w:pStyle w:val="Lijstalinea"/>
              <w:numPr>
                <w:ilvl w:val="0"/>
                <w:numId w:val="6"/>
              </w:numPr>
            </w:pPr>
            <w:r>
              <w:t>Verzoek aan de Universiteit Wageningen om  een studie te verrichten naar de mogelijkheden van landbouw in Caribisch Nederland.</w:t>
            </w:r>
          </w:p>
          <w:p w:rsidR="00EF3860" w:rsidP="00AA1A47" w:rsidRDefault="00EF3860">
            <w:pPr>
              <w:pStyle w:val="Lijstalinea"/>
              <w:numPr>
                <w:ilvl w:val="0"/>
                <w:numId w:val="6"/>
              </w:numPr>
            </w:pPr>
            <w:r>
              <w:t xml:space="preserve">Het onderzoek toekomst landbouw is  gericht op Bonaire, maar ook op Sint Eustatius en Saba . </w:t>
            </w:r>
          </w:p>
          <w:p w:rsidRPr="00CF16F0" w:rsidR="00EF3860" w:rsidP="00AA1A47" w:rsidRDefault="00EF3860">
            <w:pPr>
              <w:pStyle w:val="Lijstalinea"/>
              <w:numPr>
                <w:ilvl w:val="0"/>
                <w:numId w:val="6"/>
              </w:numPr>
            </w:pPr>
            <w:r>
              <w:t xml:space="preserve">De uitvoering van de motie Van den Berg c.s. (34775 –IV, </w:t>
            </w:r>
            <w:proofErr w:type="spellStart"/>
            <w:r>
              <w:t>nr</w:t>
            </w:r>
            <w:proofErr w:type="spellEnd"/>
            <w:r>
              <w:t xml:space="preserve"> 23) wordt hierbij betrokken.</w:t>
            </w:r>
          </w:p>
        </w:tc>
        <w:tc>
          <w:tcPr>
            <w:tcW w:w="2600" w:type="dxa"/>
          </w:tcPr>
          <w:p w:rsidR="00EF3860" w:rsidP="00EF3860" w:rsidRDefault="00EF3860">
            <w:r>
              <w:t xml:space="preserve">Q4. </w:t>
            </w:r>
            <w:r w:rsidRPr="00EF3860">
              <w:t>Onderzoek naar / uitvoering aan motie over de LVV en de landbouw op Bonaire (motie Bosman)</w:t>
            </w:r>
          </w:p>
        </w:tc>
      </w:tr>
      <w:tr w:rsidRPr="005D0E65" w:rsidR="00EF3860" w:rsidTr="005129CE">
        <w:tc>
          <w:tcPr>
            <w:tcW w:w="2862" w:type="dxa"/>
          </w:tcPr>
          <w:p w:rsidRPr="00EF3860" w:rsidR="00EF3860" w:rsidP="005D0E65" w:rsidRDefault="00EF3860">
            <w:pPr>
              <w:pStyle w:val="Lijstalinea"/>
              <w:numPr>
                <w:ilvl w:val="0"/>
                <w:numId w:val="3"/>
              </w:numPr>
              <w:rPr>
                <w:szCs w:val="18"/>
              </w:rPr>
            </w:pPr>
            <w:r w:rsidRPr="00EF3860">
              <w:rPr>
                <w:rFonts w:eastAsia="DejaVu Sans" w:cs="Lohit Hindi"/>
                <w:bCs/>
                <w:color w:val="000000"/>
                <w:szCs w:val="18"/>
                <w:lang w:eastAsia="nl-NL"/>
              </w:rPr>
              <w:t>Organisatie en praktijk opsporing en vervolging strafbare feiten</w:t>
            </w:r>
          </w:p>
        </w:tc>
        <w:tc>
          <w:tcPr>
            <w:tcW w:w="3577" w:type="dxa"/>
          </w:tcPr>
          <w:p w:rsidRPr="005D0E65" w:rsidR="00EF3860" w:rsidP="00AA1A47" w:rsidRDefault="00EF3860">
            <w:pPr>
              <w:rPr>
                <w:szCs w:val="18"/>
              </w:rPr>
            </w:pPr>
            <w:r>
              <w:rPr>
                <w:szCs w:val="18"/>
              </w:rPr>
              <w:t xml:space="preserve">Technische briefing door </w:t>
            </w:r>
            <w:r w:rsidRPr="00AA1A47">
              <w:rPr>
                <w:szCs w:val="18"/>
              </w:rPr>
              <w:t xml:space="preserve">het ministerie van BZK en </w:t>
            </w:r>
            <w:proofErr w:type="spellStart"/>
            <w:r w:rsidRPr="00AA1A47">
              <w:rPr>
                <w:szCs w:val="18"/>
              </w:rPr>
              <w:t>JenV</w:t>
            </w:r>
            <w:proofErr w:type="spellEnd"/>
            <w:r>
              <w:rPr>
                <w:szCs w:val="18"/>
              </w:rPr>
              <w:t xml:space="preserve">, te houden </w:t>
            </w:r>
            <w:r w:rsidRPr="00AA1A47">
              <w:rPr>
                <w:szCs w:val="18"/>
              </w:rPr>
              <w:t xml:space="preserve">na het verschijnen van het </w:t>
            </w:r>
            <w:r w:rsidRPr="00AA1A47">
              <w:rPr>
                <w:szCs w:val="18"/>
              </w:rPr>
              <w:lastRenderedPageBreak/>
              <w:t>jaarverslag 2018 van het RST</w:t>
            </w:r>
            <w:r>
              <w:rPr>
                <w:szCs w:val="18"/>
              </w:rPr>
              <w:t xml:space="preserve">. In de briefing worden </w:t>
            </w:r>
            <w:r w:rsidRPr="00AA1A47">
              <w:rPr>
                <w:szCs w:val="18"/>
              </w:rPr>
              <w:t xml:space="preserve"> de bestaande wettelijke regelingen en afspraken ten aanzien van het tegengaan en de bestrijding van georganiseerde criminaliteit en ondermijning op hoofdlijnen toegelicht</w:t>
            </w:r>
            <w:r>
              <w:rPr>
                <w:szCs w:val="18"/>
              </w:rPr>
              <w:t xml:space="preserve">, zowel voor de Landen als </w:t>
            </w:r>
            <w:r w:rsidRPr="00AA1A47">
              <w:rPr>
                <w:szCs w:val="18"/>
              </w:rPr>
              <w:t>CN</w:t>
            </w:r>
            <w:r>
              <w:rPr>
                <w:szCs w:val="18"/>
              </w:rPr>
              <w:t xml:space="preserve"> en wordt nader </w:t>
            </w:r>
            <w:r w:rsidRPr="00AA1A47">
              <w:rPr>
                <w:szCs w:val="18"/>
              </w:rPr>
              <w:t xml:space="preserve">ingegaan op de inhoud van </w:t>
            </w:r>
            <w:r>
              <w:rPr>
                <w:szCs w:val="18"/>
              </w:rPr>
              <w:t xml:space="preserve">dit </w:t>
            </w:r>
            <w:r w:rsidRPr="00AA1A47">
              <w:rPr>
                <w:szCs w:val="18"/>
              </w:rPr>
              <w:t xml:space="preserve">jaarverslag. De nadruk </w:t>
            </w:r>
            <w:r>
              <w:rPr>
                <w:szCs w:val="18"/>
              </w:rPr>
              <w:t xml:space="preserve">ligt </w:t>
            </w:r>
            <w:r w:rsidRPr="00AA1A47">
              <w:rPr>
                <w:szCs w:val="18"/>
              </w:rPr>
              <w:t>op de vraag hoe dit alles in de praktijk werkt.</w:t>
            </w:r>
          </w:p>
        </w:tc>
        <w:tc>
          <w:tcPr>
            <w:tcW w:w="2600" w:type="dxa"/>
          </w:tcPr>
          <w:p w:rsidR="00EF3860" w:rsidP="00AA1A47" w:rsidRDefault="00EF3860">
            <w:pPr>
              <w:rPr>
                <w:szCs w:val="18"/>
              </w:rPr>
            </w:pPr>
          </w:p>
        </w:tc>
      </w:tr>
    </w:tbl>
    <w:p w:rsidR="005D0E65" w:rsidRDefault="005D0E65">
      <w:pPr>
        <w:rPr>
          <w:b/>
          <w:sz w:val="22"/>
        </w:rPr>
      </w:pPr>
    </w:p>
    <w:sectPr w:rsidR="005D0E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A65"/>
    <w:multiLevelType w:val="hybridMultilevel"/>
    <w:tmpl w:val="90881F02"/>
    <w:lvl w:ilvl="0" w:tplc="DF8C892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2A10397"/>
    <w:multiLevelType w:val="multilevel"/>
    <w:tmpl w:val="729C44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6CB6BA8"/>
    <w:multiLevelType w:val="hybridMultilevel"/>
    <w:tmpl w:val="90FA3D00"/>
    <w:lvl w:ilvl="0" w:tplc="DF8C892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3AF62FDA"/>
    <w:multiLevelType w:val="hybridMultilevel"/>
    <w:tmpl w:val="F2DA57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29053A2"/>
    <w:multiLevelType w:val="hybridMultilevel"/>
    <w:tmpl w:val="603691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4EE32F2B"/>
    <w:multiLevelType w:val="hybridMultilevel"/>
    <w:tmpl w:val="EC60DD66"/>
    <w:lvl w:ilvl="0" w:tplc="DF8C892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59736C1D"/>
    <w:multiLevelType w:val="hybridMultilevel"/>
    <w:tmpl w:val="B09CD94E"/>
    <w:lvl w:ilvl="0" w:tplc="DF8C892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9F35E62"/>
    <w:multiLevelType w:val="hybridMultilevel"/>
    <w:tmpl w:val="2522D096"/>
    <w:lvl w:ilvl="0" w:tplc="DF8C892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6E35496A"/>
    <w:multiLevelType w:val="hybridMultilevel"/>
    <w:tmpl w:val="6E5E70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8"/>
  </w:num>
  <w:num w:numId="5">
    <w:abstractNumId w:val="3"/>
  </w:num>
  <w:num w:numId="6">
    <w:abstractNumId w:val="7"/>
  </w:num>
  <w:num w:numId="7">
    <w:abstractNumId w:val="6"/>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E65"/>
    <w:rsid w:val="00076DBC"/>
    <w:rsid w:val="000A5573"/>
    <w:rsid w:val="00113967"/>
    <w:rsid w:val="001D4CEE"/>
    <w:rsid w:val="0023032D"/>
    <w:rsid w:val="00271200"/>
    <w:rsid w:val="003C25A9"/>
    <w:rsid w:val="00412515"/>
    <w:rsid w:val="00446B6D"/>
    <w:rsid w:val="00451C36"/>
    <w:rsid w:val="005129CE"/>
    <w:rsid w:val="0057219F"/>
    <w:rsid w:val="005B6658"/>
    <w:rsid w:val="005C253F"/>
    <w:rsid w:val="005D0E65"/>
    <w:rsid w:val="005E0E8B"/>
    <w:rsid w:val="0060626A"/>
    <w:rsid w:val="00631EB7"/>
    <w:rsid w:val="0064292F"/>
    <w:rsid w:val="006B2539"/>
    <w:rsid w:val="00761546"/>
    <w:rsid w:val="00777151"/>
    <w:rsid w:val="007C36B0"/>
    <w:rsid w:val="007F14F3"/>
    <w:rsid w:val="0085068C"/>
    <w:rsid w:val="00923BE7"/>
    <w:rsid w:val="009652ED"/>
    <w:rsid w:val="00970AD8"/>
    <w:rsid w:val="0097468B"/>
    <w:rsid w:val="00A0360F"/>
    <w:rsid w:val="00A0438E"/>
    <w:rsid w:val="00AA1A47"/>
    <w:rsid w:val="00AE3198"/>
    <w:rsid w:val="00C91F11"/>
    <w:rsid w:val="00CD5B32"/>
    <w:rsid w:val="00CF2893"/>
    <w:rsid w:val="00D71D06"/>
    <w:rsid w:val="00E03EB0"/>
    <w:rsid w:val="00E075DF"/>
    <w:rsid w:val="00E9108C"/>
    <w:rsid w:val="00ED477C"/>
    <w:rsid w:val="00EF3860"/>
    <w:rsid w:val="00F4394A"/>
    <w:rsid w:val="00F56DA5"/>
    <w:rsid w:val="00F60CDC"/>
    <w:rsid w:val="00F976CD"/>
    <w:rsid w:val="00FE4E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9108C"/>
    <w:rPr>
      <w:rFonts w:ascii="Verdana" w:hAnsi="Verdana"/>
      <w:sz w:val="18"/>
      <w:lang w:eastAsia="en-US"/>
    </w:rPr>
  </w:style>
  <w:style w:type="paragraph" w:styleId="Kop1">
    <w:name w:val="heading 1"/>
    <w:aliases w:val="handboekkop1"/>
    <w:basedOn w:val="Standaard"/>
    <w:next w:val="Standaard"/>
    <w:link w:val="Kop1Char"/>
    <w:uiPriority w:val="99"/>
    <w:qFormat/>
    <w:rsid w:val="00F60CDC"/>
    <w:pPr>
      <w:keepNext/>
      <w:keepLines/>
      <w:spacing w:before="480"/>
      <w:outlineLvl w:val="0"/>
    </w:pPr>
    <w:rPr>
      <w:rFonts w:ascii="Cambria" w:eastAsia="MS Gothic" w:hAnsi="Cambria" w:cs="Arial"/>
      <w:b/>
      <w:color w:val="365F91"/>
      <w:sz w:val="28"/>
      <w:lang w:eastAsia="nl-NL"/>
    </w:rPr>
  </w:style>
  <w:style w:type="paragraph" w:styleId="Kop2">
    <w:name w:val="heading 2"/>
    <w:basedOn w:val="Standaard"/>
    <w:next w:val="Standaard"/>
    <w:link w:val="Kop2Char"/>
    <w:uiPriority w:val="99"/>
    <w:qFormat/>
    <w:rsid w:val="00F60CDC"/>
    <w:pPr>
      <w:keepNext/>
      <w:keepLines/>
      <w:spacing w:before="200"/>
      <w:outlineLvl w:val="1"/>
    </w:pPr>
    <w:rPr>
      <w:rFonts w:ascii="Cambria" w:eastAsia="MS Gothic" w:hAnsi="Cambria"/>
      <w:b/>
      <w:color w:val="4F81BD"/>
      <w:sz w:val="26"/>
      <w:lang w:eastAsia="nl-NL"/>
    </w:rPr>
  </w:style>
  <w:style w:type="paragraph" w:styleId="Kop3">
    <w:name w:val="heading 3"/>
    <w:basedOn w:val="Standaard"/>
    <w:next w:val="Standaard"/>
    <w:link w:val="Kop3Char"/>
    <w:unhideWhenUsed/>
    <w:qFormat/>
    <w:rsid w:val="00F60CDC"/>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andboekkop1 Char"/>
    <w:basedOn w:val="Standaardalinea-lettertype"/>
    <w:link w:val="Kop1"/>
    <w:uiPriority w:val="99"/>
    <w:rsid w:val="00F60CDC"/>
    <w:rPr>
      <w:rFonts w:ascii="Cambria" w:eastAsia="MS Gothic" w:hAnsi="Cambria" w:cs="Arial"/>
      <w:b/>
      <w:color w:val="365F91"/>
      <w:sz w:val="28"/>
    </w:rPr>
  </w:style>
  <w:style w:type="character" w:customStyle="1" w:styleId="Kop3Char">
    <w:name w:val="Kop 3 Char"/>
    <w:link w:val="Kop3"/>
    <w:rsid w:val="00F60CDC"/>
    <w:rPr>
      <w:rFonts w:asciiTheme="majorHAnsi" w:eastAsiaTheme="majorEastAsia" w:hAnsiTheme="majorHAnsi" w:cstheme="majorBidi"/>
      <w:b/>
      <w:bCs/>
      <w:color w:val="4F81BD" w:themeColor="accent1"/>
      <w:sz w:val="18"/>
      <w:lang w:eastAsia="en-US"/>
    </w:rPr>
  </w:style>
  <w:style w:type="character" w:customStyle="1" w:styleId="Kop2Char">
    <w:name w:val="Kop 2 Char"/>
    <w:basedOn w:val="Standaardalinea-lettertype"/>
    <w:link w:val="Kop2"/>
    <w:uiPriority w:val="99"/>
    <w:rsid w:val="00F60CDC"/>
    <w:rPr>
      <w:rFonts w:ascii="Cambria" w:eastAsia="MS Gothic" w:hAnsi="Cambria"/>
      <w:b/>
      <w:color w:val="4F81BD"/>
      <w:sz w:val="26"/>
    </w:rPr>
  </w:style>
  <w:style w:type="paragraph" w:styleId="Geenafstand">
    <w:name w:val="No Spacing"/>
    <w:uiPriority w:val="99"/>
    <w:qFormat/>
    <w:rsid w:val="00F60CDC"/>
    <w:rPr>
      <w:lang w:eastAsia="en-US"/>
    </w:rPr>
  </w:style>
  <w:style w:type="table" w:styleId="Tabelraster">
    <w:name w:val="Table Grid"/>
    <w:basedOn w:val="Standaardtabel"/>
    <w:uiPriority w:val="59"/>
    <w:rsid w:val="005D0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D0E65"/>
    <w:pPr>
      <w:ind w:left="720"/>
      <w:contextualSpacing/>
    </w:pPr>
  </w:style>
  <w:style w:type="character" w:styleId="Hyperlink">
    <w:name w:val="Hyperlink"/>
    <w:basedOn w:val="Standaardalinea-lettertype"/>
    <w:uiPriority w:val="99"/>
    <w:rsid w:val="00AE3198"/>
    <w:rPr>
      <w:color w:val="0000FF" w:themeColor="hyperlink"/>
      <w:u w:val="single"/>
    </w:rPr>
  </w:style>
  <w:style w:type="paragraph" w:customStyle="1" w:styleId="Default">
    <w:name w:val="Default"/>
    <w:rsid w:val="00076DBC"/>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9108C"/>
    <w:rPr>
      <w:rFonts w:ascii="Verdana" w:hAnsi="Verdana"/>
      <w:sz w:val="18"/>
      <w:lang w:eastAsia="en-US"/>
    </w:rPr>
  </w:style>
  <w:style w:type="paragraph" w:styleId="Kop1">
    <w:name w:val="heading 1"/>
    <w:aliases w:val="handboekkop1"/>
    <w:basedOn w:val="Standaard"/>
    <w:next w:val="Standaard"/>
    <w:link w:val="Kop1Char"/>
    <w:uiPriority w:val="99"/>
    <w:qFormat/>
    <w:rsid w:val="00F60CDC"/>
    <w:pPr>
      <w:keepNext/>
      <w:keepLines/>
      <w:spacing w:before="480"/>
      <w:outlineLvl w:val="0"/>
    </w:pPr>
    <w:rPr>
      <w:rFonts w:ascii="Cambria" w:eastAsia="MS Gothic" w:hAnsi="Cambria" w:cs="Arial"/>
      <w:b/>
      <w:color w:val="365F91"/>
      <w:sz w:val="28"/>
      <w:lang w:eastAsia="nl-NL"/>
    </w:rPr>
  </w:style>
  <w:style w:type="paragraph" w:styleId="Kop2">
    <w:name w:val="heading 2"/>
    <w:basedOn w:val="Standaard"/>
    <w:next w:val="Standaard"/>
    <w:link w:val="Kop2Char"/>
    <w:uiPriority w:val="99"/>
    <w:qFormat/>
    <w:rsid w:val="00F60CDC"/>
    <w:pPr>
      <w:keepNext/>
      <w:keepLines/>
      <w:spacing w:before="200"/>
      <w:outlineLvl w:val="1"/>
    </w:pPr>
    <w:rPr>
      <w:rFonts w:ascii="Cambria" w:eastAsia="MS Gothic" w:hAnsi="Cambria"/>
      <w:b/>
      <w:color w:val="4F81BD"/>
      <w:sz w:val="26"/>
      <w:lang w:eastAsia="nl-NL"/>
    </w:rPr>
  </w:style>
  <w:style w:type="paragraph" w:styleId="Kop3">
    <w:name w:val="heading 3"/>
    <w:basedOn w:val="Standaard"/>
    <w:next w:val="Standaard"/>
    <w:link w:val="Kop3Char"/>
    <w:unhideWhenUsed/>
    <w:qFormat/>
    <w:rsid w:val="00F60CDC"/>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andboekkop1 Char"/>
    <w:basedOn w:val="Standaardalinea-lettertype"/>
    <w:link w:val="Kop1"/>
    <w:uiPriority w:val="99"/>
    <w:rsid w:val="00F60CDC"/>
    <w:rPr>
      <w:rFonts w:ascii="Cambria" w:eastAsia="MS Gothic" w:hAnsi="Cambria" w:cs="Arial"/>
      <w:b/>
      <w:color w:val="365F91"/>
      <w:sz w:val="28"/>
    </w:rPr>
  </w:style>
  <w:style w:type="character" w:customStyle="1" w:styleId="Kop3Char">
    <w:name w:val="Kop 3 Char"/>
    <w:link w:val="Kop3"/>
    <w:rsid w:val="00F60CDC"/>
    <w:rPr>
      <w:rFonts w:asciiTheme="majorHAnsi" w:eastAsiaTheme="majorEastAsia" w:hAnsiTheme="majorHAnsi" w:cstheme="majorBidi"/>
      <w:b/>
      <w:bCs/>
      <w:color w:val="4F81BD" w:themeColor="accent1"/>
      <w:sz w:val="18"/>
      <w:lang w:eastAsia="en-US"/>
    </w:rPr>
  </w:style>
  <w:style w:type="character" w:customStyle="1" w:styleId="Kop2Char">
    <w:name w:val="Kop 2 Char"/>
    <w:basedOn w:val="Standaardalinea-lettertype"/>
    <w:link w:val="Kop2"/>
    <w:uiPriority w:val="99"/>
    <w:rsid w:val="00F60CDC"/>
    <w:rPr>
      <w:rFonts w:ascii="Cambria" w:eastAsia="MS Gothic" w:hAnsi="Cambria"/>
      <w:b/>
      <w:color w:val="4F81BD"/>
      <w:sz w:val="26"/>
    </w:rPr>
  </w:style>
  <w:style w:type="paragraph" w:styleId="Geenafstand">
    <w:name w:val="No Spacing"/>
    <w:uiPriority w:val="99"/>
    <w:qFormat/>
    <w:rsid w:val="00F60CDC"/>
    <w:rPr>
      <w:lang w:eastAsia="en-US"/>
    </w:rPr>
  </w:style>
  <w:style w:type="table" w:styleId="Tabelraster">
    <w:name w:val="Table Grid"/>
    <w:basedOn w:val="Standaardtabel"/>
    <w:uiPriority w:val="59"/>
    <w:rsid w:val="005D0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D0E65"/>
    <w:pPr>
      <w:ind w:left="720"/>
      <w:contextualSpacing/>
    </w:pPr>
  </w:style>
  <w:style w:type="character" w:styleId="Hyperlink">
    <w:name w:val="Hyperlink"/>
    <w:basedOn w:val="Standaardalinea-lettertype"/>
    <w:uiPriority w:val="99"/>
    <w:rsid w:val="00AE3198"/>
    <w:rPr>
      <w:color w:val="0000FF" w:themeColor="hyperlink"/>
      <w:u w:val="single"/>
    </w:rPr>
  </w:style>
  <w:style w:type="paragraph" w:customStyle="1" w:styleId="Default">
    <w:name w:val="Default"/>
    <w:rsid w:val="00076DB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607</ap:Words>
  <ap:Characters>3827</ap:Characters>
  <ap:DocSecurity>4</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2019-02-27T13:14:00.0000000Z</dcterms:created>
  <dcterms:modified xsi:type="dcterms:W3CDTF">2019-02-27T13:14:00.0000000Z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0x010100864D51408902B743B48C01B0C63DED39</vt:lpwstr>
  </property>
</Properties>
</file>