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7F4B" w:rsidR="008775C9" w:rsidP="008775C9" w:rsidRDefault="008775C9">
      <w:pPr>
        <w:rPr>
          <w:rFonts w:ascii="Verdana" w:hAnsi="Verdana"/>
          <w:b/>
          <w:szCs w:val="22"/>
        </w:rPr>
      </w:pPr>
      <w:r w:rsidRPr="001D7F4B">
        <w:rPr>
          <w:rFonts w:ascii="Verdana" w:hAnsi="Verdana"/>
          <w:b/>
          <w:sz w:val="22"/>
          <w:szCs w:val="22"/>
        </w:rPr>
        <w:t>Vaste commissie voor Justitie en Veiligheid</w:t>
      </w:r>
      <w:r w:rsidRPr="001D7F4B">
        <w:rPr>
          <w:rFonts w:ascii="Verdana" w:hAnsi="Verdana"/>
          <w:b/>
          <w:sz w:val="22"/>
          <w:szCs w:val="22"/>
        </w:rPr>
        <w:br/>
      </w:r>
      <w:r w:rsidRPr="001D7F4B">
        <w:rPr>
          <w:rFonts w:ascii="Verdana" w:hAnsi="Verdana"/>
          <w:b/>
          <w:sz w:val="20"/>
          <w:szCs w:val="22"/>
        </w:rPr>
        <w:t>Overzicht nieuw gepubliceerde EU-voorstellen</w:t>
      </w:r>
    </w:p>
    <w:p w:rsidRPr="001D7F4B" w:rsidR="008775C9" w:rsidP="008775C9" w:rsidRDefault="008775C9">
      <w:pPr>
        <w:rPr>
          <w:rFonts w:ascii="Verdana" w:hAnsi="Verdana"/>
          <w:sz w:val="20"/>
          <w:szCs w:val="22"/>
        </w:rPr>
      </w:pPr>
      <w:r w:rsidRPr="001D7F4B">
        <w:rPr>
          <w:rFonts w:ascii="Verdana" w:hAnsi="Verdana"/>
          <w:sz w:val="20"/>
          <w:szCs w:val="22"/>
        </w:rPr>
        <w:t xml:space="preserve">Datum: </w:t>
      </w:r>
      <w:r w:rsidR="002246A5">
        <w:rPr>
          <w:rFonts w:ascii="Verdana" w:hAnsi="Verdana"/>
          <w:sz w:val="20"/>
          <w:szCs w:val="22"/>
        </w:rPr>
        <w:t>13-02</w:t>
      </w:r>
      <w:r w:rsidRPr="001D7F4B" w:rsidR="00FA790A">
        <w:rPr>
          <w:rFonts w:ascii="Verdana" w:hAnsi="Verdana"/>
          <w:sz w:val="20"/>
          <w:szCs w:val="22"/>
        </w:rPr>
        <w:t>-2019</w:t>
      </w:r>
    </w:p>
    <w:p w:rsidRPr="001D7F4B" w:rsidR="008775C9" w:rsidP="008775C9" w:rsidRDefault="008775C9">
      <w:pPr>
        <w:rPr>
          <w:rFonts w:ascii="Verdana" w:hAnsi="Verdana"/>
          <w:sz w:val="20"/>
          <w:szCs w:val="22"/>
        </w:rPr>
      </w:pPr>
    </w:p>
    <w:p w:rsidRPr="001D7F4B" w:rsidR="008775C9" w:rsidP="008775C9" w:rsidRDefault="008775C9">
      <w:pPr>
        <w:rPr>
          <w:rFonts w:ascii="Verdana" w:hAnsi="Verdana"/>
          <w:b/>
          <w:sz w:val="20"/>
          <w:szCs w:val="22"/>
          <w:u w:val="single"/>
        </w:rPr>
      </w:pPr>
      <w:r w:rsidRPr="001D7F4B">
        <w:rPr>
          <w:rFonts w:ascii="Verdana" w:hAnsi="Verdana"/>
          <w:b/>
          <w:sz w:val="20"/>
          <w:szCs w:val="22"/>
          <w:u w:val="single"/>
        </w:rPr>
        <w:t xml:space="preserve">Voorstellen verschenen in de periode </w:t>
      </w:r>
      <w:r w:rsidRPr="001D7F4B" w:rsidR="00A24C1E">
        <w:rPr>
          <w:rFonts w:ascii="Verdana" w:hAnsi="Verdana"/>
          <w:b/>
          <w:sz w:val="20"/>
          <w:szCs w:val="22"/>
          <w:u w:val="single"/>
        </w:rPr>
        <w:t xml:space="preserve">t/m </w:t>
      </w:r>
      <w:r w:rsidR="002246A5">
        <w:rPr>
          <w:rFonts w:ascii="Verdana" w:hAnsi="Verdana"/>
          <w:b/>
          <w:sz w:val="20"/>
          <w:szCs w:val="22"/>
          <w:u w:val="single"/>
        </w:rPr>
        <w:t>13 februari</w:t>
      </w:r>
      <w:r w:rsidRPr="001D7F4B" w:rsidR="00FA790A">
        <w:rPr>
          <w:rFonts w:ascii="Verdana" w:hAnsi="Verdana"/>
          <w:b/>
          <w:sz w:val="20"/>
          <w:szCs w:val="22"/>
          <w:u w:val="single"/>
        </w:rPr>
        <w:t xml:space="preserve"> 2019</w:t>
      </w:r>
    </w:p>
    <w:p w:rsidRPr="001D7F4B" w:rsidR="008775C9" w:rsidP="008775C9" w:rsidRDefault="008775C9">
      <w:pPr>
        <w:rPr>
          <w:rFonts w:ascii="Verdana" w:hAnsi="Verdana"/>
          <w:b/>
          <w:sz w:val="22"/>
          <w:szCs w:val="22"/>
          <w:u w:val="single"/>
        </w:rPr>
      </w:pPr>
    </w:p>
    <w:p w:rsidRPr="001D7F4B" w:rsidR="008775C9" w:rsidP="008775C9" w:rsidRDefault="008775C9">
      <w:pPr>
        <w:rPr>
          <w:rFonts w:ascii="Verdana" w:hAnsi="Verdana"/>
          <w:sz w:val="18"/>
          <w:szCs w:val="18"/>
        </w:rPr>
      </w:pPr>
      <w:r w:rsidRPr="001D7F4B">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D7F4B" w:rsidR="00032E74">
        <w:rPr>
          <w:rFonts w:ascii="Verdana" w:hAnsi="Verdana"/>
          <w:sz w:val="18"/>
          <w:szCs w:val="18"/>
        </w:rPr>
        <w:t>plegingen op het terrein van J&amp;V</w:t>
      </w:r>
      <w:r w:rsidRPr="001D7F4B">
        <w:rPr>
          <w:rFonts w:ascii="Verdana" w:hAnsi="Verdana"/>
          <w:sz w:val="18"/>
          <w:szCs w:val="18"/>
        </w:rPr>
        <w:t xml:space="preserve"> die sinds de vorige procedurevergadering zijn verschenen. Dit geldt ook voor voorstellen voor (</w:t>
      </w:r>
      <w:proofErr w:type="spellStart"/>
      <w:r w:rsidRPr="001D7F4B">
        <w:rPr>
          <w:rFonts w:ascii="Verdana" w:hAnsi="Verdana"/>
          <w:sz w:val="18"/>
          <w:szCs w:val="18"/>
        </w:rPr>
        <w:t>Raads</w:t>
      </w:r>
      <w:proofErr w:type="spellEnd"/>
      <w:r w:rsidRPr="001D7F4B">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D7F4B" w:rsidR="008775C9" w:rsidP="008775C9" w:rsidRDefault="008775C9">
      <w:pPr>
        <w:ind w:firstLine="708"/>
        <w:rPr>
          <w:rFonts w:ascii="Verdana" w:hAnsi="Verdana"/>
          <w:sz w:val="18"/>
          <w:szCs w:val="18"/>
        </w:rPr>
      </w:pPr>
    </w:p>
    <w:p w:rsidRPr="001D7F4B" w:rsidR="008775C9" w:rsidP="008775C9" w:rsidRDefault="008775C9">
      <w:pPr>
        <w:rPr>
          <w:rFonts w:ascii="Verdana" w:hAnsi="Verdana"/>
          <w:sz w:val="18"/>
          <w:szCs w:val="18"/>
        </w:rPr>
      </w:pPr>
      <w:r w:rsidRPr="001D7F4B">
        <w:rPr>
          <w:rFonts w:ascii="Verdana" w:hAnsi="Verdana"/>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D7F4B" w:rsidR="001635FC" w:rsidP="008775C9" w:rsidRDefault="001635FC">
      <w:pPr>
        <w:rPr>
          <w:rFonts w:ascii="Verdana" w:hAnsi="Verdana"/>
          <w:sz w:val="18"/>
          <w:szCs w:val="18"/>
        </w:rPr>
      </w:pPr>
    </w:p>
    <w:p w:rsidRPr="001D7F4B" w:rsidR="008775C9" w:rsidP="008775C9" w:rsidRDefault="008775C9">
      <w:pPr>
        <w:rPr>
          <w:rFonts w:ascii="Verdana" w:hAnsi="Verdana"/>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33"/>
        <w:gridCol w:w="5403"/>
      </w:tblGrid>
      <w:tr w:rsidRPr="001D7F4B" w:rsidR="001D7F4B" w:rsidTr="00523331">
        <w:trPr>
          <w:trHeight w:val="1118"/>
        </w:trPr>
        <w:tc>
          <w:tcPr>
            <w:tcW w:w="435" w:type="dxa"/>
            <w:textDirection w:val="btLr"/>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Nummer</w:t>
            </w:r>
          </w:p>
        </w:tc>
        <w:tc>
          <w:tcPr>
            <w:tcW w:w="1279"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Publicatie-</w:t>
            </w: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datum</w:t>
            </w:r>
          </w:p>
        </w:tc>
        <w:tc>
          <w:tcPr>
            <w:tcW w:w="1468"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Soort</w:t>
            </w:r>
          </w:p>
        </w:tc>
        <w:tc>
          <w:tcPr>
            <w:tcW w:w="3685"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Titel</w:t>
            </w:r>
          </w:p>
        </w:tc>
        <w:tc>
          <w:tcPr>
            <w:tcW w:w="1654"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COM-nummer</w:t>
            </w:r>
          </w:p>
        </w:tc>
        <w:tc>
          <w:tcPr>
            <w:tcW w:w="833" w:type="dxa"/>
            <w:textDirection w:val="btLr"/>
          </w:tcPr>
          <w:p w:rsidRPr="001D7F4B" w:rsidR="00FA790A" w:rsidP="007A2A57" w:rsidRDefault="00FA790A">
            <w:pPr>
              <w:jc w:val="center"/>
              <w:rPr>
                <w:rFonts w:asciiTheme="minorHAnsi" w:hAnsiTheme="minorHAnsi"/>
                <w:b/>
                <w:bCs/>
                <w:sz w:val="22"/>
                <w:szCs w:val="22"/>
              </w:rPr>
            </w:pP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Deadline</w:t>
            </w:r>
          </w:p>
          <w:p w:rsidRPr="001D7F4B" w:rsidR="00FA790A" w:rsidP="007A2A57" w:rsidRDefault="00FA790A">
            <w:pPr>
              <w:jc w:val="center"/>
              <w:rPr>
                <w:rFonts w:asciiTheme="minorHAnsi" w:hAnsiTheme="minorHAnsi"/>
                <w:b/>
                <w:bCs/>
                <w:sz w:val="22"/>
                <w:szCs w:val="22"/>
              </w:rPr>
            </w:pPr>
            <w:proofErr w:type="spellStart"/>
            <w:r w:rsidRPr="001D7F4B">
              <w:rPr>
                <w:rFonts w:asciiTheme="minorHAnsi" w:hAnsiTheme="minorHAnsi"/>
                <w:b/>
                <w:bCs/>
                <w:sz w:val="22"/>
                <w:szCs w:val="22"/>
              </w:rPr>
              <w:t>Sub.toets</w:t>
            </w:r>
            <w:proofErr w:type="spellEnd"/>
          </w:p>
        </w:tc>
        <w:tc>
          <w:tcPr>
            <w:tcW w:w="5403"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Opmerking</w:t>
            </w:r>
          </w:p>
        </w:tc>
      </w:tr>
      <w:tr w:rsidRPr="001D7F4B" w:rsidR="001D7F4B" w:rsidTr="00523331">
        <w:trPr>
          <w:trHeight w:val="300"/>
        </w:trPr>
        <w:tc>
          <w:tcPr>
            <w:tcW w:w="435" w:type="dxa"/>
            <w:tcBorders>
              <w:bottom w:val="single" w:color="auto" w:sz="4" w:space="0"/>
            </w:tcBorders>
            <w:shd w:val="clear" w:color="000000" w:fill="538DD5"/>
          </w:tcPr>
          <w:p w:rsidRPr="001D7F4B" w:rsidR="00FA790A" w:rsidP="007A2A57" w:rsidRDefault="00FA790A">
            <w:pPr>
              <w:jc w:val="center"/>
              <w:rPr>
                <w:rFonts w:asciiTheme="minorHAnsi" w:hAnsiTheme="minorHAnsi"/>
                <w:b/>
                <w:bCs/>
                <w:sz w:val="22"/>
                <w:szCs w:val="22"/>
              </w:rPr>
            </w:pPr>
          </w:p>
        </w:tc>
        <w:tc>
          <w:tcPr>
            <w:tcW w:w="1279"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1468" w:type="dxa"/>
            <w:tcBorders>
              <w:bottom w:val="single" w:color="auto" w:sz="4" w:space="0"/>
            </w:tcBorders>
            <w:shd w:val="clear" w:color="000000" w:fill="538DD5"/>
            <w:vAlign w:val="bottom"/>
            <w:hideMark/>
          </w:tcPr>
          <w:p w:rsidRPr="001D7F4B" w:rsidR="00FA790A" w:rsidP="007A2A57" w:rsidRDefault="00FA790A">
            <w:pPr>
              <w:rPr>
                <w:rFonts w:asciiTheme="minorHAnsi" w:hAnsiTheme="minorHAnsi"/>
                <w:b/>
                <w:bCs/>
                <w:sz w:val="22"/>
                <w:szCs w:val="22"/>
              </w:rPr>
            </w:pPr>
            <w:r w:rsidRPr="001D7F4B">
              <w:rPr>
                <w:rFonts w:asciiTheme="minorHAnsi" w:hAnsiTheme="minorHAnsi"/>
                <w:b/>
                <w:bCs/>
                <w:sz w:val="22"/>
                <w:szCs w:val="22"/>
              </w:rPr>
              <w:t> </w:t>
            </w:r>
          </w:p>
        </w:tc>
        <w:tc>
          <w:tcPr>
            <w:tcW w:w="3685"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1654"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833" w:type="dxa"/>
            <w:tcBorders>
              <w:bottom w:val="single" w:color="auto" w:sz="4" w:space="0"/>
            </w:tcBorders>
            <w:shd w:val="clear" w:color="000000" w:fill="538DD5"/>
          </w:tcPr>
          <w:p w:rsidRPr="001D7F4B" w:rsidR="00FA790A" w:rsidP="007A2A57" w:rsidRDefault="00FA790A">
            <w:pPr>
              <w:rPr>
                <w:rFonts w:asciiTheme="minorHAnsi" w:hAnsiTheme="minorHAnsi"/>
                <w:b/>
                <w:bCs/>
                <w:sz w:val="22"/>
                <w:szCs w:val="22"/>
              </w:rPr>
            </w:pPr>
          </w:p>
        </w:tc>
        <w:tc>
          <w:tcPr>
            <w:tcW w:w="5403" w:type="dxa"/>
            <w:tcBorders>
              <w:bottom w:val="single" w:color="auto" w:sz="4" w:space="0"/>
            </w:tcBorders>
            <w:shd w:val="clear" w:color="000000" w:fill="538DD5"/>
            <w:hideMark/>
          </w:tcPr>
          <w:p w:rsidRPr="001D7F4B" w:rsidR="00FA790A" w:rsidP="007A2A57" w:rsidRDefault="00FA790A">
            <w:pPr>
              <w:rPr>
                <w:rFonts w:asciiTheme="minorHAnsi" w:hAnsiTheme="minorHAnsi"/>
                <w:b/>
                <w:bCs/>
                <w:sz w:val="22"/>
                <w:szCs w:val="22"/>
              </w:rPr>
            </w:pPr>
            <w:r w:rsidRPr="001D7F4B">
              <w:rPr>
                <w:rFonts w:asciiTheme="minorHAnsi" w:hAnsiTheme="minorHAnsi"/>
                <w:b/>
                <w:bCs/>
                <w:sz w:val="22"/>
                <w:szCs w:val="22"/>
              </w:rPr>
              <w:t> </w:t>
            </w:r>
          </w:p>
        </w:tc>
      </w:tr>
      <w:tr w:rsidRPr="001D7F4B" w:rsidR="001D7F4B" w:rsidTr="00FA790A">
        <w:trPr>
          <w:trHeight w:val="467"/>
        </w:trPr>
        <w:tc>
          <w:tcPr>
            <w:tcW w:w="14757" w:type="dxa"/>
            <w:gridSpan w:val="7"/>
            <w:shd w:val="clear" w:color="auto" w:fill="C2D69B" w:themeFill="accent3" w:themeFillTint="99"/>
          </w:tcPr>
          <w:p w:rsidRPr="001D7F4B" w:rsidR="008775C9" w:rsidP="007A2A57" w:rsidRDefault="008775C9">
            <w:pPr>
              <w:rPr>
                <w:rFonts w:asciiTheme="minorHAnsi" w:hAnsiTheme="minorHAnsi"/>
                <w:b/>
                <w:i/>
                <w:sz w:val="22"/>
                <w:szCs w:val="22"/>
              </w:rPr>
            </w:pPr>
            <w:r w:rsidRPr="001D7F4B">
              <w:rPr>
                <w:rFonts w:asciiTheme="minorHAnsi" w:hAnsiTheme="minorHAnsi"/>
                <w:b/>
                <w:i/>
                <w:sz w:val="22"/>
                <w:szCs w:val="22"/>
              </w:rPr>
              <w:t>Onderwerpen op het terrein van Justitie&amp; Veiligheid</w:t>
            </w:r>
          </w:p>
        </w:tc>
      </w:tr>
      <w:tr w:rsidRPr="001D7F4B" w:rsidR="001D7F4B" w:rsidTr="00523331">
        <w:trPr>
          <w:trHeight w:val="699"/>
        </w:trPr>
        <w:tc>
          <w:tcPr>
            <w:tcW w:w="435" w:type="dxa"/>
          </w:tcPr>
          <w:p w:rsidRPr="001D7F4B" w:rsidR="00FA790A" w:rsidP="0031695B" w:rsidRDefault="00FA790A">
            <w:pPr>
              <w:jc w:val="center"/>
              <w:rPr>
                <w:rFonts w:asciiTheme="minorHAnsi" w:hAnsiTheme="minorHAnsi"/>
                <w:sz w:val="22"/>
                <w:szCs w:val="22"/>
              </w:rPr>
            </w:pPr>
            <w:r w:rsidRPr="001D7F4B">
              <w:rPr>
                <w:rFonts w:asciiTheme="minorHAnsi" w:hAnsiTheme="minorHAnsi"/>
                <w:sz w:val="22"/>
                <w:szCs w:val="22"/>
              </w:rPr>
              <w:t>1.</w:t>
            </w:r>
          </w:p>
        </w:tc>
        <w:tc>
          <w:tcPr>
            <w:tcW w:w="1279" w:type="dxa"/>
            <w:shd w:val="clear" w:color="auto" w:fill="auto"/>
            <w:noWrap/>
          </w:tcPr>
          <w:p w:rsidRPr="008256C6" w:rsidR="00FA790A" w:rsidP="00AB2618" w:rsidRDefault="002246A5">
            <w:pPr>
              <w:jc w:val="center"/>
              <w:rPr>
                <w:rFonts w:asciiTheme="minorHAnsi" w:hAnsiTheme="minorHAnsi"/>
                <w:sz w:val="22"/>
                <w:szCs w:val="22"/>
              </w:rPr>
            </w:pPr>
            <w:r>
              <w:rPr>
                <w:rFonts w:asciiTheme="minorHAnsi" w:hAnsiTheme="minorHAnsi"/>
                <w:sz w:val="22"/>
                <w:szCs w:val="22"/>
              </w:rPr>
              <w:t>31</w:t>
            </w:r>
            <w:r w:rsidRPr="008256C6" w:rsidR="008256C6">
              <w:rPr>
                <w:rFonts w:asciiTheme="minorHAnsi" w:hAnsiTheme="minorHAnsi"/>
                <w:sz w:val="22"/>
                <w:szCs w:val="22"/>
              </w:rPr>
              <w:t>-01-2019</w:t>
            </w:r>
          </w:p>
        </w:tc>
        <w:tc>
          <w:tcPr>
            <w:tcW w:w="1468" w:type="dxa"/>
            <w:shd w:val="clear" w:color="auto" w:fill="auto"/>
            <w:noWrap/>
          </w:tcPr>
          <w:p w:rsidRPr="008256C6" w:rsidR="00FA790A" w:rsidP="0031695B" w:rsidRDefault="002246A5">
            <w:pPr>
              <w:spacing w:line="276" w:lineRule="auto"/>
              <w:rPr>
                <w:rFonts w:asciiTheme="minorHAnsi" w:hAnsiTheme="minorHAnsi" w:eastAsiaTheme="minorHAnsi"/>
                <w:sz w:val="22"/>
                <w:szCs w:val="22"/>
                <w:lang w:eastAsia="en-US"/>
              </w:rPr>
            </w:pPr>
            <w:r>
              <w:rPr>
                <w:rFonts w:asciiTheme="minorHAnsi" w:hAnsiTheme="minorHAnsi"/>
                <w:sz w:val="22"/>
                <w:szCs w:val="22"/>
              </w:rPr>
              <w:t>Besluit</w:t>
            </w:r>
          </w:p>
        </w:tc>
        <w:tc>
          <w:tcPr>
            <w:tcW w:w="3685" w:type="dxa"/>
            <w:shd w:val="clear" w:color="auto" w:fill="auto"/>
          </w:tcPr>
          <w:p w:rsidRPr="008256C6" w:rsidR="00FA790A" w:rsidP="0031695B" w:rsidRDefault="002246A5">
            <w:pPr>
              <w:rPr>
                <w:rFonts w:asciiTheme="minorHAnsi" w:hAnsiTheme="minorHAnsi"/>
                <w:sz w:val="22"/>
                <w:szCs w:val="22"/>
              </w:rPr>
            </w:pPr>
            <w:r>
              <w:rPr>
                <w:rFonts w:ascii="Calibri" w:hAnsi="Calibri"/>
                <w:color w:val="000000"/>
                <w:sz w:val="22"/>
                <w:szCs w:val="22"/>
              </w:rPr>
              <w:t xml:space="preserve">Voorstel voor een BESLUIT VAN DE RAAD betreffende de mededeling van het Verenigd Koninkrijk van Groot-Brittannië en Noord-Ierland dat het niet langer wenst deel te nemen aan enkele bepalingen van het </w:t>
            </w:r>
            <w:proofErr w:type="spellStart"/>
            <w:r>
              <w:rPr>
                <w:rFonts w:ascii="Calibri" w:hAnsi="Calibri"/>
                <w:color w:val="000000"/>
                <w:sz w:val="22"/>
                <w:szCs w:val="22"/>
              </w:rPr>
              <w:t>Schengenacquis</w:t>
            </w:r>
            <w:proofErr w:type="spellEnd"/>
            <w:r>
              <w:rPr>
                <w:rFonts w:ascii="Calibri" w:hAnsi="Calibri"/>
                <w:color w:val="000000"/>
                <w:sz w:val="22"/>
                <w:szCs w:val="22"/>
              </w:rPr>
              <w:t xml:space="preserve"> die zijn opgenomen in Verordening (EG) nr. 377/2004 van de Raad van 19 februari 2004 betreffende de oprichting van een netwerk van immigratieverbindingsfunctionarissen</w:t>
            </w:r>
          </w:p>
        </w:tc>
        <w:tc>
          <w:tcPr>
            <w:tcW w:w="1654" w:type="dxa"/>
            <w:shd w:val="clear" w:color="auto" w:fill="auto"/>
            <w:noWrap/>
          </w:tcPr>
          <w:p w:rsidR="002246A5" w:rsidP="002246A5" w:rsidRDefault="003A7D53">
            <w:pPr>
              <w:jc w:val="center"/>
              <w:rPr>
                <w:rFonts w:ascii="Calibri" w:hAnsi="Calibri" w:eastAsiaTheme="minorHAnsi"/>
                <w:color w:val="0000FF"/>
                <w:sz w:val="22"/>
                <w:szCs w:val="22"/>
                <w:u w:val="single"/>
              </w:rPr>
            </w:pPr>
            <w:hyperlink w:history="1" r:id="rId11">
              <w:r w:rsidR="002246A5">
                <w:rPr>
                  <w:rStyle w:val="Hyperlink"/>
                  <w:rFonts w:ascii="Calibri" w:hAnsi="Calibri"/>
                  <w:sz w:val="22"/>
                  <w:szCs w:val="22"/>
                </w:rPr>
                <w:t>COM (2019) 23</w:t>
              </w:r>
            </w:hyperlink>
          </w:p>
          <w:p w:rsidRPr="008256C6" w:rsidR="00FA790A" w:rsidP="008256C6" w:rsidRDefault="00FA790A">
            <w:pPr>
              <w:jc w:val="center"/>
              <w:rPr>
                <w:rFonts w:asciiTheme="minorHAnsi" w:hAnsiTheme="minorHAnsi" w:eastAsiaTheme="minorHAnsi"/>
                <w:sz w:val="22"/>
                <w:szCs w:val="22"/>
                <w:u w:val="single"/>
                <w:lang w:val="en-GB"/>
              </w:rPr>
            </w:pPr>
          </w:p>
        </w:tc>
        <w:tc>
          <w:tcPr>
            <w:tcW w:w="833" w:type="dxa"/>
            <w:shd w:val="clear" w:color="auto" w:fill="auto"/>
          </w:tcPr>
          <w:p w:rsidRPr="001D7F4B" w:rsidR="00FA790A" w:rsidP="0031695B" w:rsidRDefault="008256C6">
            <w:pPr>
              <w:rPr>
                <w:rFonts w:asciiTheme="minorHAnsi" w:hAnsiTheme="minorHAnsi"/>
                <w:sz w:val="22"/>
                <w:szCs w:val="22"/>
                <w:lang w:val="en-GB"/>
              </w:rPr>
            </w:pPr>
            <w:r>
              <w:rPr>
                <w:rFonts w:asciiTheme="minorHAnsi" w:hAnsiTheme="minorHAnsi"/>
                <w:sz w:val="22"/>
                <w:szCs w:val="22"/>
                <w:lang w:val="en-GB"/>
              </w:rPr>
              <w:t>29-3-2019</w:t>
            </w:r>
          </w:p>
        </w:tc>
        <w:tc>
          <w:tcPr>
            <w:tcW w:w="5403" w:type="dxa"/>
            <w:shd w:val="clear" w:color="auto" w:fill="auto"/>
          </w:tcPr>
          <w:p w:rsidRPr="001D7F4B" w:rsidR="005420AB" w:rsidP="00E3560E" w:rsidRDefault="00FA790A">
            <w:pPr>
              <w:rPr>
                <w:rFonts w:asciiTheme="minorHAnsi" w:hAnsiTheme="minorHAnsi"/>
                <w:sz w:val="22"/>
                <w:szCs w:val="22"/>
              </w:rPr>
            </w:pPr>
            <w:r w:rsidRPr="001D7F4B">
              <w:rPr>
                <w:rFonts w:eastAsia="Calibri" w:asciiTheme="minorHAnsi" w:hAnsiTheme="minorHAnsi"/>
                <w:iCs/>
                <w:sz w:val="22"/>
                <w:szCs w:val="22"/>
                <w:lang w:eastAsia="en-US"/>
              </w:rPr>
              <w:t xml:space="preserve"> </w:t>
            </w:r>
            <w:r w:rsidRPr="001D7F4B" w:rsidR="00551CCE">
              <w:rPr>
                <w:rFonts w:asciiTheme="minorHAnsi" w:hAnsiTheme="minorHAnsi"/>
                <w:sz w:val="22"/>
                <w:szCs w:val="22"/>
                <w:u w:val="single"/>
              </w:rPr>
              <w:t>Voorstel</w:t>
            </w:r>
            <w:r w:rsidRPr="001D7F4B" w:rsidR="00551CCE">
              <w:rPr>
                <w:rFonts w:asciiTheme="minorHAnsi" w:hAnsiTheme="minorHAnsi"/>
                <w:sz w:val="22"/>
                <w:szCs w:val="22"/>
              </w:rPr>
              <w:t xml:space="preserve">: </w:t>
            </w:r>
            <w:r w:rsidR="0009230A">
              <w:rPr>
                <w:rFonts w:asciiTheme="minorHAnsi" w:hAnsiTheme="minorHAnsi"/>
                <w:sz w:val="22"/>
                <w:szCs w:val="22"/>
              </w:rPr>
              <w:t>voor kennisgeving aannemen</w:t>
            </w:r>
          </w:p>
          <w:p w:rsidR="008422B3" w:rsidP="008422B3" w:rsidRDefault="008422B3">
            <w:pPr>
              <w:rPr>
                <w:rFonts w:asciiTheme="minorHAnsi" w:hAnsiTheme="minorHAnsi"/>
                <w:i/>
                <w:noProof/>
                <w:sz w:val="22"/>
                <w:szCs w:val="22"/>
              </w:rPr>
            </w:pPr>
          </w:p>
          <w:p w:rsidRPr="00095742" w:rsidR="00FF19D6" w:rsidP="003A7D53" w:rsidRDefault="00FF19D6">
            <w:pPr>
              <w:pBdr>
                <w:top w:val="nil"/>
                <w:left w:val="nil"/>
                <w:bottom w:val="nil"/>
                <w:right w:val="nil"/>
                <w:between w:val="nil"/>
                <w:bar w:val="nil"/>
              </w:pBdr>
              <w:spacing w:after="240"/>
              <w:rPr>
                <w:rFonts w:asciiTheme="minorHAnsi" w:hAnsiTheme="minorHAnsi"/>
                <w:i/>
                <w:noProof/>
                <w:sz w:val="22"/>
                <w:szCs w:val="22"/>
              </w:rPr>
            </w:pPr>
            <w:r w:rsidRPr="0009230A">
              <w:rPr>
                <w:rFonts w:asciiTheme="minorHAnsi" w:hAnsiTheme="minorHAnsi"/>
                <w:i/>
                <w:noProof/>
                <w:sz w:val="22"/>
                <w:szCs w:val="22"/>
              </w:rPr>
              <w:t>H</w:t>
            </w:r>
            <w:r w:rsidRPr="0009230A">
              <w:rPr>
                <w:rFonts w:asciiTheme="minorHAnsi" w:hAnsiTheme="minorHAnsi"/>
                <w:i/>
                <w:noProof/>
                <w:sz w:val="22"/>
                <w:szCs w:val="22"/>
              </w:rPr>
              <w:t>et Verenigd Koninkrijk</w:t>
            </w:r>
            <w:r w:rsidRPr="0009230A">
              <w:rPr>
                <w:rFonts w:asciiTheme="minorHAnsi" w:hAnsiTheme="minorHAnsi"/>
                <w:i/>
                <w:noProof/>
                <w:sz w:val="22"/>
                <w:szCs w:val="22"/>
              </w:rPr>
              <w:t xml:space="preserve"> </w:t>
            </w:r>
            <w:r w:rsidR="003A7D53">
              <w:rPr>
                <w:rFonts w:asciiTheme="minorHAnsi" w:hAnsiTheme="minorHAnsi"/>
                <w:i/>
                <w:noProof/>
                <w:sz w:val="22"/>
                <w:szCs w:val="22"/>
              </w:rPr>
              <w:t xml:space="preserve"> (VK) </w:t>
            </w:r>
            <w:r w:rsidRPr="0009230A">
              <w:rPr>
                <w:rFonts w:asciiTheme="minorHAnsi" w:hAnsiTheme="minorHAnsi"/>
                <w:i/>
                <w:noProof/>
                <w:sz w:val="22"/>
                <w:szCs w:val="22"/>
              </w:rPr>
              <w:t>heeft</w:t>
            </w:r>
            <w:r w:rsidRPr="0009230A" w:rsidR="00E42EA8">
              <w:rPr>
                <w:rFonts w:asciiTheme="minorHAnsi" w:hAnsiTheme="minorHAnsi"/>
                <w:i/>
                <w:noProof/>
                <w:sz w:val="22"/>
                <w:szCs w:val="22"/>
              </w:rPr>
              <w:t>,</w:t>
            </w:r>
            <w:r w:rsidRPr="0009230A">
              <w:rPr>
                <w:rFonts w:asciiTheme="minorHAnsi" w:hAnsiTheme="minorHAnsi"/>
                <w:i/>
                <w:noProof/>
                <w:sz w:val="22"/>
                <w:szCs w:val="22"/>
              </w:rPr>
              <w:t xml:space="preserve"> </w:t>
            </w:r>
            <w:r w:rsidRPr="0009230A" w:rsidR="00E42EA8">
              <w:rPr>
                <w:rFonts w:asciiTheme="minorHAnsi" w:hAnsiTheme="minorHAnsi"/>
                <w:i/>
                <w:noProof/>
                <w:sz w:val="22"/>
                <w:szCs w:val="22"/>
              </w:rPr>
              <w:t>vanwege</w:t>
            </w:r>
            <w:r w:rsidRPr="0009230A" w:rsidR="00E42EA8">
              <w:rPr>
                <w:rFonts w:asciiTheme="minorHAnsi" w:hAnsiTheme="minorHAnsi"/>
                <w:i/>
                <w:noProof/>
                <w:sz w:val="22"/>
                <w:szCs w:val="22"/>
              </w:rPr>
              <w:t xml:space="preserve"> het verzoek </w:t>
            </w:r>
            <w:r w:rsidRPr="0009230A" w:rsidR="00E42EA8">
              <w:rPr>
                <w:rFonts w:asciiTheme="minorHAnsi" w:hAnsiTheme="minorHAnsi"/>
                <w:i/>
                <w:noProof/>
                <w:sz w:val="22"/>
                <w:szCs w:val="22"/>
              </w:rPr>
              <w:t>om</w:t>
            </w:r>
            <w:r w:rsidRPr="0009230A" w:rsidR="00E42EA8">
              <w:rPr>
                <w:rFonts w:asciiTheme="minorHAnsi" w:hAnsiTheme="minorHAnsi"/>
                <w:i/>
                <w:noProof/>
                <w:sz w:val="22"/>
                <w:szCs w:val="22"/>
              </w:rPr>
              <w:t xml:space="preserve"> deel te mogen nemen aan enkele van de bepalingen van het Schengenacquis</w:t>
            </w:r>
            <w:r w:rsidRPr="0009230A" w:rsidR="00E42EA8">
              <w:rPr>
                <w:rFonts w:asciiTheme="minorHAnsi" w:hAnsiTheme="minorHAnsi"/>
                <w:i/>
                <w:noProof/>
                <w:sz w:val="22"/>
                <w:szCs w:val="22"/>
              </w:rPr>
              <w:t xml:space="preserve">, </w:t>
            </w:r>
            <w:r w:rsidRPr="0009230A">
              <w:rPr>
                <w:rFonts w:asciiTheme="minorHAnsi" w:hAnsiTheme="minorHAnsi"/>
                <w:i/>
                <w:noProof/>
                <w:sz w:val="22"/>
                <w:szCs w:val="22"/>
              </w:rPr>
              <w:t xml:space="preserve">deelgenomen aan </w:t>
            </w:r>
            <w:r w:rsidR="003A7D53">
              <w:rPr>
                <w:rFonts w:asciiTheme="minorHAnsi" w:hAnsiTheme="minorHAnsi"/>
                <w:i/>
                <w:noProof/>
                <w:sz w:val="22"/>
                <w:szCs w:val="22"/>
              </w:rPr>
              <w:t>V</w:t>
            </w:r>
            <w:r w:rsidR="0009230A">
              <w:rPr>
                <w:rFonts w:asciiTheme="minorHAnsi" w:hAnsiTheme="minorHAnsi"/>
                <w:i/>
                <w:noProof/>
                <w:sz w:val="22"/>
                <w:szCs w:val="22"/>
              </w:rPr>
              <w:t xml:space="preserve">erordening </w:t>
            </w:r>
            <w:r w:rsidR="003A7D53">
              <w:rPr>
                <w:rFonts w:asciiTheme="minorHAnsi" w:hAnsiTheme="minorHAnsi"/>
                <w:i/>
                <w:noProof/>
                <w:sz w:val="22"/>
                <w:szCs w:val="22"/>
              </w:rPr>
              <w:t xml:space="preserve">(EG) nr. </w:t>
            </w:r>
            <w:r w:rsidRPr="003A7D53" w:rsidR="003A7D53">
              <w:rPr>
                <w:rFonts w:asciiTheme="minorHAnsi" w:hAnsiTheme="minorHAnsi"/>
                <w:i/>
                <w:noProof/>
                <w:sz w:val="22"/>
                <w:szCs w:val="22"/>
              </w:rPr>
              <w:t>377/2004</w:t>
            </w:r>
            <w:r w:rsidR="003A7D53">
              <w:rPr>
                <w:noProof/>
              </w:rPr>
              <w:t xml:space="preserve"> </w:t>
            </w:r>
            <w:r w:rsidR="0009230A">
              <w:rPr>
                <w:rFonts w:asciiTheme="minorHAnsi" w:hAnsiTheme="minorHAnsi"/>
                <w:i/>
                <w:noProof/>
                <w:sz w:val="22"/>
                <w:szCs w:val="22"/>
              </w:rPr>
              <w:t xml:space="preserve">betreffende </w:t>
            </w:r>
            <w:r w:rsidRPr="0009230A">
              <w:rPr>
                <w:rFonts w:asciiTheme="minorHAnsi" w:hAnsiTheme="minorHAnsi"/>
                <w:i/>
                <w:noProof/>
                <w:sz w:val="22"/>
                <w:szCs w:val="22"/>
              </w:rPr>
              <w:t xml:space="preserve">de oprichting van een netwerk van </w:t>
            </w:r>
            <w:r w:rsidRPr="0009230A" w:rsidR="00E42EA8">
              <w:rPr>
                <w:rFonts w:asciiTheme="minorHAnsi" w:hAnsiTheme="minorHAnsi"/>
                <w:i/>
                <w:noProof/>
                <w:sz w:val="22"/>
                <w:szCs w:val="22"/>
              </w:rPr>
              <w:t>im</w:t>
            </w:r>
            <w:r w:rsidRPr="0009230A">
              <w:rPr>
                <w:rFonts w:asciiTheme="minorHAnsi" w:hAnsiTheme="minorHAnsi"/>
                <w:i/>
                <w:noProof/>
                <w:sz w:val="22"/>
                <w:szCs w:val="22"/>
              </w:rPr>
              <w:t>mig</w:t>
            </w:r>
            <w:r w:rsidR="0009230A">
              <w:rPr>
                <w:rFonts w:asciiTheme="minorHAnsi" w:hAnsiTheme="minorHAnsi"/>
                <w:i/>
                <w:noProof/>
                <w:sz w:val="22"/>
                <w:szCs w:val="22"/>
              </w:rPr>
              <w:t>ratieverbindingsfunctionarissen</w:t>
            </w:r>
            <w:r w:rsidRPr="0009230A" w:rsidR="00E42EA8">
              <w:rPr>
                <w:rFonts w:asciiTheme="minorHAnsi" w:hAnsiTheme="minorHAnsi"/>
                <w:i/>
                <w:noProof/>
                <w:sz w:val="22"/>
                <w:szCs w:val="22"/>
              </w:rPr>
              <w:t xml:space="preserve">. </w:t>
            </w:r>
            <w:r w:rsidRPr="0009230A" w:rsidR="00E42EA8">
              <w:rPr>
                <w:rFonts w:asciiTheme="minorHAnsi" w:hAnsiTheme="minorHAnsi"/>
                <w:i/>
                <w:noProof/>
                <w:sz w:val="22"/>
                <w:szCs w:val="22"/>
              </w:rPr>
              <w:t xml:space="preserve">Op 16 mei 2018 heeft de Commissie een nieuwe wijziging van </w:t>
            </w:r>
            <w:r w:rsidR="003A7D53">
              <w:rPr>
                <w:rFonts w:asciiTheme="minorHAnsi" w:hAnsiTheme="minorHAnsi"/>
                <w:i/>
                <w:noProof/>
                <w:sz w:val="22"/>
                <w:szCs w:val="22"/>
              </w:rPr>
              <w:t>deze v</w:t>
            </w:r>
            <w:r w:rsidRPr="0009230A" w:rsidR="00E42EA8">
              <w:rPr>
                <w:rFonts w:asciiTheme="minorHAnsi" w:hAnsiTheme="minorHAnsi"/>
                <w:i/>
                <w:noProof/>
                <w:sz w:val="22"/>
                <w:szCs w:val="22"/>
              </w:rPr>
              <w:t>erordening voorgesteld</w:t>
            </w:r>
            <w:r w:rsidRPr="0009230A" w:rsidR="00E42EA8">
              <w:rPr>
                <w:rFonts w:asciiTheme="minorHAnsi" w:hAnsiTheme="minorHAnsi"/>
                <w:i/>
                <w:noProof/>
                <w:sz w:val="22"/>
                <w:szCs w:val="22"/>
              </w:rPr>
              <w:t>, waaraan het VK niet wenst deel te nemen. Hierdoor zal</w:t>
            </w:r>
            <w:r w:rsidRPr="0009230A" w:rsidR="00E42EA8">
              <w:rPr>
                <w:rFonts w:asciiTheme="minorHAnsi" w:hAnsiTheme="minorHAnsi"/>
                <w:i/>
                <w:noProof/>
                <w:sz w:val="22"/>
                <w:szCs w:val="22"/>
              </w:rPr>
              <w:t xml:space="preserve"> het </w:t>
            </w:r>
            <w:r w:rsidRPr="0009230A" w:rsidR="00E42EA8">
              <w:rPr>
                <w:rFonts w:asciiTheme="minorHAnsi" w:hAnsiTheme="minorHAnsi"/>
                <w:i/>
                <w:noProof/>
                <w:sz w:val="22"/>
                <w:szCs w:val="22"/>
              </w:rPr>
              <w:t>VK</w:t>
            </w:r>
            <w:r w:rsidRPr="0009230A" w:rsidR="00E42EA8">
              <w:rPr>
                <w:rFonts w:asciiTheme="minorHAnsi" w:hAnsiTheme="minorHAnsi"/>
                <w:i/>
                <w:noProof/>
                <w:sz w:val="22"/>
                <w:szCs w:val="22"/>
              </w:rPr>
              <w:t xml:space="preserve"> vanaf de datum van inwerkingtreding van het herschikkingsvoorstel niet langer deelnemen aan het netwerk van immigratieverbindingsfunctionarissen.</w:t>
            </w:r>
            <w:r w:rsidRPr="0009230A" w:rsidR="004D35D6">
              <w:rPr>
                <w:rFonts w:asciiTheme="minorHAnsi" w:hAnsiTheme="minorHAnsi"/>
                <w:i/>
                <w:noProof/>
                <w:sz w:val="22"/>
                <w:szCs w:val="22"/>
              </w:rPr>
              <w:t xml:space="preserve"> D</w:t>
            </w:r>
            <w:r w:rsidRPr="0009230A" w:rsidR="004D35D6">
              <w:rPr>
                <w:rFonts w:asciiTheme="minorHAnsi" w:hAnsiTheme="minorHAnsi"/>
                <w:i/>
                <w:noProof/>
                <w:sz w:val="22"/>
                <w:szCs w:val="22"/>
              </w:rPr>
              <w:t xml:space="preserve">e Raad </w:t>
            </w:r>
            <w:r w:rsidRPr="0009230A" w:rsidR="004D35D6">
              <w:rPr>
                <w:rFonts w:asciiTheme="minorHAnsi" w:hAnsiTheme="minorHAnsi"/>
                <w:i/>
                <w:noProof/>
                <w:sz w:val="22"/>
                <w:szCs w:val="22"/>
              </w:rPr>
              <w:t xml:space="preserve">zal op </w:t>
            </w:r>
            <w:r w:rsidRPr="0009230A" w:rsidR="004D35D6">
              <w:rPr>
                <w:rFonts w:asciiTheme="minorHAnsi" w:hAnsiTheme="minorHAnsi"/>
                <w:i/>
                <w:noProof/>
                <w:sz w:val="22"/>
                <w:szCs w:val="22"/>
              </w:rPr>
              <w:lastRenderedPageBreak/>
              <w:t>voorstel van de Commissie vervolgens beslissen in welk</w:t>
            </w:r>
            <w:r w:rsidR="0009230A">
              <w:rPr>
                <w:rFonts w:asciiTheme="minorHAnsi" w:hAnsiTheme="minorHAnsi"/>
                <w:i/>
                <w:noProof/>
                <w:sz w:val="22"/>
                <w:szCs w:val="22"/>
              </w:rPr>
              <w:t>e</w:t>
            </w:r>
            <w:r w:rsidRPr="0009230A" w:rsidR="004D35D6">
              <w:rPr>
                <w:rFonts w:asciiTheme="minorHAnsi" w:hAnsiTheme="minorHAnsi"/>
                <w:i/>
                <w:noProof/>
                <w:sz w:val="22"/>
                <w:szCs w:val="22"/>
              </w:rPr>
              <w:t xml:space="preserve"> mate </w:t>
            </w:r>
            <w:r w:rsidRPr="0009230A" w:rsidR="004D35D6">
              <w:rPr>
                <w:rFonts w:asciiTheme="minorHAnsi" w:hAnsiTheme="minorHAnsi"/>
                <w:i/>
                <w:noProof/>
                <w:sz w:val="22"/>
                <w:szCs w:val="22"/>
              </w:rPr>
              <w:t>en</w:t>
            </w:r>
            <w:r w:rsidRPr="0009230A" w:rsidR="004D35D6">
              <w:rPr>
                <w:rFonts w:asciiTheme="minorHAnsi" w:hAnsiTheme="minorHAnsi"/>
                <w:i/>
                <w:noProof/>
                <w:sz w:val="22"/>
                <w:szCs w:val="22"/>
              </w:rPr>
              <w:t xml:space="preserve"> onder welke</w:t>
            </w:r>
            <w:r w:rsidRPr="0009230A" w:rsidR="004D35D6">
              <w:rPr>
                <w:rFonts w:asciiTheme="minorHAnsi" w:hAnsiTheme="minorHAnsi"/>
                <w:i/>
                <w:noProof/>
                <w:sz w:val="22"/>
                <w:szCs w:val="22"/>
              </w:rPr>
              <w:t xml:space="preserve"> voorwaarden </w:t>
            </w:r>
            <w:r w:rsidRPr="0009230A" w:rsidR="004D35D6">
              <w:rPr>
                <w:rFonts w:asciiTheme="minorHAnsi" w:hAnsiTheme="minorHAnsi"/>
                <w:i/>
                <w:noProof/>
                <w:sz w:val="22"/>
                <w:szCs w:val="22"/>
              </w:rPr>
              <w:t>het VK</w:t>
            </w:r>
            <w:r w:rsidRPr="0009230A" w:rsidR="004D35D6">
              <w:rPr>
                <w:rFonts w:asciiTheme="minorHAnsi" w:hAnsiTheme="minorHAnsi"/>
                <w:i/>
                <w:noProof/>
                <w:sz w:val="22"/>
                <w:szCs w:val="22"/>
              </w:rPr>
              <w:t xml:space="preserve"> zal ophouden deel te nemen aan delen van het Schengenacquis</w:t>
            </w:r>
            <w:r w:rsidRPr="0009230A" w:rsidR="004D35D6">
              <w:rPr>
                <w:rFonts w:asciiTheme="minorHAnsi" w:hAnsiTheme="minorHAnsi"/>
                <w:i/>
                <w:noProof/>
                <w:sz w:val="22"/>
                <w:szCs w:val="22"/>
              </w:rPr>
              <w:t xml:space="preserve">. De Commissie stelt </w:t>
            </w:r>
            <w:r w:rsidR="0009230A">
              <w:rPr>
                <w:rFonts w:asciiTheme="minorHAnsi" w:hAnsiTheme="minorHAnsi"/>
                <w:i/>
                <w:noProof/>
                <w:sz w:val="22"/>
                <w:szCs w:val="22"/>
              </w:rPr>
              <w:t xml:space="preserve">voor </w:t>
            </w:r>
            <w:r w:rsidRPr="0009230A" w:rsidR="004D35D6">
              <w:rPr>
                <w:rFonts w:asciiTheme="minorHAnsi" w:hAnsiTheme="minorHAnsi"/>
                <w:i/>
                <w:noProof/>
                <w:sz w:val="22"/>
                <w:szCs w:val="22"/>
              </w:rPr>
              <w:t xml:space="preserve">dat uit de aard van </w:t>
            </w:r>
            <w:r w:rsidRPr="0009230A" w:rsidR="004D35D6">
              <w:rPr>
                <w:rFonts w:asciiTheme="minorHAnsi" w:hAnsiTheme="minorHAnsi"/>
                <w:i/>
                <w:noProof/>
                <w:sz w:val="22"/>
                <w:szCs w:val="22"/>
              </w:rPr>
              <w:t>het herschikkingsvoorstel volgt dat zij een op zichzelf staande maatregel binnen het Schengenacquis vormen die niet in operationele wisselwerking staat met andere rechtsinstrumenten die deel uitmaken van het Schengenacquis</w:t>
            </w:r>
            <w:r w:rsidR="0009230A">
              <w:rPr>
                <w:rFonts w:asciiTheme="minorHAnsi" w:hAnsiTheme="minorHAnsi"/>
                <w:i/>
                <w:noProof/>
                <w:sz w:val="22"/>
                <w:szCs w:val="22"/>
              </w:rPr>
              <w:t xml:space="preserve">, zodat het VK aan het resterende deel van </w:t>
            </w:r>
            <w:bookmarkStart w:name="_GoBack" w:id="0"/>
            <w:r w:rsidRPr="003A7D53" w:rsidR="0009230A">
              <w:rPr>
                <w:rFonts w:asciiTheme="minorHAnsi" w:hAnsiTheme="minorHAnsi"/>
                <w:i/>
                <w:noProof/>
                <w:sz w:val="22"/>
                <w:szCs w:val="22"/>
              </w:rPr>
              <w:t>het Schengenacquis</w:t>
            </w:r>
            <w:r w:rsidRPr="003A7D53" w:rsidR="0009230A">
              <w:rPr>
                <w:rFonts w:asciiTheme="minorHAnsi" w:hAnsiTheme="minorHAnsi"/>
                <w:i/>
                <w:noProof/>
                <w:sz w:val="22"/>
                <w:szCs w:val="22"/>
              </w:rPr>
              <w:t xml:space="preserve"> kan blijven deelnemen.</w:t>
            </w:r>
            <w:bookmarkEnd w:id="0"/>
          </w:p>
        </w:tc>
      </w:tr>
      <w:tr w:rsidRPr="008422B3" w:rsidR="00095742" w:rsidTr="00E42AC8">
        <w:trPr>
          <w:trHeight w:val="699"/>
        </w:trPr>
        <w:tc>
          <w:tcPr>
            <w:tcW w:w="435" w:type="dxa"/>
            <w:tcBorders>
              <w:top w:val="single" w:color="auto" w:sz="4" w:space="0"/>
              <w:left w:val="single" w:color="auto" w:sz="4" w:space="0"/>
              <w:bottom w:val="single" w:color="auto" w:sz="4" w:space="0"/>
              <w:right w:val="single" w:color="auto" w:sz="4" w:space="0"/>
            </w:tcBorders>
          </w:tcPr>
          <w:p w:rsidRPr="001D7F4B" w:rsidR="00095742" w:rsidP="00C20821" w:rsidRDefault="00095742">
            <w:pPr>
              <w:jc w:val="center"/>
              <w:rPr>
                <w:rFonts w:asciiTheme="minorHAnsi" w:hAnsiTheme="minorHAnsi"/>
                <w:sz w:val="22"/>
                <w:szCs w:val="22"/>
              </w:rPr>
            </w:pPr>
            <w:r>
              <w:rPr>
                <w:rFonts w:asciiTheme="minorHAnsi" w:hAnsiTheme="minorHAnsi"/>
                <w:sz w:val="22"/>
                <w:szCs w:val="22"/>
              </w:rPr>
              <w:lastRenderedPageBreak/>
              <w:t>2.</w:t>
            </w:r>
          </w:p>
        </w:tc>
        <w:tc>
          <w:tcPr>
            <w:tcW w:w="1279" w:type="dxa"/>
            <w:tcBorders>
              <w:top w:val="single" w:color="auto" w:sz="4" w:space="0"/>
              <w:left w:val="single" w:color="auto" w:sz="4" w:space="0"/>
              <w:bottom w:val="single" w:color="auto" w:sz="4" w:space="0"/>
              <w:right w:val="single" w:color="auto" w:sz="4" w:space="0"/>
            </w:tcBorders>
            <w:shd w:val="clear" w:color="auto" w:fill="auto"/>
            <w:noWrap/>
          </w:tcPr>
          <w:p w:rsidRPr="008256C6" w:rsidR="00095742" w:rsidP="00C20821" w:rsidRDefault="00095742">
            <w:pPr>
              <w:jc w:val="center"/>
              <w:rPr>
                <w:rFonts w:asciiTheme="minorHAnsi" w:hAnsiTheme="minorHAnsi"/>
                <w:sz w:val="22"/>
                <w:szCs w:val="22"/>
              </w:rPr>
            </w:pPr>
            <w:r>
              <w:rPr>
                <w:rFonts w:asciiTheme="minorHAnsi" w:hAnsiTheme="minorHAnsi"/>
                <w:sz w:val="22"/>
                <w:szCs w:val="22"/>
              </w:rPr>
              <w:t>31</w:t>
            </w:r>
            <w:r w:rsidRPr="008256C6">
              <w:rPr>
                <w:rFonts w:asciiTheme="minorHAnsi" w:hAnsiTheme="minorHAnsi"/>
                <w:sz w:val="22"/>
                <w:szCs w:val="22"/>
              </w:rPr>
              <w:t>-01-2019</w:t>
            </w:r>
          </w:p>
        </w:tc>
        <w:tc>
          <w:tcPr>
            <w:tcW w:w="1468" w:type="dxa"/>
            <w:tcBorders>
              <w:top w:val="single" w:color="auto" w:sz="4" w:space="0"/>
              <w:left w:val="single" w:color="auto" w:sz="4" w:space="0"/>
              <w:bottom w:val="single" w:color="auto" w:sz="4" w:space="0"/>
              <w:right w:val="single" w:color="auto" w:sz="4" w:space="0"/>
            </w:tcBorders>
            <w:shd w:val="clear" w:color="auto" w:fill="auto"/>
            <w:noWrap/>
          </w:tcPr>
          <w:p w:rsidRPr="002246A5" w:rsidR="00095742" w:rsidP="00C20821" w:rsidRDefault="00095742">
            <w:pPr>
              <w:spacing w:line="276" w:lineRule="auto"/>
              <w:rPr>
                <w:rFonts w:asciiTheme="minorHAnsi" w:hAnsiTheme="minorHAnsi"/>
                <w:sz w:val="22"/>
                <w:szCs w:val="22"/>
              </w:rPr>
            </w:pPr>
            <w:r>
              <w:rPr>
                <w:rFonts w:asciiTheme="minorHAnsi" w:hAnsiTheme="minorHAnsi"/>
                <w:sz w:val="22"/>
                <w:szCs w:val="22"/>
              </w:rPr>
              <w:t>Besluit</w:t>
            </w:r>
          </w:p>
        </w:tc>
        <w:tc>
          <w:tcPr>
            <w:tcW w:w="3685" w:type="dxa"/>
            <w:tcBorders>
              <w:top w:val="single" w:color="auto" w:sz="4" w:space="0"/>
              <w:left w:val="single" w:color="auto" w:sz="4" w:space="0"/>
              <w:bottom w:val="single" w:color="auto" w:sz="4" w:space="0"/>
              <w:right w:val="single" w:color="auto" w:sz="4" w:space="0"/>
            </w:tcBorders>
            <w:shd w:val="clear" w:color="auto" w:fill="auto"/>
          </w:tcPr>
          <w:p w:rsidRPr="002246A5" w:rsidR="00095742" w:rsidP="00C20821" w:rsidRDefault="00095742">
            <w:pPr>
              <w:rPr>
                <w:rFonts w:ascii="Calibri" w:hAnsi="Calibri"/>
                <w:color w:val="000000"/>
                <w:sz w:val="22"/>
                <w:szCs w:val="22"/>
              </w:rPr>
            </w:pPr>
            <w:r>
              <w:rPr>
                <w:rFonts w:ascii="Calibri" w:hAnsi="Calibri"/>
                <w:color w:val="000000"/>
                <w:sz w:val="22"/>
                <w:szCs w:val="22"/>
              </w:rPr>
              <w:t>Voorstel voor een BESLUIT VAN DE RAAD betreffende de sluiting van de Overeenkomst tussen de Europese Unie en het Vorstendom Liechtenstein betreffende de toepassing van sommige bepalingen van Besluit 2008/615/JBZ van de Raad inzake de intensivering van de grensoverschrijdende samenwerking, in het bijzonder ter bestrijding van terrorisme en grensoverschrijdende criminaliteit, van Besluit 2008/616/JBZ van de Raad betreffende de uitvoering van Besluit 2008/615/JBZ inzake de intensivering van de grensoverschrijdende samenwerking, in het bijzonder ter bestrijding van terrorisme en grensoverschrijdende criminaliteit, en de bijlage daarbij, en van Kaderbesluit 2009/905/JBZ van de Raad over de accreditatie van aanbieders van forensische diensten die laboratoriumactiviteiten verrichten</w:t>
            </w:r>
          </w:p>
        </w:tc>
        <w:tc>
          <w:tcPr>
            <w:tcW w:w="1654" w:type="dxa"/>
            <w:tcBorders>
              <w:top w:val="single" w:color="auto" w:sz="4" w:space="0"/>
              <w:left w:val="single" w:color="auto" w:sz="4" w:space="0"/>
              <w:bottom w:val="single" w:color="auto" w:sz="4" w:space="0"/>
              <w:right w:val="single" w:color="auto" w:sz="4" w:space="0"/>
            </w:tcBorders>
            <w:shd w:val="clear" w:color="auto" w:fill="auto"/>
            <w:noWrap/>
          </w:tcPr>
          <w:p w:rsidRPr="002246A5" w:rsidR="00095742" w:rsidP="002246A5" w:rsidRDefault="00095742">
            <w:pPr>
              <w:jc w:val="center"/>
              <w:rPr>
                <w:rFonts w:ascii="Calibri" w:hAnsi="Calibri"/>
                <w:color w:val="0000FF"/>
                <w:sz w:val="22"/>
                <w:szCs w:val="22"/>
                <w:u w:val="single"/>
              </w:rPr>
            </w:pPr>
            <w:hyperlink w:history="1" r:id="rId12">
              <w:r>
                <w:rPr>
                  <w:rStyle w:val="Hyperlink"/>
                  <w:rFonts w:ascii="Calibri" w:hAnsi="Calibri"/>
                  <w:sz w:val="22"/>
                  <w:szCs w:val="22"/>
                </w:rPr>
                <w:t>COM (2019) 24</w:t>
              </w:r>
            </w:hyperlink>
          </w:p>
        </w:tc>
        <w:tc>
          <w:tcPr>
            <w:tcW w:w="833" w:type="dxa"/>
            <w:tcBorders>
              <w:top w:val="single" w:color="auto" w:sz="4" w:space="0"/>
              <w:left w:val="single" w:color="auto" w:sz="4" w:space="0"/>
              <w:bottom w:val="single" w:color="auto" w:sz="4" w:space="0"/>
              <w:right w:val="single" w:color="auto" w:sz="4" w:space="0"/>
            </w:tcBorders>
            <w:shd w:val="clear" w:color="auto" w:fill="auto"/>
          </w:tcPr>
          <w:p w:rsidRPr="002246A5" w:rsidR="00095742" w:rsidP="00C20821" w:rsidRDefault="00095742">
            <w:pPr>
              <w:rPr>
                <w:rFonts w:asciiTheme="minorHAnsi" w:hAnsiTheme="minorHAnsi"/>
                <w:sz w:val="22"/>
                <w:szCs w:val="22"/>
              </w:rPr>
            </w:pPr>
          </w:p>
        </w:tc>
        <w:tc>
          <w:tcPr>
            <w:tcW w:w="5403" w:type="dxa"/>
            <w:vMerge w:val="restart"/>
            <w:tcBorders>
              <w:top w:val="single" w:color="auto" w:sz="4" w:space="0"/>
              <w:left w:val="single" w:color="auto" w:sz="4" w:space="0"/>
              <w:right w:val="single" w:color="auto" w:sz="4" w:space="0"/>
            </w:tcBorders>
            <w:shd w:val="clear" w:color="auto" w:fill="auto"/>
          </w:tcPr>
          <w:p w:rsidR="00095742" w:rsidP="00095742" w:rsidRDefault="00095742">
            <w:pPr>
              <w:rPr>
                <w:rFonts w:ascii="Calibri" w:hAnsi="Calibri"/>
                <w:sz w:val="22"/>
                <w:szCs w:val="22"/>
              </w:rPr>
            </w:pPr>
            <w:r w:rsidRPr="002246A5">
              <w:rPr>
                <w:rFonts w:asciiTheme="minorHAnsi" w:hAnsiTheme="minorHAnsi"/>
                <w:sz w:val="22"/>
                <w:szCs w:val="22"/>
                <w:u w:val="single"/>
              </w:rPr>
              <w:t xml:space="preserve"> </w:t>
            </w:r>
            <w:r>
              <w:rPr>
                <w:rFonts w:ascii="Calibri" w:hAnsi="Calibri"/>
                <w:sz w:val="22"/>
                <w:szCs w:val="22"/>
                <w:u w:val="single"/>
              </w:rPr>
              <w:t>Voorstel</w:t>
            </w:r>
            <w:r>
              <w:rPr>
                <w:rFonts w:ascii="Calibri" w:hAnsi="Calibri"/>
                <w:sz w:val="22"/>
                <w:szCs w:val="22"/>
              </w:rPr>
              <w:t>: voor kennisgeving aannemen.</w:t>
            </w:r>
          </w:p>
          <w:p w:rsidR="00095742" w:rsidP="00095742" w:rsidRDefault="00095742">
            <w:pPr>
              <w:rPr>
                <w:rFonts w:ascii="Calibri" w:hAnsi="Calibri"/>
                <w:sz w:val="22"/>
                <w:szCs w:val="22"/>
              </w:rPr>
            </w:pPr>
          </w:p>
          <w:p w:rsidRPr="00095742" w:rsidR="00095742" w:rsidP="00095742" w:rsidRDefault="00095742">
            <w:pPr>
              <w:rPr>
                <w:rFonts w:ascii="Calibri" w:hAnsi="Calibri"/>
                <w:i/>
                <w:sz w:val="22"/>
                <w:szCs w:val="22"/>
              </w:rPr>
            </w:pPr>
            <w:r w:rsidRPr="00095742">
              <w:rPr>
                <w:rFonts w:ascii="Calibri" w:hAnsi="Calibri"/>
                <w:i/>
                <w:sz w:val="22"/>
                <w:szCs w:val="22"/>
              </w:rPr>
              <w:t>Het betreft besluiten tot de accreditatie van aanbieders in Zwitserland en Liechtenstein die laboratoriumdiensten verrichten in het kader van forensisch onderzoek. Het besluit geeft invulling aan eerder Raadsbesluiten gericht op de intensivering van grensoverschrijdende samenwerking met genoemde landen, bij bestrijding van terrorisme en grensoverschrijdende criminaliteit.</w:t>
            </w:r>
          </w:p>
          <w:p w:rsidRPr="002246A5" w:rsidR="00095742" w:rsidP="00C20821" w:rsidRDefault="00095742">
            <w:pPr>
              <w:rPr>
                <w:rFonts w:asciiTheme="minorHAnsi" w:hAnsiTheme="minorHAnsi"/>
                <w:sz w:val="22"/>
                <w:szCs w:val="22"/>
                <w:u w:val="single"/>
              </w:rPr>
            </w:pPr>
          </w:p>
          <w:p w:rsidRPr="002246A5" w:rsidR="00095742" w:rsidP="00095742" w:rsidRDefault="00095742">
            <w:pPr>
              <w:rPr>
                <w:rFonts w:asciiTheme="minorHAnsi" w:hAnsiTheme="minorHAnsi"/>
                <w:sz w:val="22"/>
                <w:szCs w:val="22"/>
                <w:u w:val="single"/>
              </w:rPr>
            </w:pPr>
            <w:r w:rsidRPr="00803506">
              <w:rPr>
                <w:rFonts w:asciiTheme="minorHAnsi" w:hAnsiTheme="minorHAnsi"/>
                <w:sz w:val="22"/>
                <w:szCs w:val="22"/>
                <w:u w:val="single"/>
              </w:rPr>
              <w:t xml:space="preserve"> </w:t>
            </w:r>
          </w:p>
        </w:tc>
      </w:tr>
      <w:tr w:rsidRPr="008422B3" w:rsidR="00095742" w:rsidTr="00E42AC8">
        <w:trPr>
          <w:trHeight w:val="699"/>
        </w:trPr>
        <w:tc>
          <w:tcPr>
            <w:tcW w:w="435" w:type="dxa"/>
            <w:tcBorders>
              <w:top w:val="single" w:color="auto" w:sz="4" w:space="0"/>
              <w:left w:val="single" w:color="auto" w:sz="4" w:space="0"/>
              <w:bottom w:val="single" w:color="auto" w:sz="4" w:space="0"/>
              <w:right w:val="single" w:color="auto" w:sz="4" w:space="0"/>
            </w:tcBorders>
          </w:tcPr>
          <w:p w:rsidRPr="001D7F4B" w:rsidR="00095742" w:rsidP="00C20821" w:rsidRDefault="00095742">
            <w:pPr>
              <w:jc w:val="center"/>
              <w:rPr>
                <w:rFonts w:asciiTheme="minorHAnsi" w:hAnsiTheme="minorHAnsi"/>
                <w:sz w:val="22"/>
                <w:szCs w:val="22"/>
              </w:rPr>
            </w:pPr>
            <w:r>
              <w:rPr>
                <w:rFonts w:asciiTheme="minorHAnsi" w:hAnsiTheme="minorHAnsi"/>
                <w:sz w:val="22"/>
                <w:szCs w:val="22"/>
              </w:rPr>
              <w:lastRenderedPageBreak/>
              <w:t>3.</w:t>
            </w:r>
          </w:p>
        </w:tc>
        <w:tc>
          <w:tcPr>
            <w:tcW w:w="1279" w:type="dxa"/>
            <w:tcBorders>
              <w:top w:val="single" w:color="auto" w:sz="4" w:space="0"/>
              <w:left w:val="single" w:color="auto" w:sz="4" w:space="0"/>
              <w:bottom w:val="single" w:color="auto" w:sz="4" w:space="0"/>
              <w:right w:val="single" w:color="auto" w:sz="4" w:space="0"/>
            </w:tcBorders>
            <w:shd w:val="clear" w:color="auto" w:fill="auto"/>
            <w:noWrap/>
          </w:tcPr>
          <w:p w:rsidRPr="008256C6" w:rsidR="00095742" w:rsidP="00C20821" w:rsidRDefault="00095742">
            <w:pPr>
              <w:jc w:val="center"/>
              <w:rPr>
                <w:rFonts w:asciiTheme="minorHAnsi" w:hAnsiTheme="minorHAnsi"/>
                <w:sz w:val="22"/>
                <w:szCs w:val="22"/>
              </w:rPr>
            </w:pPr>
            <w:r>
              <w:rPr>
                <w:rFonts w:asciiTheme="minorHAnsi" w:hAnsiTheme="minorHAnsi"/>
                <w:sz w:val="22"/>
                <w:szCs w:val="22"/>
              </w:rPr>
              <w:t>31</w:t>
            </w:r>
            <w:r w:rsidRPr="008256C6">
              <w:rPr>
                <w:rFonts w:asciiTheme="minorHAnsi" w:hAnsiTheme="minorHAnsi"/>
                <w:sz w:val="22"/>
                <w:szCs w:val="22"/>
              </w:rPr>
              <w:t>-01-2019</w:t>
            </w:r>
          </w:p>
        </w:tc>
        <w:tc>
          <w:tcPr>
            <w:tcW w:w="1468" w:type="dxa"/>
            <w:tcBorders>
              <w:top w:val="single" w:color="auto" w:sz="4" w:space="0"/>
              <w:left w:val="single" w:color="auto" w:sz="4" w:space="0"/>
              <w:bottom w:val="single" w:color="auto" w:sz="4" w:space="0"/>
              <w:right w:val="single" w:color="auto" w:sz="4" w:space="0"/>
            </w:tcBorders>
            <w:shd w:val="clear" w:color="auto" w:fill="auto"/>
            <w:noWrap/>
          </w:tcPr>
          <w:p w:rsidRPr="00803506" w:rsidR="00095742" w:rsidP="00C20821" w:rsidRDefault="00095742">
            <w:pPr>
              <w:spacing w:line="276" w:lineRule="auto"/>
              <w:rPr>
                <w:rFonts w:asciiTheme="minorHAnsi" w:hAnsiTheme="minorHAnsi"/>
                <w:sz w:val="22"/>
                <w:szCs w:val="22"/>
              </w:rPr>
            </w:pPr>
            <w:r>
              <w:rPr>
                <w:rFonts w:asciiTheme="minorHAnsi" w:hAnsiTheme="minorHAnsi"/>
                <w:sz w:val="22"/>
                <w:szCs w:val="22"/>
              </w:rPr>
              <w:t>Besluit</w:t>
            </w:r>
          </w:p>
        </w:tc>
        <w:tc>
          <w:tcPr>
            <w:tcW w:w="3685" w:type="dxa"/>
            <w:tcBorders>
              <w:top w:val="single" w:color="auto" w:sz="4" w:space="0"/>
              <w:left w:val="single" w:color="auto" w:sz="4" w:space="0"/>
              <w:bottom w:val="single" w:color="auto" w:sz="4" w:space="0"/>
              <w:right w:val="single" w:color="auto" w:sz="4" w:space="0"/>
            </w:tcBorders>
            <w:shd w:val="clear" w:color="auto" w:fill="auto"/>
          </w:tcPr>
          <w:p w:rsidRPr="00803506" w:rsidR="00095742" w:rsidP="00C20821" w:rsidRDefault="00095742">
            <w:pPr>
              <w:rPr>
                <w:rFonts w:ascii="Calibri" w:hAnsi="Calibri"/>
                <w:color w:val="000000"/>
                <w:sz w:val="22"/>
                <w:szCs w:val="22"/>
              </w:rPr>
            </w:pPr>
            <w:r>
              <w:rPr>
                <w:rFonts w:ascii="Calibri" w:hAnsi="Calibri"/>
                <w:color w:val="000000"/>
                <w:sz w:val="22"/>
                <w:szCs w:val="22"/>
              </w:rPr>
              <w:t>Voorstel voor een BESLUIT VAN DE RAAD betreffende de sluiting van de Overeenkomst tussen de Europese Unie en de Zwitserse Bondsstaat betreffende de toepassing van sommige bepalingen van Besluit 2008/615/JBZ van de Raad inzake de intensivering van de grensoverschrijdende samenwerking, in het bijzonder ter bestrijding van terrorisme en grensoverschrijdende criminaliteit, van Besluit 2008/616/JBZ van de Raad betreffende de uitvoering van Besluit 2008/615/JBZ inzake de intensivering van de grensoverschrijdende samenwerking, in het bijzonder ter bestrijding van terrorisme en grensoverschrijdende criminaliteit, en de bijlage daarbij, en van Kaderbesluit 2009/905/JBZ van de Raad over de accreditatie van aanbieders van forensische diensten die laboratoriumactiviteiten verrichten</w:t>
            </w:r>
          </w:p>
        </w:tc>
        <w:tc>
          <w:tcPr>
            <w:tcW w:w="1654" w:type="dxa"/>
            <w:tcBorders>
              <w:top w:val="single" w:color="auto" w:sz="4" w:space="0"/>
              <w:left w:val="single" w:color="auto" w:sz="4" w:space="0"/>
              <w:bottom w:val="single" w:color="auto" w:sz="4" w:space="0"/>
              <w:right w:val="single" w:color="auto" w:sz="4" w:space="0"/>
            </w:tcBorders>
            <w:shd w:val="clear" w:color="auto" w:fill="auto"/>
            <w:noWrap/>
          </w:tcPr>
          <w:p w:rsidRPr="00803506" w:rsidR="00095742" w:rsidP="00803506" w:rsidRDefault="00095742">
            <w:pPr>
              <w:jc w:val="center"/>
              <w:rPr>
                <w:rFonts w:ascii="Calibri" w:hAnsi="Calibri"/>
                <w:color w:val="0000FF"/>
                <w:sz w:val="22"/>
                <w:szCs w:val="22"/>
                <w:u w:val="single"/>
              </w:rPr>
            </w:pPr>
            <w:hyperlink w:history="1" r:id="rId13">
              <w:r>
                <w:rPr>
                  <w:rStyle w:val="Hyperlink"/>
                  <w:rFonts w:ascii="Calibri" w:hAnsi="Calibri"/>
                  <w:sz w:val="22"/>
                  <w:szCs w:val="22"/>
                </w:rPr>
                <w:t>COM (2019) 26</w:t>
              </w:r>
            </w:hyperlink>
          </w:p>
        </w:tc>
        <w:tc>
          <w:tcPr>
            <w:tcW w:w="833" w:type="dxa"/>
            <w:tcBorders>
              <w:top w:val="single" w:color="auto" w:sz="4" w:space="0"/>
              <w:left w:val="single" w:color="auto" w:sz="4" w:space="0"/>
              <w:bottom w:val="single" w:color="auto" w:sz="4" w:space="0"/>
              <w:right w:val="single" w:color="auto" w:sz="4" w:space="0"/>
            </w:tcBorders>
            <w:shd w:val="clear" w:color="auto" w:fill="auto"/>
          </w:tcPr>
          <w:p w:rsidRPr="00803506" w:rsidR="00095742" w:rsidP="00C20821" w:rsidRDefault="00095742">
            <w:pPr>
              <w:rPr>
                <w:rFonts w:asciiTheme="minorHAnsi" w:hAnsiTheme="minorHAnsi"/>
                <w:sz w:val="22"/>
                <w:szCs w:val="22"/>
              </w:rPr>
            </w:pPr>
          </w:p>
        </w:tc>
        <w:tc>
          <w:tcPr>
            <w:tcW w:w="5403" w:type="dxa"/>
            <w:vMerge/>
            <w:tcBorders>
              <w:left w:val="single" w:color="auto" w:sz="4" w:space="0"/>
              <w:bottom w:val="single" w:color="auto" w:sz="4" w:space="0"/>
              <w:right w:val="single" w:color="auto" w:sz="4" w:space="0"/>
            </w:tcBorders>
            <w:shd w:val="clear" w:color="auto" w:fill="auto"/>
          </w:tcPr>
          <w:p w:rsidRPr="00803506" w:rsidR="00095742" w:rsidP="00C20821" w:rsidRDefault="00095742">
            <w:pPr>
              <w:rPr>
                <w:rFonts w:asciiTheme="minorHAnsi" w:hAnsiTheme="minorHAnsi"/>
                <w:sz w:val="22"/>
                <w:szCs w:val="22"/>
                <w:u w:val="single"/>
              </w:rPr>
            </w:pPr>
          </w:p>
        </w:tc>
      </w:tr>
      <w:tr w:rsidRPr="00175D08" w:rsidR="00803506" w:rsidTr="00803506">
        <w:trPr>
          <w:trHeight w:val="699"/>
        </w:trPr>
        <w:tc>
          <w:tcPr>
            <w:tcW w:w="435" w:type="dxa"/>
            <w:tcBorders>
              <w:top w:val="single" w:color="auto" w:sz="4" w:space="0"/>
              <w:left w:val="single" w:color="auto" w:sz="4" w:space="0"/>
              <w:bottom w:val="single" w:color="auto" w:sz="4" w:space="0"/>
              <w:right w:val="single" w:color="auto" w:sz="4" w:space="0"/>
            </w:tcBorders>
          </w:tcPr>
          <w:p w:rsidRPr="001D7F4B" w:rsidR="00803506" w:rsidP="00C20821" w:rsidRDefault="00095742">
            <w:pPr>
              <w:jc w:val="center"/>
              <w:rPr>
                <w:rFonts w:asciiTheme="minorHAnsi" w:hAnsiTheme="minorHAnsi"/>
                <w:sz w:val="22"/>
                <w:szCs w:val="22"/>
              </w:rPr>
            </w:pPr>
            <w:r>
              <w:rPr>
                <w:rFonts w:asciiTheme="minorHAnsi" w:hAnsiTheme="minorHAnsi"/>
                <w:sz w:val="22"/>
                <w:szCs w:val="22"/>
              </w:rPr>
              <w:t>4</w:t>
            </w:r>
            <w:r w:rsidR="004A0445">
              <w:rPr>
                <w:rFonts w:asciiTheme="minorHAnsi" w:hAnsiTheme="minorHAnsi"/>
                <w:sz w:val="22"/>
                <w:szCs w:val="22"/>
              </w:rPr>
              <w:t>.</w:t>
            </w:r>
          </w:p>
        </w:tc>
        <w:tc>
          <w:tcPr>
            <w:tcW w:w="1279" w:type="dxa"/>
            <w:tcBorders>
              <w:top w:val="single" w:color="auto" w:sz="4" w:space="0"/>
              <w:left w:val="single" w:color="auto" w:sz="4" w:space="0"/>
              <w:bottom w:val="single" w:color="auto" w:sz="4" w:space="0"/>
              <w:right w:val="single" w:color="auto" w:sz="4" w:space="0"/>
            </w:tcBorders>
            <w:shd w:val="clear" w:color="auto" w:fill="auto"/>
            <w:noWrap/>
          </w:tcPr>
          <w:p w:rsidR="00803506" w:rsidP="00C20821" w:rsidRDefault="00803506">
            <w:pPr>
              <w:jc w:val="center"/>
              <w:rPr>
                <w:rFonts w:asciiTheme="minorHAnsi" w:hAnsiTheme="minorHAnsi"/>
                <w:sz w:val="22"/>
                <w:szCs w:val="22"/>
              </w:rPr>
            </w:pPr>
            <w:r>
              <w:rPr>
                <w:rFonts w:asciiTheme="minorHAnsi" w:hAnsiTheme="minorHAnsi"/>
                <w:sz w:val="22"/>
                <w:szCs w:val="22"/>
              </w:rPr>
              <w:t>05-02-2019</w:t>
            </w:r>
          </w:p>
        </w:tc>
        <w:tc>
          <w:tcPr>
            <w:tcW w:w="1468" w:type="dxa"/>
            <w:tcBorders>
              <w:top w:val="single" w:color="auto" w:sz="4" w:space="0"/>
              <w:left w:val="single" w:color="auto" w:sz="4" w:space="0"/>
              <w:bottom w:val="single" w:color="auto" w:sz="4" w:space="0"/>
              <w:right w:val="single" w:color="auto" w:sz="4" w:space="0"/>
            </w:tcBorders>
            <w:shd w:val="clear" w:color="auto" w:fill="auto"/>
            <w:noWrap/>
          </w:tcPr>
          <w:p w:rsidR="00803506" w:rsidP="00C20821" w:rsidRDefault="00803506">
            <w:pPr>
              <w:spacing w:line="276" w:lineRule="auto"/>
              <w:rPr>
                <w:rFonts w:asciiTheme="minorHAnsi" w:hAnsiTheme="minorHAnsi"/>
                <w:sz w:val="22"/>
                <w:szCs w:val="22"/>
              </w:rPr>
            </w:pPr>
            <w:r>
              <w:rPr>
                <w:rFonts w:asciiTheme="minorHAnsi" w:hAnsiTheme="minorHAnsi"/>
                <w:sz w:val="22"/>
                <w:szCs w:val="22"/>
              </w:rPr>
              <w:t>Besluit</w:t>
            </w:r>
          </w:p>
        </w:tc>
        <w:tc>
          <w:tcPr>
            <w:tcW w:w="3685" w:type="dxa"/>
            <w:tcBorders>
              <w:top w:val="single" w:color="auto" w:sz="4" w:space="0"/>
              <w:left w:val="single" w:color="auto" w:sz="4" w:space="0"/>
              <w:bottom w:val="single" w:color="auto" w:sz="4" w:space="0"/>
              <w:right w:val="single" w:color="auto" w:sz="4" w:space="0"/>
            </w:tcBorders>
            <w:shd w:val="clear" w:color="auto" w:fill="auto"/>
          </w:tcPr>
          <w:p w:rsidR="00803506" w:rsidP="00C20821" w:rsidRDefault="00803506">
            <w:pPr>
              <w:rPr>
                <w:rFonts w:ascii="Calibri" w:hAnsi="Calibri"/>
                <w:color w:val="000000"/>
                <w:sz w:val="22"/>
                <w:szCs w:val="22"/>
              </w:rPr>
            </w:pPr>
            <w:proofErr w:type="spellStart"/>
            <w:r>
              <w:rPr>
                <w:rFonts w:ascii="Calibri" w:hAnsi="Calibri"/>
                <w:color w:val="000000"/>
                <w:sz w:val="22"/>
                <w:szCs w:val="22"/>
              </w:rPr>
              <w:t>Recommendation</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a COUNCIL DECISION </w:t>
            </w:r>
            <w:proofErr w:type="spellStart"/>
            <w:r>
              <w:rPr>
                <w:rFonts w:ascii="Calibri" w:hAnsi="Calibri"/>
                <w:color w:val="000000"/>
                <w:sz w:val="22"/>
                <w:szCs w:val="22"/>
              </w:rPr>
              <w:t>authorising</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opening of </w:t>
            </w:r>
            <w:proofErr w:type="spellStart"/>
            <w:r>
              <w:rPr>
                <w:rFonts w:ascii="Calibri" w:hAnsi="Calibri"/>
                <w:color w:val="000000"/>
                <w:sz w:val="22"/>
                <w:szCs w:val="22"/>
              </w:rPr>
              <w:t>negotiations</w:t>
            </w:r>
            <w:proofErr w:type="spellEnd"/>
            <w:r>
              <w:rPr>
                <w:rFonts w:ascii="Calibri" w:hAnsi="Calibri"/>
                <w:color w:val="000000"/>
                <w:sz w:val="22"/>
                <w:szCs w:val="22"/>
              </w:rPr>
              <w:t xml:space="preserve"> in view of </w:t>
            </w:r>
            <w:proofErr w:type="spellStart"/>
            <w:r>
              <w:rPr>
                <w:rFonts w:ascii="Calibri" w:hAnsi="Calibri"/>
                <w:color w:val="000000"/>
                <w:sz w:val="22"/>
                <w:szCs w:val="22"/>
              </w:rPr>
              <w:t>an</w:t>
            </w:r>
            <w:proofErr w:type="spellEnd"/>
            <w:r>
              <w:rPr>
                <w:rFonts w:ascii="Calibri" w:hAnsi="Calibri"/>
                <w:color w:val="000000"/>
                <w:sz w:val="22"/>
                <w:szCs w:val="22"/>
              </w:rPr>
              <w:t xml:space="preserve"> agreement </w:t>
            </w:r>
            <w:proofErr w:type="spellStart"/>
            <w:r>
              <w:rPr>
                <w:rFonts w:ascii="Calibri" w:hAnsi="Calibri"/>
                <w:color w:val="000000"/>
                <w:sz w:val="22"/>
                <w:szCs w:val="22"/>
              </w:rPr>
              <w:t>between</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European Union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United </w:t>
            </w:r>
            <w:proofErr w:type="spellStart"/>
            <w:r>
              <w:rPr>
                <w:rFonts w:ascii="Calibri" w:hAnsi="Calibri"/>
                <w:color w:val="000000"/>
                <w:sz w:val="22"/>
                <w:szCs w:val="22"/>
              </w:rPr>
              <w:t>States</w:t>
            </w:r>
            <w:proofErr w:type="spellEnd"/>
            <w:r>
              <w:rPr>
                <w:rFonts w:ascii="Calibri" w:hAnsi="Calibri"/>
                <w:color w:val="000000"/>
                <w:sz w:val="22"/>
                <w:szCs w:val="22"/>
              </w:rPr>
              <w:t xml:space="preserve"> of America on cross-border access </w:t>
            </w:r>
            <w:proofErr w:type="spellStart"/>
            <w:r>
              <w:rPr>
                <w:rFonts w:ascii="Calibri" w:hAnsi="Calibri"/>
                <w:color w:val="000000"/>
                <w:sz w:val="22"/>
                <w:szCs w:val="22"/>
              </w:rPr>
              <w:t>to</w:t>
            </w:r>
            <w:proofErr w:type="spellEnd"/>
            <w:r>
              <w:rPr>
                <w:rFonts w:ascii="Calibri" w:hAnsi="Calibri"/>
                <w:color w:val="000000"/>
                <w:sz w:val="22"/>
                <w:szCs w:val="22"/>
              </w:rPr>
              <w:t xml:space="preserve"> </w:t>
            </w:r>
            <w:proofErr w:type="spellStart"/>
            <w:r>
              <w:rPr>
                <w:rFonts w:ascii="Calibri" w:hAnsi="Calibri"/>
                <w:color w:val="000000"/>
                <w:sz w:val="22"/>
                <w:szCs w:val="22"/>
              </w:rPr>
              <w:t>electronic</w:t>
            </w:r>
            <w:proofErr w:type="spellEnd"/>
            <w:r>
              <w:rPr>
                <w:rFonts w:ascii="Calibri" w:hAnsi="Calibri"/>
                <w:color w:val="000000"/>
                <w:sz w:val="22"/>
                <w:szCs w:val="22"/>
              </w:rPr>
              <w:t xml:space="preserve"> </w:t>
            </w:r>
            <w:proofErr w:type="spellStart"/>
            <w:r>
              <w:rPr>
                <w:rFonts w:ascii="Calibri" w:hAnsi="Calibri"/>
                <w:color w:val="000000"/>
                <w:sz w:val="22"/>
                <w:szCs w:val="22"/>
              </w:rPr>
              <w:t>evidence</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w:t>
            </w:r>
            <w:proofErr w:type="spellStart"/>
            <w:r>
              <w:rPr>
                <w:rFonts w:ascii="Calibri" w:hAnsi="Calibri"/>
                <w:color w:val="000000"/>
                <w:sz w:val="22"/>
                <w:szCs w:val="22"/>
              </w:rPr>
              <w:t>judicial</w:t>
            </w:r>
            <w:proofErr w:type="spellEnd"/>
            <w:r>
              <w:rPr>
                <w:rFonts w:ascii="Calibri" w:hAnsi="Calibri"/>
                <w:color w:val="000000"/>
                <w:sz w:val="22"/>
                <w:szCs w:val="22"/>
              </w:rPr>
              <w:t xml:space="preserve"> cooperation in </w:t>
            </w:r>
            <w:proofErr w:type="spellStart"/>
            <w:r>
              <w:rPr>
                <w:rFonts w:ascii="Calibri" w:hAnsi="Calibri"/>
                <w:color w:val="000000"/>
                <w:sz w:val="22"/>
                <w:szCs w:val="22"/>
              </w:rPr>
              <w:t>criminal</w:t>
            </w:r>
            <w:proofErr w:type="spellEnd"/>
            <w:r>
              <w:rPr>
                <w:rFonts w:ascii="Calibri" w:hAnsi="Calibri"/>
                <w:color w:val="000000"/>
                <w:sz w:val="22"/>
                <w:szCs w:val="22"/>
              </w:rPr>
              <w:t xml:space="preserve"> </w:t>
            </w:r>
            <w:proofErr w:type="spellStart"/>
            <w:r>
              <w:rPr>
                <w:rFonts w:ascii="Calibri" w:hAnsi="Calibri"/>
                <w:color w:val="000000"/>
                <w:sz w:val="22"/>
                <w:szCs w:val="22"/>
              </w:rPr>
              <w:t>matters</w:t>
            </w:r>
            <w:proofErr w:type="spellEnd"/>
          </w:p>
        </w:tc>
        <w:tc>
          <w:tcPr>
            <w:tcW w:w="1654" w:type="dxa"/>
            <w:tcBorders>
              <w:top w:val="single" w:color="auto" w:sz="4" w:space="0"/>
              <w:left w:val="single" w:color="auto" w:sz="4" w:space="0"/>
              <w:bottom w:val="single" w:color="auto" w:sz="4" w:space="0"/>
              <w:right w:val="single" w:color="auto" w:sz="4" w:space="0"/>
            </w:tcBorders>
            <w:shd w:val="clear" w:color="auto" w:fill="auto"/>
            <w:noWrap/>
          </w:tcPr>
          <w:p w:rsidR="00803506" w:rsidP="00C20821" w:rsidRDefault="003A7D53">
            <w:pPr>
              <w:jc w:val="center"/>
              <w:rPr>
                <w:rFonts w:ascii="Calibri" w:hAnsi="Calibri"/>
                <w:color w:val="0000FF"/>
                <w:sz w:val="22"/>
                <w:szCs w:val="22"/>
                <w:u w:val="single"/>
              </w:rPr>
            </w:pPr>
            <w:hyperlink w:history="1" r:id="rId14">
              <w:r w:rsidR="00803506">
                <w:rPr>
                  <w:rStyle w:val="Hyperlink"/>
                  <w:rFonts w:ascii="Calibri" w:hAnsi="Calibri"/>
                  <w:sz w:val="22"/>
                  <w:szCs w:val="22"/>
                </w:rPr>
                <w:t>COM (2019) 70</w:t>
              </w:r>
            </w:hyperlink>
          </w:p>
        </w:tc>
        <w:tc>
          <w:tcPr>
            <w:tcW w:w="833" w:type="dxa"/>
            <w:tcBorders>
              <w:top w:val="single" w:color="auto" w:sz="4" w:space="0"/>
              <w:left w:val="single" w:color="auto" w:sz="4" w:space="0"/>
              <w:bottom w:val="single" w:color="auto" w:sz="4" w:space="0"/>
              <w:right w:val="single" w:color="auto" w:sz="4" w:space="0"/>
            </w:tcBorders>
            <w:shd w:val="clear" w:color="auto" w:fill="auto"/>
          </w:tcPr>
          <w:p w:rsidRPr="001D7F4B" w:rsidR="00803506" w:rsidP="00C20821" w:rsidRDefault="00803506">
            <w:pPr>
              <w:rPr>
                <w:rFonts w:asciiTheme="minorHAnsi" w:hAnsiTheme="minorHAnsi"/>
                <w:sz w:val="22"/>
                <w:szCs w:val="22"/>
              </w:rPr>
            </w:pPr>
          </w:p>
        </w:tc>
        <w:tc>
          <w:tcPr>
            <w:tcW w:w="5403" w:type="dxa"/>
            <w:tcBorders>
              <w:top w:val="single" w:color="auto" w:sz="4" w:space="0"/>
              <w:left w:val="single" w:color="auto" w:sz="4" w:space="0"/>
              <w:bottom w:val="single" w:color="auto" w:sz="4" w:space="0"/>
              <w:right w:val="single" w:color="auto" w:sz="4" w:space="0"/>
            </w:tcBorders>
            <w:shd w:val="clear" w:color="auto" w:fill="auto"/>
          </w:tcPr>
          <w:p w:rsidR="00095742" w:rsidP="00095742" w:rsidRDefault="00095742">
            <w:pPr>
              <w:rPr>
                <w:rFonts w:ascii="Calibri" w:hAnsi="Calibri"/>
                <w:sz w:val="22"/>
                <w:szCs w:val="22"/>
              </w:rPr>
            </w:pPr>
            <w:r>
              <w:rPr>
                <w:rFonts w:ascii="Calibri" w:hAnsi="Calibri"/>
                <w:sz w:val="22"/>
                <w:szCs w:val="22"/>
                <w:u w:val="single"/>
              </w:rPr>
              <w:t>Voorstel</w:t>
            </w:r>
            <w:r>
              <w:rPr>
                <w:rFonts w:ascii="Calibri" w:hAnsi="Calibri"/>
                <w:sz w:val="22"/>
                <w:szCs w:val="22"/>
              </w:rPr>
              <w:t>: verzoeken om een kabinetsappreciatie.</w:t>
            </w:r>
          </w:p>
          <w:p w:rsidR="00095742" w:rsidP="00095742" w:rsidRDefault="00095742">
            <w:pPr>
              <w:rPr>
                <w:rFonts w:ascii="Calibri" w:hAnsi="Calibri"/>
                <w:sz w:val="22"/>
                <w:szCs w:val="22"/>
              </w:rPr>
            </w:pPr>
          </w:p>
          <w:p w:rsidRPr="00095742" w:rsidR="00803506" w:rsidP="00C20821" w:rsidRDefault="00095742">
            <w:pPr>
              <w:rPr>
                <w:rFonts w:ascii="Calibri" w:hAnsi="Calibri"/>
                <w:i/>
                <w:sz w:val="22"/>
                <w:szCs w:val="22"/>
              </w:rPr>
            </w:pPr>
            <w:r w:rsidRPr="00095742">
              <w:rPr>
                <w:rFonts w:ascii="Calibri" w:hAnsi="Calibri"/>
                <w:i/>
                <w:sz w:val="22"/>
                <w:szCs w:val="22"/>
                <w:lang w:eastAsia="en-US"/>
              </w:rPr>
              <w:t xml:space="preserve">Het betreft een aanbeveling voor een Raadsbesluit op basis waarvan de Raad de Europese Commissie mandateert om met de VS te onderhandelen over </w:t>
            </w:r>
            <w:r w:rsidRPr="00095742">
              <w:rPr>
                <w:rFonts w:ascii="Calibri" w:hAnsi="Calibri"/>
                <w:i/>
                <w:sz w:val="22"/>
                <w:szCs w:val="22"/>
                <w:u w:val="single"/>
                <w:lang w:eastAsia="en-US"/>
              </w:rPr>
              <w:t>grensoverschrijdende toegang tot elektronisch bewijs</w:t>
            </w:r>
            <w:r w:rsidRPr="00095742">
              <w:rPr>
                <w:rFonts w:ascii="Calibri" w:hAnsi="Calibri"/>
                <w:i/>
                <w:sz w:val="22"/>
                <w:szCs w:val="22"/>
                <w:lang w:eastAsia="en-US"/>
              </w:rPr>
              <w:t>. Aan EU zijde raakt dit aan het EU-voorstel e-</w:t>
            </w:r>
            <w:proofErr w:type="spellStart"/>
            <w:r w:rsidRPr="00095742">
              <w:rPr>
                <w:rFonts w:ascii="Calibri" w:hAnsi="Calibri"/>
                <w:i/>
                <w:sz w:val="22"/>
                <w:szCs w:val="22"/>
                <w:lang w:eastAsia="en-US"/>
              </w:rPr>
              <w:t>evidence</w:t>
            </w:r>
            <w:proofErr w:type="spellEnd"/>
            <w:r w:rsidRPr="00095742">
              <w:rPr>
                <w:rFonts w:ascii="Calibri" w:hAnsi="Calibri"/>
                <w:i/>
                <w:sz w:val="22"/>
                <w:szCs w:val="22"/>
                <w:lang w:eastAsia="en-US"/>
              </w:rPr>
              <w:t xml:space="preserve"> waarover in Brussel de onderhandelingen gaande zijn.  Aan VS zijde raakt dit aan de CLOUD act, de recente federale wet die een kader biedt voor de Amerikaanse autoriteiten om gegevens te vorderen die beheerd worden door bedrijven die in Amerika elektronische communicatiediensten </w:t>
            </w:r>
            <w:r w:rsidRPr="00095742">
              <w:rPr>
                <w:rFonts w:ascii="Calibri" w:hAnsi="Calibri"/>
                <w:i/>
                <w:sz w:val="22"/>
                <w:szCs w:val="22"/>
                <w:lang w:eastAsia="en-US"/>
              </w:rPr>
              <w:lastRenderedPageBreak/>
              <w:t>aanbieden en wereldwijd zijn opgeslagen.</w:t>
            </w:r>
          </w:p>
        </w:tc>
      </w:tr>
      <w:tr w:rsidRPr="00175D08" w:rsidR="00803506" w:rsidTr="00803506">
        <w:trPr>
          <w:trHeight w:val="699"/>
        </w:trPr>
        <w:tc>
          <w:tcPr>
            <w:tcW w:w="435" w:type="dxa"/>
            <w:tcBorders>
              <w:top w:val="single" w:color="auto" w:sz="4" w:space="0"/>
              <w:left w:val="single" w:color="auto" w:sz="4" w:space="0"/>
              <w:bottom w:val="single" w:color="auto" w:sz="4" w:space="0"/>
              <w:right w:val="single" w:color="auto" w:sz="4" w:space="0"/>
            </w:tcBorders>
          </w:tcPr>
          <w:p w:rsidRPr="001D7F4B" w:rsidR="00803506" w:rsidP="00C20821" w:rsidRDefault="00095742">
            <w:pPr>
              <w:jc w:val="center"/>
              <w:rPr>
                <w:rFonts w:asciiTheme="minorHAnsi" w:hAnsiTheme="minorHAnsi"/>
                <w:sz w:val="22"/>
                <w:szCs w:val="22"/>
              </w:rPr>
            </w:pPr>
            <w:r>
              <w:rPr>
                <w:rFonts w:asciiTheme="minorHAnsi" w:hAnsiTheme="minorHAnsi"/>
                <w:sz w:val="22"/>
                <w:szCs w:val="22"/>
              </w:rPr>
              <w:lastRenderedPageBreak/>
              <w:t>5</w:t>
            </w:r>
            <w:r w:rsidR="004A0445">
              <w:rPr>
                <w:rFonts w:asciiTheme="minorHAnsi" w:hAnsiTheme="minorHAnsi"/>
                <w:sz w:val="22"/>
                <w:szCs w:val="22"/>
              </w:rPr>
              <w:t>.</w:t>
            </w:r>
          </w:p>
        </w:tc>
        <w:tc>
          <w:tcPr>
            <w:tcW w:w="1279" w:type="dxa"/>
            <w:tcBorders>
              <w:top w:val="single" w:color="auto" w:sz="4" w:space="0"/>
              <w:left w:val="single" w:color="auto" w:sz="4" w:space="0"/>
              <w:bottom w:val="single" w:color="auto" w:sz="4" w:space="0"/>
              <w:right w:val="single" w:color="auto" w:sz="4" w:space="0"/>
            </w:tcBorders>
            <w:shd w:val="clear" w:color="auto" w:fill="auto"/>
            <w:noWrap/>
          </w:tcPr>
          <w:p w:rsidR="00803506" w:rsidP="00C20821" w:rsidRDefault="00803506">
            <w:pPr>
              <w:jc w:val="center"/>
              <w:rPr>
                <w:rFonts w:asciiTheme="minorHAnsi" w:hAnsiTheme="minorHAnsi"/>
                <w:sz w:val="22"/>
                <w:szCs w:val="22"/>
              </w:rPr>
            </w:pPr>
            <w:r>
              <w:rPr>
                <w:rFonts w:asciiTheme="minorHAnsi" w:hAnsiTheme="minorHAnsi"/>
                <w:sz w:val="22"/>
                <w:szCs w:val="22"/>
              </w:rPr>
              <w:t>05-02-2019</w:t>
            </w:r>
          </w:p>
        </w:tc>
        <w:tc>
          <w:tcPr>
            <w:tcW w:w="1468" w:type="dxa"/>
            <w:tcBorders>
              <w:top w:val="single" w:color="auto" w:sz="4" w:space="0"/>
              <w:left w:val="single" w:color="auto" w:sz="4" w:space="0"/>
              <w:bottom w:val="single" w:color="auto" w:sz="4" w:space="0"/>
              <w:right w:val="single" w:color="auto" w:sz="4" w:space="0"/>
            </w:tcBorders>
            <w:shd w:val="clear" w:color="auto" w:fill="auto"/>
            <w:noWrap/>
          </w:tcPr>
          <w:p w:rsidR="00803506" w:rsidP="00C20821" w:rsidRDefault="00803506">
            <w:pPr>
              <w:spacing w:line="276" w:lineRule="auto"/>
              <w:rPr>
                <w:rFonts w:asciiTheme="minorHAnsi" w:hAnsiTheme="minorHAnsi"/>
                <w:sz w:val="22"/>
                <w:szCs w:val="22"/>
              </w:rPr>
            </w:pPr>
            <w:r>
              <w:rPr>
                <w:rFonts w:asciiTheme="minorHAnsi" w:hAnsiTheme="minorHAnsi"/>
                <w:sz w:val="22"/>
                <w:szCs w:val="22"/>
              </w:rPr>
              <w:t>Besluit</w:t>
            </w:r>
          </w:p>
        </w:tc>
        <w:tc>
          <w:tcPr>
            <w:tcW w:w="3685" w:type="dxa"/>
            <w:tcBorders>
              <w:top w:val="single" w:color="auto" w:sz="4" w:space="0"/>
              <w:left w:val="single" w:color="auto" w:sz="4" w:space="0"/>
              <w:bottom w:val="single" w:color="auto" w:sz="4" w:space="0"/>
              <w:right w:val="single" w:color="auto" w:sz="4" w:space="0"/>
            </w:tcBorders>
            <w:shd w:val="clear" w:color="auto" w:fill="auto"/>
          </w:tcPr>
          <w:p w:rsidR="00803506" w:rsidP="00C20821" w:rsidRDefault="00803506">
            <w:pPr>
              <w:rPr>
                <w:rFonts w:ascii="Calibri" w:hAnsi="Calibri"/>
                <w:color w:val="000000"/>
                <w:sz w:val="22"/>
                <w:szCs w:val="22"/>
              </w:rPr>
            </w:pPr>
            <w:proofErr w:type="spellStart"/>
            <w:r>
              <w:rPr>
                <w:rFonts w:ascii="Calibri" w:hAnsi="Calibri"/>
                <w:color w:val="000000"/>
                <w:sz w:val="22"/>
                <w:szCs w:val="22"/>
              </w:rPr>
              <w:t>Recommendation</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a COUNCIL DECISION </w:t>
            </w:r>
            <w:proofErr w:type="spellStart"/>
            <w:r>
              <w:rPr>
                <w:rFonts w:ascii="Calibri" w:hAnsi="Calibri"/>
                <w:color w:val="000000"/>
                <w:sz w:val="22"/>
                <w:szCs w:val="22"/>
              </w:rPr>
              <w:t>authorising</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participation</w:t>
            </w:r>
            <w:proofErr w:type="spellEnd"/>
            <w:r>
              <w:rPr>
                <w:rFonts w:ascii="Calibri" w:hAnsi="Calibri"/>
                <w:color w:val="000000"/>
                <w:sz w:val="22"/>
                <w:szCs w:val="22"/>
              </w:rPr>
              <w:t xml:space="preserve"> in </w:t>
            </w:r>
            <w:proofErr w:type="spellStart"/>
            <w:r>
              <w:rPr>
                <w:rFonts w:ascii="Calibri" w:hAnsi="Calibri"/>
                <w:color w:val="000000"/>
                <w:sz w:val="22"/>
                <w:szCs w:val="22"/>
              </w:rPr>
              <w:t>negotiations</w:t>
            </w:r>
            <w:proofErr w:type="spellEnd"/>
            <w:r>
              <w:rPr>
                <w:rFonts w:ascii="Calibri" w:hAnsi="Calibri"/>
                <w:color w:val="000000"/>
                <w:sz w:val="22"/>
                <w:szCs w:val="22"/>
              </w:rPr>
              <w:t xml:space="preserve"> on a second </w:t>
            </w:r>
            <w:proofErr w:type="spellStart"/>
            <w:r>
              <w:rPr>
                <w:rFonts w:ascii="Calibri" w:hAnsi="Calibri"/>
                <w:color w:val="000000"/>
                <w:sz w:val="22"/>
                <w:szCs w:val="22"/>
              </w:rPr>
              <w:t>Additional</w:t>
            </w:r>
            <w:proofErr w:type="spellEnd"/>
            <w:r>
              <w:rPr>
                <w:rFonts w:ascii="Calibri" w:hAnsi="Calibri"/>
                <w:color w:val="000000"/>
                <w:sz w:val="22"/>
                <w:szCs w:val="22"/>
              </w:rPr>
              <w:t xml:space="preserve"> Protocol </w:t>
            </w:r>
            <w:proofErr w:type="spellStart"/>
            <w:r>
              <w:rPr>
                <w:rFonts w:ascii="Calibri" w:hAnsi="Calibri"/>
                <w:color w:val="000000"/>
                <w:sz w:val="22"/>
                <w:szCs w:val="22"/>
              </w:rPr>
              <w:t>to</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Council of Europe </w:t>
            </w:r>
            <w:proofErr w:type="spellStart"/>
            <w:r>
              <w:rPr>
                <w:rFonts w:ascii="Calibri" w:hAnsi="Calibri"/>
                <w:color w:val="000000"/>
                <w:sz w:val="22"/>
                <w:szCs w:val="22"/>
              </w:rPr>
              <w:t>Convention</w:t>
            </w:r>
            <w:proofErr w:type="spellEnd"/>
            <w:r>
              <w:rPr>
                <w:rFonts w:ascii="Calibri" w:hAnsi="Calibri"/>
                <w:color w:val="000000"/>
                <w:sz w:val="22"/>
                <w:szCs w:val="22"/>
              </w:rPr>
              <w:t xml:space="preserve"> on Cybercrime (CETS No. 185)</w:t>
            </w:r>
          </w:p>
        </w:tc>
        <w:tc>
          <w:tcPr>
            <w:tcW w:w="1654" w:type="dxa"/>
            <w:tcBorders>
              <w:top w:val="single" w:color="auto" w:sz="4" w:space="0"/>
              <w:left w:val="single" w:color="auto" w:sz="4" w:space="0"/>
              <w:bottom w:val="single" w:color="auto" w:sz="4" w:space="0"/>
              <w:right w:val="single" w:color="auto" w:sz="4" w:space="0"/>
            </w:tcBorders>
            <w:shd w:val="clear" w:color="auto" w:fill="auto"/>
            <w:noWrap/>
          </w:tcPr>
          <w:p w:rsidR="00803506" w:rsidP="00C20821" w:rsidRDefault="00803506">
            <w:pPr>
              <w:jc w:val="center"/>
              <w:rPr>
                <w:rFonts w:ascii="Calibri" w:hAnsi="Calibri"/>
                <w:color w:val="0000FF"/>
                <w:sz w:val="22"/>
                <w:szCs w:val="22"/>
                <w:u w:val="single"/>
              </w:rPr>
            </w:pPr>
            <w:r>
              <w:rPr>
                <w:rFonts w:ascii="Calibri" w:hAnsi="Calibri"/>
                <w:color w:val="0000FF"/>
                <w:sz w:val="22"/>
                <w:szCs w:val="22"/>
                <w:u w:val="single"/>
              </w:rPr>
              <w:t>COM (2019) 71</w:t>
            </w:r>
          </w:p>
        </w:tc>
        <w:tc>
          <w:tcPr>
            <w:tcW w:w="833" w:type="dxa"/>
            <w:tcBorders>
              <w:top w:val="single" w:color="auto" w:sz="4" w:space="0"/>
              <w:left w:val="single" w:color="auto" w:sz="4" w:space="0"/>
              <w:bottom w:val="single" w:color="auto" w:sz="4" w:space="0"/>
              <w:right w:val="single" w:color="auto" w:sz="4" w:space="0"/>
            </w:tcBorders>
            <w:shd w:val="clear" w:color="auto" w:fill="auto"/>
          </w:tcPr>
          <w:p w:rsidRPr="001D7F4B" w:rsidR="00803506" w:rsidP="00C20821" w:rsidRDefault="00803506">
            <w:pPr>
              <w:rPr>
                <w:rFonts w:asciiTheme="minorHAnsi" w:hAnsiTheme="minorHAnsi"/>
                <w:sz w:val="22"/>
                <w:szCs w:val="22"/>
              </w:rPr>
            </w:pPr>
          </w:p>
        </w:tc>
        <w:tc>
          <w:tcPr>
            <w:tcW w:w="5403" w:type="dxa"/>
            <w:tcBorders>
              <w:top w:val="single" w:color="auto" w:sz="4" w:space="0"/>
              <w:left w:val="single" w:color="auto" w:sz="4" w:space="0"/>
              <w:bottom w:val="single" w:color="auto" w:sz="4" w:space="0"/>
              <w:right w:val="single" w:color="auto" w:sz="4" w:space="0"/>
            </w:tcBorders>
            <w:shd w:val="clear" w:color="auto" w:fill="auto"/>
          </w:tcPr>
          <w:p w:rsidR="00095742" w:rsidP="00095742" w:rsidRDefault="00095742">
            <w:pPr>
              <w:rPr>
                <w:rFonts w:ascii="Calibri" w:hAnsi="Calibri"/>
                <w:sz w:val="22"/>
                <w:szCs w:val="22"/>
              </w:rPr>
            </w:pPr>
            <w:r>
              <w:rPr>
                <w:rFonts w:ascii="Calibri" w:hAnsi="Calibri"/>
                <w:sz w:val="22"/>
                <w:szCs w:val="22"/>
                <w:u w:val="single"/>
              </w:rPr>
              <w:t>Voorstel</w:t>
            </w:r>
            <w:r>
              <w:rPr>
                <w:rFonts w:ascii="Calibri" w:hAnsi="Calibri"/>
                <w:sz w:val="22"/>
                <w:szCs w:val="22"/>
              </w:rPr>
              <w:t>: voor kennisgeving aannemen.</w:t>
            </w:r>
          </w:p>
          <w:p w:rsidR="00095742" w:rsidP="00095742" w:rsidRDefault="00095742">
            <w:pPr>
              <w:rPr>
                <w:rFonts w:ascii="Calibri" w:hAnsi="Calibri"/>
                <w:sz w:val="22"/>
                <w:szCs w:val="22"/>
              </w:rPr>
            </w:pPr>
          </w:p>
          <w:p w:rsidRPr="00095742" w:rsidR="00803506" w:rsidP="00C20821" w:rsidRDefault="00095742">
            <w:pPr>
              <w:rPr>
                <w:rFonts w:ascii="Calibri" w:hAnsi="Calibri"/>
                <w:i/>
                <w:sz w:val="22"/>
                <w:szCs w:val="22"/>
              </w:rPr>
            </w:pPr>
            <w:r w:rsidRPr="00095742">
              <w:rPr>
                <w:rFonts w:ascii="Calibri" w:hAnsi="Calibri"/>
                <w:i/>
                <w:sz w:val="22"/>
                <w:szCs w:val="22"/>
              </w:rPr>
              <w:t>Het betreft een aanbeveling voor een Raadsbesluit op basis waarvan de Raad de Europese Commissie mandateert om deel te nemen aan onderhandelingen over een tweede aanvullend protocol bij het Verdrag van de Raad van Europa inzake cybercriminaliteit (CETS nr. 185, ook 'Boedapest Conventie' genoemd). Belangrijke reden voor de Europese Commissie om deel te willen nemen aan de onderhandelingen is dat het tweede aanvullend protocol onder meer zal zien op</w:t>
            </w:r>
            <w:r w:rsidRPr="00095742">
              <w:rPr>
                <w:i/>
              </w:rPr>
              <w:t xml:space="preserve"> </w:t>
            </w:r>
            <w:r w:rsidRPr="00095742">
              <w:rPr>
                <w:rFonts w:ascii="Calibri" w:hAnsi="Calibri"/>
                <w:i/>
                <w:sz w:val="22"/>
                <w:szCs w:val="22"/>
              </w:rPr>
              <w:t>toegang tot elektronisch bewijs en de Commissie zeker wil stellen dat de bepalingen hieromtrent zich positief zullen verhouden met het in Brussel in onderhandelingen zijnde e-</w:t>
            </w:r>
            <w:proofErr w:type="spellStart"/>
            <w:r w:rsidRPr="00095742">
              <w:rPr>
                <w:rFonts w:ascii="Calibri" w:hAnsi="Calibri"/>
                <w:i/>
                <w:sz w:val="22"/>
                <w:szCs w:val="22"/>
              </w:rPr>
              <w:t>evidence</w:t>
            </w:r>
            <w:proofErr w:type="spellEnd"/>
            <w:r w:rsidRPr="00095742">
              <w:rPr>
                <w:rFonts w:ascii="Calibri" w:hAnsi="Calibri"/>
                <w:i/>
                <w:sz w:val="22"/>
                <w:szCs w:val="22"/>
              </w:rPr>
              <w:t xml:space="preserve"> voorstel.</w:t>
            </w:r>
          </w:p>
        </w:tc>
      </w:tr>
    </w:tbl>
    <w:p w:rsidR="008256C6" w:rsidP="005420AB" w:rsidRDefault="008256C6">
      <w:pPr>
        <w:rPr>
          <w:rFonts w:ascii="Verdana" w:hAnsi="Verdana"/>
          <w:b/>
        </w:rPr>
      </w:pPr>
    </w:p>
    <w:p w:rsidR="002246A5" w:rsidP="005420AB" w:rsidRDefault="002246A5">
      <w:pPr>
        <w:rPr>
          <w:rFonts w:ascii="Verdana" w:hAnsi="Verdana"/>
          <w:b/>
        </w:rPr>
      </w:pPr>
    </w:p>
    <w:p w:rsidRPr="001D7F4B" w:rsidR="008775C9" w:rsidP="005420AB" w:rsidRDefault="008775C9">
      <w:pPr>
        <w:rPr>
          <w:rFonts w:ascii="Verdana" w:hAnsi="Verdana"/>
          <w:b/>
        </w:rPr>
      </w:pPr>
      <w:r w:rsidRPr="001D7F4B">
        <w:rPr>
          <w:rFonts w:ascii="Verdana" w:hAnsi="Verdana"/>
          <w:b/>
        </w:rPr>
        <w:t>Bijlage: behandelmogelijkheden EU-voorstellen</w:t>
      </w:r>
    </w:p>
    <w:p w:rsidRPr="001D7F4B" w:rsidR="008775C9" w:rsidP="008775C9" w:rsidRDefault="008775C9">
      <w:pPr>
        <w:pStyle w:val="Voetnoottekst"/>
        <w:rPr>
          <w:rFonts w:ascii="Verdana" w:hAnsi="Verdana"/>
          <w:sz w:val="18"/>
          <w:szCs w:val="18"/>
        </w:rPr>
      </w:pPr>
    </w:p>
    <w:p w:rsidRPr="001D7F4B" w:rsidR="008775C9" w:rsidP="008775C9" w:rsidRDefault="008775C9">
      <w:pPr>
        <w:rPr>
          <w:rFonts w:ascii="Verdana" w:hAnsi="Verdana"/>
          <w:sz w:val="18"/>
          <w:szCs w:val="18"/>
        </w:rPr>
      </w:pPr>
      <w:r w:rsidRPr="001D7F4B">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D7F4B" w:rsidR="008775C9" w:rsidP="008775C9" w:rsidRDefault="008775C9">
      <w:pPr>
        <w:rPr>
          <w:rFonts w:ascii="Verdana" w:hAnsi="Verdana"/>
          <w:sz w:val="18"/>
          <w:szCs w:val="18"/>
        </w:rPr>
      </w:pPr>
      <w:r w:rsidRPr="001D7F4B">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5420AB" w:rsidP="008775C9" w:rsidRDefault="005420AB">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D7F4B" w:rsidR="001D7F4B" w:rsidTr="007A2A57">
        <w:tc>
          <w:tcPr>
            <w:tcW w:w="2093"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Soort Instrument</w:t>
            </w:r>
          </w:p>
        </w:tc>
        <w:tc>
          <w:tcPr>
            <w:tcW w:w="6946"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Toelichting</w:t>
            </w:r>
          </w:p>
        </w:tc>
        <w:tc>
          <w:tcPr>
            <w:tcW w:w="5103"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 xml:space="preserve">Mogelijke beïnvloedingsmomenten </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p>
          <w:p w:rsidRPr="001D7F4B" w:rsidR="008775C9" w:rsidP="007A2A57" w:rsidRDefault="008775C9">
            <w:pPr>
              <w:pStyle w:val="Voetnoottekst"/>
              <w:rPr>
                <w:rFonts w:ascii="Verdana" w:hAnsi="Verdana"/>
                <w:i/>
                <w:sz w:val="18"/>
                <w:szCs w:val="18"/>
              </w:rPr>
            </w:pPr>
            <w:r w:rsidRPr="001D7F4B">
              <w:rPr>
                <w:rFonts w:ascii="Verdana" w:hAnsi="Verdana"/>
                <w:i/>
                <w:sz w:val="18"/>
                <w:szCs w:val="18"/>
              </w:rPr>
              <w:t>Wetgevende, bindende rechtshandelingen</w:t>
            </w:r>
            <w:r w:rsidRPr="001D7F4B">
              <w:rPr>
                <w:rStyle w:val="Voetnootmarkering"/>
                <w:rFonts w:ascii="Verdana" w:hAnsi="Verdana"/>
                <w:i/>
                <w:sz w:val="18"/>
                <w:szCs w:val="18"/>
              </w:rPr>
              <w:footnoteReference w:id="1"/>
            </w:r>
            <w:r w:rsidRPr="001D7F4B">
              <w:rPr>
                <w:rFonts w:ascii="Verdana" w:hAnsi="Verdana"/>
                <w:i/>
                <w:sz w:val="18"/>
                <w:szCs w:val="18"/>
              </w:rPr>
              <w:t xml:space="preserve"> </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Verordening</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w:t>
            </w:r>
            <w:r w:rsidRPr="001D7F4B">
              <w:rPr>
                <w:rFonts w:ascii="Verdana" w:hAnsi="Verdana"/>
                <w:sz w:val="18"/>
                <w:szCs w:val="18"/>
              </w:rPr>
              <w:lastRenderedPageBreak/>
              <w:t xml:space="preserve">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ambtenaren of Commissaris Europese Commissie (de ‘auteurs’) uitnodigen voor briefing/gesprek, evt. via videoconferentie.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 xml:space="preserve">subsidiariteitstoets overwegen: let op termijn (zie </w:t>
            </w:r>
            <w:r w:rsidRPr="001D7F4B">
              <w:rPr>
                <w:rFonts w:ascii="Verdana" w:hAnsi="Verdana"/>
                <w:sz w:val="18"/>
                <w:szCs w:val="18"/>
              </w:rPr>
              <w:lastRenderedPageBreak/>
              <w:t>hieronder).</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behandelvoorbehoud overwegen: let op termijn (zie hieronder).</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ad-hoc rapporteur(s) binnen de commissie(s) benoemen.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tijdens overleg met kabinet NL onderhandelingsinzet aan de orde stellen, evt. aan de hand van het “BNC-fiche”.</w:t>
            </w:r>
            <w:r w:rsidRPr="001D7F4B">
              <w:rPr>
                <w:rStyle w:val="Voetnootmarkering"/>
                <w:rFonts w:ascii="Verdana" w:hAnsi="Verdana"/>
                <w:sz w:val="18"/>
                <w:szCs w:val="18"/>
              </w:rPr>
              <w:footnoteReference w:id="2"/>
            </w:r>
            <w:r w:rsidRPr="001D7F4B">
              <w:rPr>
                <w:rFonts w:ascii="Verdana" w:hAnsi="Verdana"/>
                <w:sz w:val="18"/>
                <w:szCs w:val="18"/>
              </w:rPr>
              <w:t xml:space="preserve"> </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EP-rapporteur uitnodigen, evt. via videoconferentie.</w:t>
            </w:r>
            <w:r w:rsidRPr="001D7F4B">
              <w:rPr>
                <w:rFonts w:ascii="Verdana" w:hAnsi="Verdana"/>
                <w:sz w:val="18"/>
                <w:szCs w:val="18"/>
              </w:rPr>
              <w:br/>
            </w:r>
            <w:r w:rsidRPr="001D7F4B">
              <w:rPr>
                <w:rFonts w:ascii="Verdana" w:hAnsi="Verdana"/>
                <w:sz w:val="18"/>
                <w:szCs w:val="18"/>
              </w:rPr>
              <w:br/>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NB: Pas na afronding van het onderhandelingstraject: nationale wetgevingstraject monitoren (</w:t>
            </w:r>
            <w:proofErr w:type="spellStart"/>
            <w:r w:rsidRPr="001D7F4B">
              <w:rPr>
                <w:rFonts w:ascii="Verdana" w:hAnsi="Verdana"/>
                <w:sz w:val="18"/>
                <w:szCs w:val="18"/>
              </w:rPr>
              <w:t>i.h.k.v</w:t>
            </w:r>
            <w:proofErr w:type="spellEnd"/>
            <w:r w:rsidRPr="001D7F4B">
              <w:rPr>
                <w:rFonts w:ascii="Verdana" w:hAnsi="Verdana"/>
                <w:sz w:val="18"/>
                <w:szCs w:val="18"/>
              </w:rPr>
              <w:t>. omzetting naar nationale wetgeving).</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lastRenderedPageBreak/>
              <w:t xml:space="preserve">Richtlijn </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Pr="001D7F4B" w:rsidR="00B30B36" w:rsidP="007A2A57" w:rsidRDefault="00B30B36">
            <w:pPr>
              <w:pStyle w:val="Voetnoottekst"/>
              <w:rPr>
                <w:rFonts w:ascii="Verdana" w:hAnsi="Verdana"/>
                <w:sz w:val="18"/>
                <w:szCs w:val="18"/>
              </w:rPr>
            </w:pPr>
          </w:p>
        </w:tc>
        <w:tc>
          <w:tcPr>
            <w:tcW w:w="5103" w:type="dxa"/>
            <w:vMerge/>
          </w:tcPr>
          <w:p w:rsidRPr="001D7F4B" w:rsidR="008775C9" w:rsidP="007A2A57" w:rsidRDefault="008775C9">
            <w:pPr>
              <w:pStyle w:val="Voetnoottekst"/>
              <w:numPr>
                <w:ilvl w:val="0"/>
                <w:numId w:val="2"/>
              </w:numPr>
              <w:ind w:left="317" w:hanging="283"/>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(Besluit)</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D7F4B">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w:t>
            </w:r>
            <w:r w:rsidRPr="001D7F4B">
              <w:rPr>
                <w:rFonts w:ascii="Verdana" w:hAnsi="Verdana"/>
                <w:sz w:val="18"/>
                <w:szCs w:val="18"/>
              </w:rPr>
              <w:lastRenderedPageBreak/>
              <w:t xml:space="preserve">Commissie, genomen door de Raad en het Parlement zullen in de regel wetgevend zijn. Dit zal van geval tot geval moeten worden beoordeeld. </w:t>
            </w:r>
          </w:p>
          <w:p w:rsidRPr="001D7F4B" w:rsidR="00B30B36" w:rsidP="007A2A57" w:rsidRDefault="00B30B36">
            <w:pPr>
              <w:pStyle w:val="Voetnoottekst"/>
              <w:rPr>
                <w:rFonts w:ascii="Verdana" w:hAnsi="Verdana"/>
                <w:sz w:val="18"/>
                <w:szCs w:val="18"/>
              </w:rPr>
            </w:pPr>
          </w:p>
        </w:tc>
        <w:tc>
          <w:tcPr>
            <w:tcW w:w="5103" w:type="dxa"/>
            <w:vMerge/>
          </w:tcPr>
          <w:p w:rsidRPr="001D7F4B" w:rsidR="008775C9" w:rsidP="007A2A57" w:rsidRDefault="008775C9">
            <w:pPr>
              <w:pStyle w:val="Voetnoottekst"/>
              <w:numPr>
                <w:ilvl w:val="0"/>
                <w:numId w:val="2"/>
              </w:numPr>
              <w:ind w:left="317" w:hanging="283"/>
              <w:rPr>
                <w:rFonts w:ascii="Verdana" w:hAnsi="Verdana"/>
                <w:sz w:val="18"/>
                <w:szCs w:val="18"/>
              </w:rPr>
            </w:pP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lastRenderedPageBreak/>
              <w:t>Niet-wetgevende bindende rechtshandelingen</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Gedelegeerde handeling</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D7F4B" w:rsidR="008775C9" w:rsidP="007A2A57" w:rsidRDefault="008775C9">
            <w:pPr>
              <w:pStyle w:val="Voetnoottekst"/>
              <w:ind w:left="360"/>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proofErr w:type="spellStart"/>
            <w:r w:rsidRPr="001D7F4B">
              <w:rPr>
                <w:rFonts w:ascii="Verdana" w:hAnsi="Verdana"/>
                <w:sz w:val="18"/>
                <w:szCs w:val="18"/>
              </w:rPr>
              <w:t>Uitvoerings-handeling</w:t>
            </w:r>
            <w:proofErr w:type="spellEnd"/>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algemeen overleg/debat bevragen over stand van zaken en appreciatie EU onderhandelingen en NL inzet.</w:t>
            </w:r>
          </w:p>
          <w:p w:rsidRPr="001D7F4B" w:rsidR="008775C9" w:rsidP="007A2A57" w:rsidRDefault="008775C9">
            <w:pPr>
              <w:numPr>
                <w:ilvl w:val="0"/>
                <w:numId w:val="1"/>
              </w:numPr>
              <w:rPr>
                <w:rFonts w:ascii="Verdana" w:hAnsi="Verdana"/>
                <w:sz w:val="18"/>
                <w:szCs w:val="18"/>
              </w:rPr>
            </w:pPr>
            <w:r w:rsidRPr="001D7F4B">
              <w:rPr>
                <w:rFonts w:ascii="Verdana" w:hAnsi="Verdana"/>
                <w:sz w:val="18"/>
                <w:szCs w:val="18"/>
              </w:rPr>
              <w:t xml:space="preserve">op basis van de </w:t>
            </w:r>
            <w:hyperlink w:history="1" r:id="rId15">
              <w:r w:rsidRPr="001D7F4B">
                <w:rPr>
                  <w:rFonts w:ascii="Verdana" w:hAnsi="Verdana"/>
                  <w:sz w:val="18"/>
                  <w:szCs w:val="18"/>
                  <w:u w:val="single"/>
                </w:rPr>
                <w:t>(gewijzigde) motie Van Gent</w:t>
              </w:r>
            </w:hyperlink>
            <w:r w:rsidRPr="001D7F4B">
              <w:rPr>
                <w:rFonts w:ascii="Verdana" w:hAnsi="Verdana"/>
                <w:sz w:val="18"/>
                <w:szCs w:val="18"/>
              </w:rPr>
              <w:t xml:space="preserve"> dient het kabinet de Kamer afschriften te sturen van zijn correspondentie met de Europese Commissie over de uitvoering van Europese regelgeving.</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Handelingen vastgesteld volgens de regelgevingsprocedure met toetsing</w:t>
            </w:r>
          </w:p>
        </w:tc>
        <w:tc>
          <w:tcPr>
            <w:tcW w:w="6946" w:type="dxa"/>
          </w:tcPr>
          <w:p w:rsidRPr="001D7F4B" w:rsidR="008775C9" w:rsidP="007A2A57" w:rsidRDefault="008775C9">
            <w:pPr>
              <w:rPr>
                <w:rFonts w:ascii="Verdana" w:hAnsi="Verdana"/>
                <w:sz w:val="18"/>
                <w:szCs w:val="18"/>
              </w:rPr>
            </w:pPr>
            <w:r w:rsidRPr="001D7F4B">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1D7F4B" w:rsidR="008775C9" w:rsidP="007A2A57" w:rsidRDefault="008775C9">
            <w:pPr>
              <w:pStyle w:val="Voetnoottekst"/>
              <w:numPr>
                <w:ilvl w:val="0"/>
                <w:numId w:val="1"/>
              </w:numPr>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Bijzondere rechtshandelingen</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D7F4B" w:rsidR="008775C9" w:rsidP="007A2A57" w:rsidRDefault="008775C9">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kabinetsappreciatie (‘BNC-fiche’) vragen, bespreken.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ambtenaren of Commissaris van Europese Commissie (de ‘auteurs’) uitnodigen voor briefing/gesprek, evt. via videoconferentie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indien het Europees Parlement een rapporteur heeft aangesteld kan deze desgewenst worden uitgenodigd voor een gesprek.</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uw commissie kan op dit onderwerp een ad-hoc rapporteur benoemen</w:t>
            </w:r>
          </w:p>
          <w:p w:rsidRPr="001D7F4B" w:rsidR="008775C9" w:rsidP="007A2A57" w:rsidRDefault="008775C9">
            <w:pPr>
              <w:pStyle w:val="Voetnoottekst"/>
              <w:ind w:left="360"/>
              <w:rPr>
                <w:rFonts w:ascii="Verdana" w:hAnsi="Verdana"/>
                <w:sz w:val="18"/>
                <w:szCs w:val="18"/>
              </w:rPr>
            </w:pPr>
            <w:r w:rsidRPr="001D7F4B">
              <w:rPr>
                <w:rFonts w:ascii="Verdana" w:hAnsi="Verdana"/>
                <w:sz w:val="18"/>
                <w:szCs w:val="18"/>
              </w:rPr>
              <w:t>nationale wetgevingstraject (</w:t>
            </w:r>
            <w:proofErr w:type="spellStart"/>
            <w:r w:rsidRPr="001D7F4B">
              <w:rPr>
                <w:rFonts w:ascii="Verdana" w:hAnsi="Verdana"/>
                <w:sz w:val="18"/>
                <w:szCs w:val="18"/>
              </w:rPr>
              <w:t>i.h.k.v</w:t>
            </w:r>
            <w:proofErr w:type="spellEnd"/>
            <w:r w:rsidRPr="001D7F4B">
              <w:rPr>
                <w:rFonts w:ascii="Verdana" w:hAnsi="Verdana"/>
                <w:sz w:val="18"/>
                <w:szCs w:val="18"/>
              </w:rPr>
              <w:t>. omzetting van richtlijn naar nationale wetgeving).</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lastRenderedPageBreak/>
              <w:t>Niet-bindende handelingen (soft-</w:t>
            </w:r>
            <w:proofErr w:type="spellStart"/>
            <w:r w:rsidRPr="001D7F4B">
              <w:rPr>
                <w:rFonts w:ascii="Verdana" w:hAnsi="Verdana"/>
                <w:i/>
                <w:sz w:val="18"/>
                <w:szCs w:val="18"/>
              </w:rPr>
              <w:t>law</w:t>
            </w:r>
            <w:proofErr w:type="spellEnd"/>
            <w:r w:rsidRPr="001D7F4B">
              <w:rPr>
                <w:rFonts w:ascii="Verdana" w:hAnsi="Verdana"/>
                <w:i/>
                <w:sz w:val="18"/>
                <w:szCs w:val="18"/>
              </w:rPr>
              <w: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Advies, aanbeveling, mededeling</w:t>
            </w: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tc>
        <w:tc>
          <w:tcPr>
            <w:tcW w:w="6946" w:type="dxa"/>
          </w:tcPr>
          <w:p w:rsidRPr="001D7F4B" w:rsidR="008775C9" w:rsidP="007A2A57" w:rsidRDefault="008775C9">
            <w:pPr>
              <w:pStyle w:val="Voetnoottekst"/>
              <w:spacing w:before="100" w:beforeAutospacing="1" w:after="100" w:afterAutospacing="1"/>
              <w:rPr>
                <w:rFonts w:ascii="Verdana" w:hAnsi="Verdana"/>
                <w:sz w:val="18"/>
                <w:szCs w:val="18"/>
              </w:rPr>
            </w:pPr>
            <w:r w:rsidRPr="001D7F4B">
              <w:rPr>
                <w:rFonts w:ascii="Verdana" w:hAnsi="Verdana"/>
                <w:sz w:val="18"/>
                <w:szCs w:val="18"/>
              </w:rPr>
              <w:t xml:space="preserve">De EU kent een grote hoeveelheid uiteenlopende typen beleid (‘soft </w:t>
            </w:r>
            <w:proofErr w:type="spellStart"/>
            <w:r w:rsidRPr="001D7F4B">
              <w:rPr>
                <w:rFonts w:ascii="Verdana" w:hAnsi="Verdana"/>
                <w:sz w:val="18"/>
                <w:szCs w:val="18"/>
              </w:rPr>
              <w:t>law</w:t>
            </w:r>
            <w:proofErr w:type="spellEnd"/>
            <w:r w:rsidRPr="001D7F4B">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1D7F4B">
              <w:rPr>
                <w:rFonts w:ascii="Verdana" w:hAnsi="Verdana"/>
                <w:sz w:val="18"/>
                <w:szCs w:val="18"/>
              </w:rPr>
              <w:t>law</w:t>
            </w:r>
            <w:proofErr w:type="spellEnd"/>
            <w:r w:rsidRPr="001D7F4B">
              <w:rPr>
                <w:rFonts w:ascii="Verdana" w:hAnsi="Verdana"/>
                <w:sz w:val="18"/>
                <w:szCs w:val="18"/>
              </w:rPr>
              <w:t xml:space="preserve">.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om appreciatie in de vorm van BNC-fiche verzoeken aangezien over deze categorie niet standaard een fiche wordt gemaakt.</w:t>
            </w: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 xml:space="preserve">Overige handelingen en instrumenten </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Routekaart, actieplannen, strategie, agenda </w:t>
            </w:r>
          </w:p>
        </w:tc>
        <w:tc>
          <w:tcPr>
            <w:tcW w:w="6946" w:type="dxa"/>
          </w:tcPr>
          <w:p w:rsidR="008775C9" w:rsidP="007A2A57" w:rsidRDefault="008775C9">
            <w:pPr>
              <w:pStyle w:val="Voetnoottekst"/>
              <w:rPr>
                <w:rFonts w:ascii="Verdana" w:hAnsi="Verdana" w:cs="Arial"/>
                <w:sz w:val="18"/>
                <w:szCs w:val="18"/>
              </w:rPr>
            </w:pPr>
            <w:r w:rsidRPr="001D7F4B">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1D7F4B">
              <w:rPr>
                <w:rStyle w:val="Zwaar"/>
                <w:rFonts w:ascii="Verdana" w:hAnsi="Verdana" w:cs="Arial"/>
                <w:sz w:val="18"/>
                <w:szCs w:val="18"/>
              </w:rPr>
              <w:t>voor nieuwe initiatieven</w:t>
            </w:r>
            <w:r w:rsidRPr="001D7F4B">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1D7F4B">
              <w:rPr>
                <w:rStyle w:val="Zwaar"/>
                <w:rFonts w:ascii="Verdana" w:hAnsi="Verdana" w:cs="Arial"/>
                <w:sz w:val="18"/>
                <w:szCs w:val="18"/>
              </w:rPr>
              <w:t xml:space="preserve"> voor evaluaties en geschiktheidscontroles</w:t>
            </w:r>
            <w:r w:rsidRPr="001D7F4B">
              <w:rPr>
                <w:rFonts w:ascii="Verdana" w:hAnsi="Verdana" w:cs="Arial"/>
                <w:sz w:val="18"/>
                <w:szCs w:val="18"/>
              </w:rPr>
              <w:t xml:space="preserve"> wordt bepaald wat er geëvalueerd moet worden en welke aspecten moeten worden onderzocht. </w:t>
            </w: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om appreciatie in de vorm van BNC-fiche verzoeken aangezien over deze categorie niet standaard een fiche wordt gemaakt</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en/of kabinet vragen om NL inzet (per commissiebrief of tijdens algemeen overleg/debat).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Groen- en witboek</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Groenboek: een discussiestuk, waarmee de Europese Commissie de stand van zaken inventariseert omtrent een onderwerp. Ook doet ze aanbevelingen voor nieuw beleid. </w:t>
            </w: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r w:rsidRPr="001D7F4B">
              <w:rPr>
                <w:rFonts w:ascii="Verdana" w:hAnsi="Verdana"/>
                <w:sz w:val="18"/>
                <w:szCs w:val="18"/>
              </w:rPr>
              <w:t>Witboek: hierin zet de Europese Commissie uiteen hoe zij bepaalde doelen wil bereiken. Vaak worden in een witboek al concrete voorstellen uitgewerkt en toegelicht.</w:t>
            </w:r>
          </w:p>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desgewenst ambtenaren EC of Europees Commissaris uitnodigen voor een toelichting.</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in commissieverband (via schriftelijke inbreng in de vorm van een politieke dialoog) of als lid, burger of via fracties een reactie sturen aan de Europese Commissie.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Openbare raadpleging (consultatie)</w:t>
            </w:r>
          </w:p>
        </w:tc>
        <w:tc>
          <w:tcPr>
            <w:tcW w:w="6946" w:type="dxa"/>
          </w:tcPr>
          <w:p w:rsidRPr="001D7F4B" w:rsidR="008775C9" w:rsidP="007A2A57" w:rsidRDefault="008775C9">
            <w:pPr>
              <w:pStyle w:val="Voetnoottekst"/>
              <w:spacing w:before="100" w:beforeAutospacing="1" w:after="100" w:afterAutospacing="1"/>
              <w:rPr>
                <w:rFonts w:ascii="Verdana" w:hAnsi="Verdana"/>
                <w:sz w:val="18"/>
                <w:szCs w:val="18"/>
              </w:rPr>
            </w:pPr>
            <w:r w:rsidRPr="001D7F4B">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w:t>
            </w:r>
            <w:r w:rsidRPr="001D7F4B">
              <w:rPr>
                <w:rFonts w:ascii="Verdana" w:hAnsi="Verdana"/>
                <w:sz w:val="18"/>
                <w:szCs w:val="18"/>
              </w:rPr>
              <w:lastRenderedPageBreak/>
              <w:t xml:space="preserve">invulling te geven aan haar voorstellen, voordat ze die ter bespreking en goedkeuring naar de Raad en het Europees Parlement stuurt. </w:t>
            </w:r>
            <w:hyperlink w:history="1" r:id="rId16">
              <w:r w:rsidRPr="001D7F4B">
                <w:rPr>
                  <w:rStyle w:val="Hyperlink"/>
                  <w:rFonts w:ascii="Verdana" w:hAnsi="Verdana"/>
                  <w:color w:val="auto"/>
                  <w:sz w:val="18"/>
                  <w:szCs w:val="18"/>
                </w:rPr>
                <w:t>Bekijk alle openbare raadplegingen op "Uw stem in Europa"</w:t>
              </w:r>
            </w:hyperlink>
            <w:r w:rsidRPr="001D7F4B">
              <w:rPr>
                <w:rFonts w:ascii="Verdana" w:hAnsi="Verdana"/>
                <w:sz w:val="18"/>
                <w:szCs w:val="18"/>
              </w:rPr>
              <w:t xml:space="preserve"> . </w:t>
            </w:r>
          </w:p>
        </w:tc>
        <w:tc>
          <w:tcPr>
            <w:tcW w:w="5103" w:type="dxa"/>
          </w:tcPr>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lastRenderedPageBreak/>
              <w:t>als burger, lid, fractie of in commissieverband (via schriftelijke inbreng in de vorm van een politieke dialoog). meedoen aan de openbare raadpleging.</w:t>
            </w:r>
          </w:p>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lastRenderedPageBreak/>
              <w:t>kabinet verzoeken om de concept-kabinetsreactie naar de Kamer te sturen voordat de definitieve versie naar de Europese Commissie wordt gestuurd, teneinde desgewenst hierover met de bewindspersoon in gesprek te treden.</w:t>
            </w:r>
          </w:p>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de Kamer ontvangt krachtens de standaard-informatieafspraken de definitieve kabinetsreactie op alle consultaties van de Europese Commissie waarop het kabinet reageert.</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lastRenderedPageBreak/>
              <w:t>Uitgelicht: twee specifieke parlementaire instrumenten bij nieuw gepubliceerde EU-voorstellen</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Subsidiariteitstoets </w:t>
            </w:r>
          </w:p>
          <w:p w:rsidRPr="001D7F4B" w:rsidR="008775C9" w:rsidP="007A2A57" w:rsidRDefault="008775C9">
            <w:pPr>
              <w:pStyle w:val="Voetnoottekst"/>
              <w:rPr>
                <w:rFonts w:ascii="Verdana" w:hAnsi="Verdana"/>
                <w:sz w:val="18"/>
                <w:szCs w:val="18"/>
              </w:rPr>
            </w:pPr>
            <w:r w:rsidRPr="001D7F4B">
              <w:rPr>
                <w:rFonts w:ascii="Verdana" w:hAnsi="Verdana"/>
                <w:sz w:val="18"/>
                <w:szCs w:val="18"/>
              </w:rPr>
              <w:t>(richting EU)</w:t>
            </w:r>
          </w:p>
        </w:tc>
        <w:tc>
          <w:tcPr>
            <w:tcW w:w="6946" w:type="dxa"/>
          </w:tcPr>
          <w:p w:rsidRPr="001D7F4B" w:rsidR="008775C9" w:rsidP="007A2A57" w:rsidRDefault="008775C9">
            <w:pPr>
              <w:pStyle w:val="Lijstalinea"/>
              <w:ind w:left="0"/>
              <w:rPr>
                <w:rFonts w:ascii="Verdana" w:hAnsi="Verdana"/>
                <w:sz w:val="18"/>
                <w:szCs w:val="18"/>
              </w:rPr>
            </w:pPr>
            <w:r w:rsidRPr="001D7F4B">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B30B36">
              <w:rPr>
                <w:rFonts w:ascii="Verdana" w:hAnsi="Verdana" w:cstheme="minorHAnsi"/>
                <w:sz w:val="18"/>
                <w:szCs w:val="18"/>
              </w:rPr>
              <w:t xml:space="preserve">Elk parlement krijgt 2 stemmen, maar bij een </w:t>
            </w:r>
            <w:proofErr w:type="spellStart"/>
            <w:r w:rsidRPr="00B30B36">
              <w:rPr>
                <w:rFonts w:ascii="Verdana" w:hAnsi="Verdana" w:cstheme="minorHAnsi"/>
                <w:sz w:val="18"/>
                <w:szCs w:val="18"/>
              </w:rPr>
              <w:t>bicameraal</w:t>
            </w:r>
            <w:proofErr w:type="spellEnd"/>
            <w:r w:rsidRPr="00B30B36">
              <w:rPr>
                <w:rFonts w:ascii="Verdana" w:hAnsi="Verdana" w:cstheme="minorHAnsi"/>
                <w:sz w:val="18"/>
                <w:szCs w:val="18"/>
              </w:rPr>
              <w:t xml:space="preserve"> stelsel, zoals in Nederland, krijgt elke kamer 1 stem</w:t>
            </w:r>
            <w:r w:rsidRPr="00B30B36">
              <w:rPr>
                <w:rFonts w:ascii="Verdana" w:hAnsi="Verdana"/>
                <w:sz w:val="18"/>
                <w:szCs w:val="18"/>
              </w:rPr>
              <w:t>.</w:t>
            </w:r>
            <w:r w:rsidRPr="00B30B36">
              <w:rPr>
                <w:rFonts w:ascii="Verdana" w:hAnsi="Verdana" w:cstheme="minorHAnsi"/>
                <w:sz w:val="18"/>
                <w:szCs w:val="18"/>
              </w:rPr>
              <w:t xml:space="preserve"> Om een gele kaart te trekken moeten er 19 stemmen worden gehaald.</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kabinetsappreciatie (‘BNC-fiche’) komt voor aangekondigde subsidiariteitstoetsen binnen drie weken t.b.v. een snelle behandeling.</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 xml:space="preserve">met andere parlementen in overleg treden t.b.v. behalen meerderheid voor ’gele kaart’ (1/3 stemmen) via parlementaire vertegenwoordiging en/of fractielijnen. </w:t>
            </w:r>
          </w:p>
        </w:tc>
      </w:tr>
      <w:tr w:rsidRPr="001D7F4B" w:rsidR="008775C9"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Behandel-voorbehoud (richting regering)</w:t>
            </w:r>
          </w:p>
        </w:tc>
        <w:tc>
          <w:tcPr>
            <w:tcW w:w="6946" w:type="dxa"/>
          </w:tcPr>
          <w:p w:rsidRPr="001D7F4B" w:rsidR="008775C9" w:rsidP="007A2A57" w:rsidRDefault="008775C9">
            <w:pPr>
              <w:pStyle w:val="Lijstalinea"/>
              <w:ind w:left="34"/>
              <w:rPr>
                <w:rFonts w:ascii="Verdana" w:hAnsi="Verdana"/>
                <w:sz w:val="18"/>
                <w:szCs w:val="18"/>
              </w:rPr>
            </w:pPr>
            <w:r w:rsidRPr="001D7F4B">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bij wetgevende EU-voorstellen kan een commissie besluiten tot het uitvoeren van een zgn. ‘behandelvoorbehoud’. Over deze brief moet plenair gestemd worden (let op de termijnen).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tijdens een speciaal overleg kan de commissie afspraken maken over informatieverstrekking (bv. in kwartaalrapportages) zolang het desbetreffende dossier in onderhandeling is.</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 xml:space="preserve">kabinetsappreciatie (‘BNC-fiche’) komt voor aangekondigde </w:t>
            </w:r>
            <w:proofErr w:type="spellStart"/>
            <w:r w:rsidRPr="001D7F4B">
              <w:rPr>
                <w:rFonts w:ascii="Verdana" w:hAnsi="Verdana"/>
                <w:sz w:val="18"/>
                <w:szCs w:val="18"/>
              </w:rPr>
              <w:t>behandelvoorbehouden</w:t>
            </w:r>
            <w:proofErr w:type="spellEnd"/>
            <w:r w:rsidRPr="001D7F4B">
              <w:rPr>
                <w:rFonts w:ascii="Verdana" w:hAnsi="Verdana"/>
                <w:sz w:val="18"/>
                <w:szCs w:val="18"/>
              </w:rPr>
              <w:t xml:space="preserve"> binnen drie weken t.b.v. een snelle behandeling.</w:t>
            </w:r>
          </w:p>
          <w:p w:rsidRPr="001D7F4B" w:rsidR="008775C9" w:rsidP="007A2A57" w:rsidRDefault="008775C9">
            <w:pPr>
              <w:pStyle w:val="Voetnoottekst"/>
              <w:rPr>
                <w:rFonts w:ascii="Verdana" w:hAnsi="Verdana"/>
                <w:sz w:val="18"/>
                <w:szCs w:val="18"/>
              </w:rPr>
            </w:pPr>
          </w:p>
        </w:tc>
      </w:tr>
    </w:tbl>
    <w:p w:rsidRPr="001D7F4B" w:rsidR="008775C9" w:rsidP="008775C9" w:rsidRDefault="008775C9">
      <w:pPr>
        <w:rPr>
          <w:rFonts w:ascii="Verdana" w:hAnsi="Verdana"/>
          <w:sz w:val="18"/>
          <w:szCs w:val="18"/>
        </w:rPr>
      </w:pPr>
    </w:p>
    <w:p w:rsidRPr="001D7F4B" w:rsidR="008775C9" w:rsidP="008775C9" w:rsidRDefault="008775C9">
      <w:pPr>
        <w:rPr>
          <w:rFonts w:ascii="Verdana" w:hAnsi="Verdana"/>
        </w:rPr>
      </w:pPr>
    </w:p>
    <w:p w:rsidRPr="001D7F4B" w:rsidR="008775C9" w:rsidP="008775C9" w:rsidRDefault="008775C9">
      <w:pPr>
        <w:rPr>
          <w:rFonts w:ascii="Verdana" w:hAnsi="Verdana"/>
        </w:rPr>
      </w:pPr>
    </w:p>
    <w:p w:rsidRPr="001D7F4B" w:rsidR="008775C9" w:rsidP="008775C9" w:rsidRDefault="008775C9">
      <w:pPr>
        <w:pStyle w:val="Voetnoottekst"/>
        <w:rPr>
          <w:rFonts w:ascii="Verdana" w:hAnsi="Verdana"/>
        </w:rPr>
      </w:pPr>
    </w:p>
    <w:p w:rsidRPr="001D7F4B" w:rsidR="008775C9" w:rsidP="008775C9" w:rsidRDefault="008775C9"/>
    <w:p w:rsidRPr="001D7F4B" w:rsidR="008775C9" w:rsidP="008775C9" w:rsidRDefault="008775C9"/>
    <w:p w:rsidRPr="001D7F4B" w:rsidR="008775C9" w:rsidP="008775C9" w:rsidRDefault="008775C9"/>
    <w:p w:rsidRPr="001D7F4B" w:rsidR="0046131B" w:rsidRDefault="0046131B"/>
    <w:sectPr w:rsidRPr="001D7F4B" w:rsidR="0046131B" w:rsidSect="006A47E8">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9F" w:rsidRDefault="004B6B9F" w:rsidP="008775C9">
      <w:r>
        <w:separator/>
      </w:r>
    </w:p>
  </w:endnote>
  <w:endnote w:type="continuationSeparator" w:id="0">
    <w:p w:rsidR="004B6B9F" w:rsidRDefault="004B6B9F"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3A7D53">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3A7D5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9F" w:rsidRDefault="004B6B9F" w:rsidP="008775C9">
      <w:r>
        <w:separator/>
      </w:r>
    </w:p>
  </w:footnote>
  <w:footnote w:type="continuationSeparator" w:id="0">
    <w:p w:rsidR="004B6B9F" w:rsidRDefault="004B6B9F"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152BA"/>
    <w:rsid w:val="00032E74"/>
    <w:rsid w:val="000703BE"/>
    <w:rsid w:val="00077A11"/>
    <w:rsid w:val="00080700"/>
    <w:rsid w:val="000817A6"/>
    <w:rsid w:val="0009230A"/>
    <w:rsid w:val="00095203"/>
    <w:rsid w:val="00095742"/>
    <w:rsid w:val="001054B6"/>
    <w:rsid w:val="001635FC"/>
    <w:rsid w:val="00164AFF"/>
    <w:rsid w:val="0017040E"/>
    <w:rsid w:val="00175D08"/>
    <w:rsid w:val="00185618"/>
    <w:rsid w:val="00185A66"/>
    <w:rsid w:val="00196177"/>
    <w:rsid w:val="001D7F4B"/>
    <w:rsid w:val="001F199D"/>
    <w:rsid w:val="002246A5"/>
    <w:rsid w:val="002567C8"/>
    <w:rsid w:val="0026057B"/>
    <w:rsid w:val="00273A0F"/>
    <w:rsid w:val="002967AC"/>
    <w:rsid w:val="002F12DB"/>
    <w:rsid w:val="002F6178"/>
    <w:rsid w:val="0031695B"/>
    <w:rsid w:val="00336B7C"/>
    <w:rsid w:val="00371621"/>
    <w:rsid w:val="00393694"/>
    <w:rsid w:val="003A7D53"/>
    <w:rsid w:val="003C3B43"/>
    <w:rsid w:val="00406893"/>
    <w:rsid w:val="00433D6E"/>
    <w:rsid w:val="0046131B"/>
    <w:rsid w:val="0048527A"/>
    <w:rsid w:val="004A0445"/>
    <w:rsid w:val="004B6B9F"/>
    <w:rsid w:val="004C2E69"/>
    <w:rsid w:val="004D1972"/>
    <w:rsid w:val="004D35D6"/>
    <w:rsid w:val="0051504E"/>
    <w:rsid w:val="00523331"/>
    <w:rsid w:val="00536C52"/>
    <w:rsid w:val="005420AB"/>
    <w:rsid w:val="00551CCE"/>
    <w:rsid w:val="005C2E82"/>
    <w:rsid w:val="006B6A65"/>
    <w:rsid w:val="006C705A"/>
    <w:rsid w:val="00743DDD"/>
    <w:rsid w:val="00744D60"/>
    <w:rsid w:val="00746F71"/>
    <w:rsid w:val="00761446"/>
    <w:rsid w:val="00781D6B"/>
    <w:rsid w:val="007904B9"/>
    <w:rsid w:val="007E7E44"/>
    <w:rsid w:val="00803506"/>
    <w:rsid w:val="00805A06"/>
    <w:rsid w:val="008256C6"/>
    <w:rsid w:val="008422B3"/>
    <w:rsid w:val="008526E2"/>
    <w:rsid w:val="008775C9"/>
    <w:rsid w:val="00882D47"/>
    <w:rsid w:val="0089164C"/>
    <w:rsid w:val="008C6DDB"/>
    <w:rsid w:val="00905708"/>
    <w:rsid w:val="00937F8B"/>
    <w:rsid w:val="00946E5B"/>
    <w:rsid w:val="00956B10"/>
    <w:rsid w:val="0096397C"/>
    <w:rsid w:val="009B3E04"/>
    <w:rsid w:val="009D163E"/>
    <w:rsid w:val="00A24C1E"/>
    <w:rsid w:val="00A520DA"/>
    <w:rsid w:val="00A741CA"/>
    <w:rsid w:val="00AB2618"/>
    <w:rsid w:val="00AC7F2B"/>
    <w:rsid w:val="00B30B36"/>
    <w:rsid w:val="00B803EF"/>
    <w:rsid w:val="00BB20D2"/>
    <w:rsid w:val="00BC752C"/>
    <w:rsid w:val="00BE4600"/>
    <w:rsid w:val="00C123A1"/>
    <w:rsid w:val="00C15B68"/>
    <w:rsid w:val="00C3546B"/>
    <w:rsid w:val="00C45BE6"/>
    <w:rsid w:val="00C527BD"/>
    <w:rsid w:val="00C82B9A"/>
    <w:rsid w:val="00C9165B"/>
    <w:rsid w:val="00CC479E"/>
    <w:rsid w:val="00D05B54"/>
    <w:rsid w:val="00D25AAF"/>
    <w:rsid w:val="00D33F03"/>
    <w:rsid w:val="00D651A8"/>
    <w:rsid w:val="00D84194"/>
    <w:rsid w:val="00D92B5B"/>
    <w:rsid w:val="00DA4FC6"/>
    <w:rsid w:val="00DB138D"/>
    <w:rsid w:val="00E149AE"/>
    <w:rsid w:val="00E3560E"/>
    <w:rsid w:val="00E42EA8"/>
    <w:rsid w:val="00F26C28"/>
    <w:rsid w:val="00F40BFC"/>
    <w:rsid w:val="00F54E40"/>
    <w:rsid w:val="00F61A7B"/>
    <w:rsid w:val="00F74F09"/>
    <w:rsid w:val="00FA790A"/>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90026.do"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www.ipex.eu/IPEXL-WEB/dossier/document/COM20190024.do" TargetMode="External" Id="rId12" /><Relationship Type="http://schemas.openxmlformats.org/officeDocument/2006/relationships/footer" Target="footer1.xml" Id="rId17" /><Relationship Type="http://schemas.openxmlformats.org/officeDocument/2006/relationships/hyperlink" Target="http://ec.europa.eu/yourvoice/consultations/index_nl.htm" TargetMode="External" Id="rId16" /><Relationship Type="http://schemas.microsoft.com/office/2007/relationships/stylesWithEffects" Target="stylesWithEffects.xml" Id="rId6" /><Relationship Type="http://schemas.openxmlformats.org/officeDocument/2006/relationships/hyperlink" Target="http://www.ipex.eu/IPEXL-WEB/dossier/document/COM20190023.do" TargetMode="External" Id="rId11" /><Relationship Type="http://schemas.openxmlformats.org/officeDocument/2006/relationships/styles" Target="style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90070.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3372</ap:Words>
  <ap:Characters>18546</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2019-02-13T14:50:00.0000000Z</dcterms:created>
  <dcterms:modified xsi:type="dcterms:W3CDTF">2019-02-14T11:10:00.0000000Z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0x01010020A4B7115328D047AE7C4D6E491CF8EB</vt:lpwstr>
  </property>
</Properties>
</file>