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173B69" w:rsidR="007974B2" w:rsidP="005A74D3" w:rsidRDefault="004B4BA0" w14:paraId="7E9157E1" w14:textId="6BF8BD54">
      <w:pPr>
        <w:spacing w:after="0" w:line="240" w:lineRule="auto"/>
        <w:jc w:val="center"/>
        <w:rPr>
          <w:rFonts w:cstheme="minorHAnsi"/>
          <w:b/>
          <w:sz w:val="24"/>
        </w:rPr>
      </w:pPr>
      <w:bookmarkStart w:name="_GoBack" w:id="0"/>
      <w:bookmarkEnd w:id="0"/>
      <w:proofErr w:type="spellStart"/>
      <w:r w:rsidRPr="00173B69">
        <w:rPr>
          <w:rFonts w:cstheme="minorHAnsi"/>
          <w:b/>
          <w:sz w:val="24"/>
        </w:rPr>
        <w:t>Tweede</w:t>
      </w:r>
      <w:proofErr w:type="spellEnd"/>
      <w:r w:rsidRPr="00173B69">
        <w:rPr>
          <w:rFonts w:cstheme="minorHAnsi"/>
          <w:b/>
          <w:sz w:val="24"/>
        </w:rPr>
        <w:t xml:space="preserve"> Kamer - The Netherlands House of Representatives</w:t>
      </w:r>
    </w:p>
    <w:p w:rsidRPr="00173B69" w:rsidR="004B4BA0" w:rsidP="005A74D3" w:rsidRDefault="004B4BA0" w14:paraId="6689D2C8" w14:textId="4713EF0C">
      <w:pPr>
        <w:spacing w:after="0" w:line="240" w:lineRule="auto"/>
        <w:jc w:val="center"/>
        <w:rPr>
          <w:rFonts w:cstheme="minorHAnsi"/>
          <w:b/>
          <w:sz w:val="24"/>
        </w:rPr>
      </w:pPr>
      <w:r w:rsidRPr="00173B69">
        <w:rPr>
          <w:rFonts w:cstheme="minorHAnsi"/>
          <w:b/>
          <w:sz w:val="24"/>
        </w:rPr>
        <w:t>Roundtable discussion on the rule of law in Poland and Hungary</w:t>
      </w:r>
    </w:p>
    <w:p w:rsidRPr="00173B69" w:rsidR="00EB21A3" w:rsidP="00374301" w:rsidRDefault="004B4BA0" w14:paraId="5023844A" w14:textId="739D25C4">
      <w:pPr>
        <w:spacing w:after="0" w:line="240" w:lineRule="auto"/>
        <w:jc w:val="center"/>
        <w:rPr>
          <w:rFonts w:cstheme="minorHAnsi"/>
          <w:b/>
          <w:sz w:val="24"/>
        </w:rPr>
      </w:pPr>
      <w:r w:rsidRPr="00173B69">
        <w:rPr>
          <w:rFonts w:cstheme="minorHAnsi"/>
          <w:b/>
          <w:sz w:val="24"/>
        </w:rPr>
        <w:t>14 February</w:t>
      </w:r>
      <w:r w:rsidRPr="00173B69" w:rsidR="00374301">
        <w:rPr>
          <w:rFonts w:cstheme="minorHAnsi"/>
          <w:b/>
          <w:sz w:val="24"/>
        </w:rPr>
        <w:t xml:space="preserve"> 2019</w:t>
      </w:r>
    </w:p>
    <w:p w:rsidRPr="00173B69" w:rsidR="00F557FE" w:rsidP="00173B69" w:rsidRDefault="00F557FE" w14:paraId="7AE9C330" w14:textId="30F1021F">
      <w:pPr>
        <w:pBdr>
          <w:bottom w:val="single" w:color="auto" w:sz="12" w:space="1"/>
        </w:pBdr>
        <w:rPr>
          <w:b/>
          <w:bCs/>
          <w:color w:val="auto"/>
          <w:sz w:val="22"/>
          <w:szCs w:val="22"/>
          <w:lang w:eastAsia="en-US"/>
        </w:rPr>
      </w:pPr>
    </w:p>
    <w:p w:rsidRPr="00173B69" w:rsidR="00054FA5" w:rsidP="0091134F" w:rsidRDefault="00054FA5" w14:paraId="164879E1" w14:textId="77777777">
      <w:pPr>
        <w:rPr>
          <w:b/>
          <w:bCs/>
          <w:color w:val="auto"/>
          <w:sz w:val="22"/>
          <w:szCs w:val="22"/>
          <w:lang w:eastAsia="en-US"/>
        </w:rPr>
      </w:pPr>
    </w:p>
    <w:p w:rsidRPr="00173B69" w:rsidR="00054FA5" w:rsidP="00F65956" w:rsidRDefault="00F65956" w14:paraId="75787B1C" w14:textId="7B5F076D">
      <w:pPr>
        <w:rPr>
          <w:b/>
          <w:bCs/>
          <w:color w:val="auto"/>
          <w:sz w:val="24"/>
          <w:lang w:eastAsia="en-US"/>
        </w:rPr>
      </w:pPr>
      <w:r w:rsidRPr="00173B69">
        <w:rPr>
          <w:b/>
          <w:bCs/>
          <w:color w:val="auto"/>
          <w:sz w:val="24"/>
          <w:lang w:eastAsia="en-US"/>
        </w:rPr>
        <w:t>HUNGARY</w:t>
      </w:r>
    </w:p>
    <w:p w:rsidR="008A2182" w:rsidP="00054FA5" w:rsidRDefault="00F65956" w14:paraId="209F0E44" w14:textId="0BBD3323">
      <w:pPr>
        <w:pStyle w:val="Default"/>
        <w:rPr>
          <w:sz w:val="22"/>
          <w:szCs w:val="22"/>
        </w:rPr>
      </w:pPr>
      <w:r w:rsidRPr="00173B69">
        <w:rPr>
          <w:sz w:val="22"/>
          <w:szCs w:val="22"/>
        </w:rPr>
        <w:t xml:space="preserve">The </w:t>
      </w:r>
      <w:r w:rsidRPr="00173B69" w:rsidR="00054FA5">
        <w:rPr>
          <w:sz w:val="22"/>
          <w:szCs w:val="22"/>
        </w:rPr>
        <w:t>April 2018 parliamen</w:t>
      </w:r>
      <w:r w:rsidRPr="00173B69">
        <w:rPr>
          <w:sz w:val="22"/>
          <w:szCs w:val="22"/>
        </w:rPr>
        <w:t>tary elections in Hungary</w:t>
      </w:r>
      <w:r w:rsidRPr="00173B69" w:rsidR="00054FA5">
        <w:rPr>
          <w:sz w:val="22"/>
          <w:szCs w:val="22"/>
        </w:rPr>
        <w:t xml:space="preserve"> </w:t>
      </w:r>
      <w:r w:rsidRPr="00173B69" w:rsidR="00173B69">
        <w:rPr>
          <w:sz w:val="22"/>
          <w:szCs w:val="22"/>
        </w:rPr>
        <w:t xml:space="preserve">further consolidated the position of </w:t>
      </w:r>
      <w:r w:rsidRPr="00173B69" w:rsidR="00054FA5">
        <w:rPr>
          <w:sz w:val="22"/>
          <w:szCs w:val="22"/>
        </w:rPr>
        <w:t>Prime</w:t>
      </w:r>
      <w:r w:rsidR="00B329F3">
        <w:rPr>
          <w:sz w:val="22"/>
          <w:szCs w:val="22"/>
        </w:rPr>
        <w:t xml:space="preserve"> Minister Viktor</w:t>
      </w:r>
      <w:r w:rsidRPr="00173B69">
        <w:rPr>
          <w:sz w:val="22"/>
          <w:szCs w:val="22"/>
        </w:rPr>
        <w:t xml:space="preserve"> </w:t>
      </w:r>
      <w:proofErr w:type="spellStart"/>
      <w:r w:rsidRPr="00173B69" w:rsidR="00611DA9">
        <w:rPr>
          <w:sz w:val="22"/>
          <w:szCs w:val="22"/>
        </w:rPr>
        <w:t>Orbán</w:t>
      </w:r>
      <w:proofErr w:type="spellEnd"/>
      <w:r w:rsidRPr="00173B69" w:rsidR="00611DA9">
        <w:rPr>
          <w:sz w:val="22"/>
          <w:szCs w:val="22"/>
        </w:rPr>
        <w:t xml:space="preserve"> </w:t>
      </w:r>
      <w:r w:rsidRPr="00173B69" w:rsidR="00173B69">
        <w:rPr>
          <w:sz w:val="22"/>
          <w:szCs w:val="22"/>
        </w:rPr>
        <w:t>and provided his</w:t>
      </w:r>
      <w:r w:rsidRPr="00173B69">
        <w:rPr>
          <w:sz w:val="22"/>
          <w:szCs w:val="22"/>
        </w:rPr>
        <w:t xml:space="preserve"> </w:t>
      </w:r>
      <w:proofErr w:type="spellStart"/>
      <w:r w:rsidRPr="00173B69">
        <w:rPr>
          <w:sz w:val="22"/>
          <w:szCs w:val="22"/>
        </w:rPr>
        <w:t>Fidesz</w:t>
      </w:r>
      <w:proofErr w:type="spellEnd"/>
      <w:r w:rsidRPr="00173B69" w:rsidR="00054FA5">
        <w:rPr>
          <w:sz w:val="22"/>
          <w:szCs w:val="22"/>
        </w:rPr>
        <w:t xml:space="preserve"> party with </w:t>
      </w:r>
      <w:r w:rsidRPr="00173B69" w:rsidR="00173B69">
        <w:rPr>
          <w:sz w:val="22"/>
          <w:szCs w:val="22"/>
        </w:rPr>
        <w:t>a two-</w:t>
      </w:r>
      <w:r w:rsidRPr="00173B69" w:rsidR="00E60C91">
        <w:rPr>
          <w:sz w:val="22"/>
          <w:szCs w:val="22"/>
        </w:rPr>
        <w:t xml:space="preserve">thirds </w:t>
      </w:r>
      <w:r w:rsidRPr="00173B69" w:rsidR="00054FA5">
        <w:rPr>
          <w:sz w:val="22"/>
          <w:szCs w:val="22"/>
        </w:rPr>
        <w:t>super-majority</w:t>
      </w:r>
      <w:r w:rsidRPr="00173B69" w:rsidR="003810FF">
        <w:rPr>
          <w:sz w:val="22"/>
          <w:szCs w:val="22"/>
        </w:rPr>
        <w:t xml:space="preserve"> in the Parliament</w:t>
      </w:r>
      <w:r w:rsidRPr="00173B69" w:rsidR="00173B69">
        <w:rPr>
          <w:sz w:val="22"/>
          <w:szCs w:val="22"/>
        </w:rPr>
        <w:t>. This has</w:t>
      </w:r>
      <w:r w:rsidRPr="00173B69" w:rsidR="00054FA5">
        <w:rPr>
          <w:sz w:val="22"/>
          <w:szCs w:val="22"/>
        </w:rPr>
        <w:t xml:space="preserve"> </w:t>
      </w:r>
      <w:r w:rsidRPr="00173B69" w:rsidR="00173B69">
        <w:rPr>
          <w:sz w:val="22"/>
          <w:szCs w:val="22"/>
        </w:rPr>
        <w:t xml:space="preserve">enabled </w:t>
      </w:r>
      <w:proofErr w:type="spellStart"/>
      <w:r w:rsidRPr="00173B69" w:rsidR="00173B69">
        <w:rPr>
          <w:sz w:val="22"/>
          <w:szCs w:val="22"/>
        </w:rPr>
        <w:t>Fidesz</w:t>
      </w:r>
      <w:proofErr w:type="spellEnd"/>
      <w:r w:rsidRPr="00173B69">
        <w:rPr>
          <w:sz w:val="22"/>
          <w:szCs w:val="22"/>
        </w:rPr>
        <w:t xml:space="preserve"> to s</w:t>
      </w:r>
      <w:r w:rsidRPr="00173B69" w:rsidR="00173B69">
        <w:rPr>
          <w:sz w:val="22"/>
          <w:szCs w:val="22"/>
        </w:rPr>
        <w:t>wiftly pass legislation and</w:t>
      </w:r>
      <w:r w:rsidRPr="00173B69">
        <w:rPr>
          <w:sz w:val="22"/>
          <w:szCs w:val="22"/>
        </w:rPr>
        <w:t xml:space="preserve"> institute constitutional changes without significant opposition or genuine parliamentary scrutiny. </w:t>
      </w:r>
      <w:r w:rsidRPr="00173B69" w:rsidR="00173B69">
        <w:rPr>
          <w:sz w:val="22"/>
          <w:szCs w:val="22"/>
        </w:rPr>
        <w:t>Following the elections</w:t>
      </w:r>
      <w:r w:rsidRPr="00173B69">
        <w:rPr>
          <w:sz w:val="22"/>
          <w:szCs w:val="22"/>
        </w:rPr>
        <w:t xml:space="preserve">, the </w:t>
      </w:r>
      <w:r w:rsidRPr="00173B69" w:rsidR="003810FF">
        <w:rPr>
          <w:sz w:val="22"/>
          <w:szCs w:val="22"/>
        </w:rPr>
        <w:t xml:space="preserve">Hungarian </w:t>
      </w:r>
      <w:r w:rsidRPr="00173B69">
        <w:rPr>
          <w:sz w:val="22"/>
          <w:szCs w:val="22"/>
        </w:rPr>
        <w:t xml:space="preserve">authorities have </w:t>
      </w:r>
      <w:r w:rsidRPr="00173B69" w:rsidR="00B97263">
        <w:rPr>
          <w:sz w:val="22"/>
          <w:szCs w:val="22"/>
        </w:rPr>
        <w:t>adopted</w:t>
      </w:r>
      <w:r w:rsidRPr="00173B69">
        <w:rPr>
          <w:sz w:val="22"/>
          <w:szCs w:val="22"/>
        </w:rPr>
        <w:t xml:space="preserve"> legislation and </w:t>
      </w:r>
      <w:r w:rsidRPr="00173B69" w:rsidR="00B97263">
        <w:rPr>
          <w:sz w:val="22"/>
          <w:szCs w:val="22"/>
        </w:rPr>
        <w:t>measures</w:t>
      </w:r>
      <w:r w:rsidRPr="00173B69">
        <w:rPr>
          <w:sz w:val="22"/>
          <w:szCs w:val="22"/>
        </w:rPr>
        <w:t xml:space="preserve"> that </w:t>
      </w:r>
      <w:r w:rsidR="008A2182">
        <w:rPr>
          <w:sz w:val="22"/>
          <w:szCs w:val="22"/>
        </w:rPr>
        <w:t xml:space="preserve">further eroded civic space and </w:t>
      </w:r>
    </w:p>
    <w:p w:rsidR="008A2182" w:rsidP="00054FA5" w:rsidRDefault="008A2182" w14:paraId="57854513" w14:textId="3257062B">
      <w:pPr>
        <w:pStyle w:val="Default"/>
        <w:rPr>
          <w:sz w:val="22"/>
          <w:szCs w:val="22"/>
        </w:rPr>
      </w:pPr>
      <w:r>
        <w:rPr>
          <w:sz w:val="22"/>
          <w:szCs w:val="22"/>
        </w:rPr>
        <w:t>fundamental European values, including criminalising</w:t>
      </w:r>
      <w:r w:rsidRPr="00173B69">
        <w:rPr>
          <w:sz w:val="22"/>
          <w:szCs w:val="22"/>
        </w:rPr>
        <w:t xml:space="preserve"> legitimate and lawful human rights work, restrict</w:t>
      </w:r>
      <w:r>
        <w:rPr>
          <w:sz w:val="22"/>
          <w:szCs w:val="22"/>
        </w:rPr>
        <w:t>ing</w:t>
      </w:r>
      <w:r w:rsidRPr="00173B69">
        <w:rPr>
          <w:sz w:val="22"/>
          <w:szCs w:val="22"/>
        </w:rPr>
        <w:t xml:space="preserve"> rights and freedoms, and </w:t>
      </w:r>
      <w:r>
        <w:rPr>
          <w:sz w:val="22"/>
          <w:szCs w:val="22"/>
        </w:rPr>
        <w:t>undermining</w:t>
      </w:r>
      <w:r w:rsidRPr="00173B69">
        <w:rPr>
          <w:sz w:val="22"/>
          <w:szCs w:val="22"/>
        </w:rPr>
        <w:t xml:space="preserve"> the independence of judiciary</w:t>
      </w:r>
    </w:p>
    <w:p w:rsidRPr="00173B69" w:rsidR="00054FA5" w:rsidP="00054FA5" w:rsidRDefault="00054FA5" w14:paraId="2E0E6D57" w14:textId="77777777">
      <w:pPr>
        <w:pStyle w:val="Default"/>
        <w:rPr>
          <w:sz w:val="22"/>
          <w:szCs w:val="22"/>
        </w:rPr>
      </w:pPr>
    </w:p>
    <w:p w:rsidRPr="00173B69" w:rsidR="00B97263" w:rsidP="00054FA5" w:rsidRDefault="008A2182" w14:paraId="7C1C444A" w14:textId="31182DC3">
      <w:pPr>
        <w:pStyle w:val="Default"/>
        <w:rPr>
          <w:sz w:val="22"/>
          <w:szCs w:val="22"/>
        </w:rPr>
      </w:pPr>
      <w:r>
        <w:rPr>
          <w:sz w:val="22"/>
          <w:szCs w:val="22"/>
        </w:rPr>
        <w:t xml:space="preserve">Although </w:t>
      </w:r>
      <w:r w:rsidRPr="00173B69" w:rsidR="00054FA5">
        <w:rPr>
          <w:sz w:val="22"/>
          <w:szCs w:val="22"/>
        </w:rPr>
        <w:t xml:space="preserve">the </w:t>
      </w:r>
      <w:r w:rsidR="00611DA9">
        <w:rPr>
          <w:sz w:val="22"/>
          <w:szCs w:val="22"/>
        </w:rPr>
        <w:t xml:space="preserve">authorities have gradually challenged the </w:t>
      </w:r>
      <w:r w:rsidRPr="00173B69" w:rsidR="00054FA5">
        <w:rPr>
          <w:sz w:val="22"/>
          <w:szCs w:val="22"/>
        </w:rPr>
        <w:t>rule of law and huma</w:t>
      </w:r>
      <w:r w:rsidRPr="00173B69" w:rsidR="00B97263">
        <w:rPr>
          <w:sz w:val="22"/>
          <w:szCs w:val="22"/>
        </w:rPr>
        <w:t xml:space="preserve">n rights </w:t>
      </w:r>
      <w:r w:rsidR="00611DA9">
        <w:rPr>
          <w:sz w:val="22"/>
          <w:szCs w:val="22"/>
        </w:rPr>
        <w:t xml:space="preserve">since </w:t>
      </w:r>
      <w:r w:rsidRPr="00173B69" w:rsidR="00B97263">
        <w:rPr>
          <w:sz w:val="22"/>
          <w:szCs w:val="22"/>
        </w:rPr>
        <w:t>201</w:t>
      </w:r>
      <w:r w:rsidR="00B329F3">
        <w:rPr>
          <w:sz w:val="22"/>
          <w:szCs w:val="22"/>
        </w:rPr>
        <w:t>0</w:t>
      </w:r>
      <w:r w:rsidRPr="00173B69" w:rsidR="00054FA5">
        <w:rPr>
          <w:sz w:val="22"/>
          <w:szCs w:val="22"/>
        </w:rPr>
        <w:t xml:space="preserve">, the </w:t>
      </w:r>
      <w:r w:rsidR="00611DA9">
        <w:rPr>
          <w:sz w:val="22"/>
          <w:szCs w:val="22"/>
        </w:rPr>
        <w:t>past two</w:t>
      </w:r>
      <w:r w:rsidRPr="00173B69" w:rsidR="00054FA5">
        <w:rPr>
          <w:sz w:val="22"/>
          <w:szCs w:val="22"/>
        </w:rPr>
        <w:t xml:space="preserve"> years have seen significant deterioration. The adoption of restrictive and sometimes</w:t>
      </w:r>
      <w:r w:rsidR="00611DA9">
        <w:rPr>
          <w:sz w:val="22"/>
          <w:szCs w:val="22"/>
        </w:rPr>
        <w:t xml:space="preserve"> punitive laws</w:t>
      </w:r>
      <w:r w:rsidRPr="00173B69" w:rsidR="00054FA5">
        <w:rPr>
          <w:sz w:val="22"/>
          <w:szCs w:val="22"/>
        </w:rPr>
        <w:t xml:space="preserve"> and measures</w:t>
      </w:r>
      <w:r w:rsidRPr="00173B69" w:rsidR="00B97263">
        <w:rPr>
          <w:sz w:val="22"/>
          <w:szCs w:val="22"/>
        </w:rPr>
        <w:t>, as well as open attacks on civil society and attempts to delegitimise its work,</w:t>
      </w:r>
      <w:r w:rsidR="00844B17">
        <w:rPr>
          <w:sz w:val="22"/>
          <w:szCs w:val="22"/>
        </w:rPr>
        <w:t xml:space="preserve"> have had a </w:t>
      </w:r>
      <w:r w:rsidRPr="00173B69" w:rsidR="00054FA5">
        <w:rPr>
          <w:sz w:val="22"/>
          <w:szCs w:val="22"/>
        </w:rPr>
        <w:t xml:space="preserve">deleterious effect on many individuals and organisations who are increasingly becoming reluctant, even afraid, to speak out or to have a dissenting voice.  </w:t>
      </w:r>
    </w:p>
    <w:p w:rsidRPr="00173B69" w:rsidR="00054FA5" w:rsidP="00054FA5" w:rsidRDefault="00054FA5" w14:paraId="6B8B8F89" w14:textId="77777777">
      <w:pPr>
        <w:pStyle w:val="Default"/>
        <w:rPr>
          <w:sz w:val="22"/>
          <w:szCs w:val="22"/>
        </w:rPr>
      </w:pPr>
    </w:p>
    <w:p w:rsidRPr="00173B69" w:rsidR="00054FA5" w:rsidP="00054FA5" w:rsidRDefault="00054FA5" w14:paraId="640E6C95" w14:textId="102BC248">
      <w:pPr>
        <w:pStyle w:val="NormalWeb"/>
        <w:spacing w:before="120" w:beforeAutospacing="0" w:after="120" w:afterAutospacing="0"/>
        <w:rPr>
          <w:rFonts w:ascii="Amnesty Trade Gothic" w:hAnsi="Amnesty Trade Gothic"/>
          <w:sz w:val="22"/>
          <w:szCs w:val="22"/>
        </w:rPr>
      </w:pPr>
      <w:r w:rsidRPr="00173B69">
        <w:rPr>
          <w:rFonts w:ascii="Amnesty Trade Gothic" w:hAnsi="Amnesty Trade Gothic"/>
          <w:sz w:val="22"/>
          <w:szCs w:val="22"/>
        </w:rPr>
        <w:t>In April 2018, a pro-government weekly magazine published the names of over 200 people it claimed were</w:t>
      </w:r>
      <w:r w:rsidR="00B329F3">
        <w:rPr>
          <w:rFonts w:ascii="Amnesty Trade Gothic" w:hAnsi="Amnesty Trade Gothic"/>
          <w:sz w:val="22"/>
          <w:szCs w:val="22"/>
        </w:rPr>
        <w:t xml:space="preserve"> part of what Prime Minister Vik</w:t>
      </w:r>
      <w:r w:rsidRPr="00173B69">
        <w:rPr>
          <w:rFonts w:ascii="Amnesty Trade Gothic" w:hAnsi="Amnesty Trade Gothic"/>
          <w:sz w:val="22"/>
          <w:szCs w:val="22"/>
        </w:rPr>
        <w:t xml:space="preserve">tor </w:t>
      </w:r>
      <w:proofErr w:type="spellStart"/>
      <w:r w:rsidRPr="00173B69">
        <w:rPr>
          <w:rFonts w:ascii="Amnesty Trade Gothic" w:hAnsi="Amnesty Trade Gothic"/>
          <w:sz w:val="22"/>
          <w:szCs w:val="22"/>
        </w:rPr>
        <w:t>Orbán</w:t>
      </w:r>
      <w:proofErr w:type="spellEnd"/>
      <w:r w:rsidRPr="00173B69">
        <w:rPr>
          <w:rFonts w:ascii="Amnesty Trade Gothic" w:hAnsi="Amnesty Trade Gothic"/>
          <w:sz w:val="22"/>
          <w:szCs w:val="22"/>
        </w:rPr>
        <w:t xml:space="preserve"> called the “Soros’ mercenary army” paid to bring down the government. The list included members of Amnesty International, Transparency International, prominent civil society activists, as well as members of the Central European University</w:t>
      </w:r>
      <w:r w:rsidRPr="00173B69">
        <w:rPr>
          <w:rStyle w:val="FootnoteReference"/>
          <w:rFonts w:ascii="Amnesty Trade Gothic" w:hAnsi="Amnesty Trade Gothic"/>
          <w:sz w:val="22"/>
          <w:szCs w:val="22"/>
        </w:rPr>
        <w:footnoteReference w:id="2"/>
      </w:r>
      <w:r w:rsidRPr="00173B69">
        <w:rPr>
          <w:rFonts w:ascii="Amnesty Trade Gothic" w:hAnsi="Amnesty Trade Gothic"/>
          <w:sz w:val="22"/>
          <w:szCs w:val="22"/>
        </w:rPr>
        <w:t xml:space="preserve">. In June 2018, a ruling party spokesperson announced that Amnesty International Hungary </w:t>
      </w:r>
      <w:r w:rsidRPr="00173B69" w:rsidR="006F7491">
        <w:rPr>
          <w:rFonts w:ascii="Amnesty Trade Gothic" w:hAnsi="Amnesty Trade Gothic"/>
          <w:sz w:val="22"/>
          <w:szCs w:val="22"/>
        </w:rPr>
        <w:t>“</w:t>
      </w:r>
      <w:r w:rsidRPr="00173B69">
        <w:rPr>
          <w:rFonts w:ascii="Amnesty Trade Gothic" w:hAnsi="Amnesty Trade Gothic"/>
          <w:sz w:val="22"/>
          <w:szCs w:val="22"/>
        </w:rPr>
        <w:t>facilitated illegal immigration</w:t>
      </w:r>
      <w:r w:rsidRPr="00173B69" w:rsidR="006F7491">
        <w:rPr>
          <w:rFonts w:ascii="Amnesty Trade Gothic" w:hAnsi="Amnesty Trade Gothic"/>
          <w:sz w:val="22"/>
          <w:szCs w:val="22"/>
        </w:rPr>
        <w:t>”</w:t>
      </w:r>
      <w:r w:rsidRPr="00173B69">
        <w:rPr>
          <w:rFonts w:ascii="Amnesty Trade Gothic" w:hAnsi="Amnesty Trade Gothic"/>
          <w:sz w:val="22"/>
          <w:szCs w:val="22"/>
        </w:rPr>
        <w:t xml:space="preserve"> and </w:t>
      </w:r>
      <w:r w:rsidRPr="00173B69" w:rsidR="006F7491">
        <w:rPr>
          <w:rFonts w:ascii="Amnesty Trade Gothic" w:hAnsi="Amnesty Trade Gothic"/>
          <w:sz w:val="22"/>
          <w:szCs w:val="22"/>
        </w:rPr>
        <w:t>“</w:t>
      </w:r>
      <w:r w:rsidRPr="00173B69">
        <w:rPr>
          <w:rFonts w:ascii="Amnesty Trade Gothic" w:hAnsi="Amnesty Trade Gothic"/>
          <w:sz w:val="22"/>
          <w:szCs w:val="22"/>
        </w:rPr>
        <w:t>wanted to flood Europe and Hungary with migrants</w:t>
      </w:r>
      <w:r w:rsidRPr="00173B69" w:rsidR="006F7491">
        <w:rPr>
          <w:rFonts w:ascii="Amnesty Trade Gothic" w:hAnsi="Amnesty Trade Gothic"/>
          <w:sz w:val="22"/>
          <w:szCs w:val="22"/>
        </w:rPr>
        <w:t>”</w:t>
      </w:r>
      <w:r w:rsidRPr="00173B69">
        <w:rPr>
          <w:rFonts w:ascii="Amnesty Trade Gothic" w:hAnsi="Amnesty Trade Gothic"/>
          <w:sz w:val="22"/>
          <w:szCs w:val="22"/>
        </w:rPr>
        <w:t>. He encouraged government supporters to openly fight against Amnesty International and other organizations who, as he alleged, “t</w:t>
      </w:r>
      <w:r w:rsidRPr="00173B69" w:rsidR="000B5C8B">
        <w:rPr>
          <w:rFonts w:ascii="Amnesty Trade Gothic" w:hAnsi="Amnesty Trade Gothic"/>
          <w:sz w:val="22"/>
          <w:szCs w:val="22"/>
        </w:rPr>
        <w:t>hreaten Hungary’s security” by “</w:t>
      </w:r>
      <w:r w:rsidRPr="00173B69">
        <w:rPr>
          <w:rFonts w:ascii="Amnesty Trade Gothic" w:hAnsi="Amnesty Trade Gothic"/>
          <w:sz w:val="22"/>
          <w:szCs w:val="22"/>
        </w:rPr>
        <w:t>supporting migration</w:t>
      </w:r>
      <w:r w:rsidRPr="00173B69" w:rsidR="000B5C8B">
        <w:rPr>
          <w:rFonts w:ascii="Amnesty Trade Gothic" w:hAnsi="Amnesty Trade Gothic"/>
          <w:sz w:val="22"/>
          <w:szCs w:val="22"/>
        </w:rPr>
        <w:t>”</w:t>
      </w:r>
      <w:r w:rsidRPr="00173B69">
        <w:rPr>
          <w:rStyle w:val="FootnoteReference"/>
          <w:rFonts w:ascii="Amnesty Trade Gothic" w:hAnsi="Amnesty Trade Gothic"/>
          <w:sz w:val="22"/>
          <w:szCs w:val="22"/>
        </w:rPr>
        <w:footnoteReference w:id="3"/>
      </w:r>
      <w:r w:rsidRPr="00173B69">
        <w:rPr>
          <w:rFonts w:ascii="Amnesty Trade Gothic" w:hAnsi="Amnesty Trade Gothic"/>
          <w:sz w:val="22"/>
          <w:szCs w:val="22"/>
        </w:rPr>
        <w:t xml:space="preserve">. </w:t>
      </w:r>
      <w:r w:rsidRPr="00173B69" w:rsidR="000B5C8B">
        <w:rPr>
          <w:rFonts w:ascii="Amnesty Trade Gothic" w:hAnsi="Amnesty Trade Gothic"/>
          <w:sz w:val="22"/>
          <w:szCs w:val="22"/>
        </w:rPr>
        <w:t>In response to the targeted government-led smear campaign</w:t>
      </w:r>
      <w:r w:rsidRPr="00173B69">
        <w:rPr>
          <w:rFonts w:ascii="Amnesty Trade Gothic" w:hAnsi="Amnesty Trade Gothic"/>
          <w:sz w:val="22"/>
          <w:szCs w:val="22"/>
        </w:rPr>
        <w:t xml:space="preserve">, Open Society Foundations left Budapest </w:t>
      </w:r>
      <w:r w:rsidRPr="00173B69" w:rsidR="000B5C8B">
        <w:rPr>
          <w:rFonts w:ascii="Amnesty Trade Gothic" w:hAnsi="Amnesty Trade Gothic"/>
          <w:sz w:val="22"/>
          <w:szCs w:val="22"/>
        </w:rPr>
        <w:t xml:space="preserve">in August 2018 </w:t>
      </w:r>
      <w:r w:rsidRPr="00173B69">
        <w:rPr>
          <w:rFonts w:ascii="Amnesty Trade Gothic" w:hAnsi="Amnesty Trade Gothic"/>
          <w:sz w:val="22"/>
          <w:szCs w:val="22"/>
        </w:rPr>
        <w:t xml:space="preserve">and relocated to Berlin, as the leadership deemed Hungary no longer safe for their staff. </w:t>
      </w:r>
      <w:r w:rsidRPr="00173B69" w:rsidR="00B97263">
        <w:rPr>
          <w:rFonts w:ascii="Amnesty Trade Gothic" w:hAnsi="Amnesty Trade Gothic"/>
          <w:sz w:val="22"/>
          <w:szCs w:val="22"/>
        </w:rPr>
        <w:t>In December</w:t>
      </w:r>
      <w:r w:rsidRPr="00173B69" w:rsidR="006F7491">
        <w:rPr>
          <w:rFonts w:ascii="Amnesty Trade Gothic" w:hAnsi="Amnesty Trade Gothic"/>
          <w:sz w:val="22"/>
          <w:szCs w:val="22"/>
        </w:rPr>
        <w:t xml:space="preserve"> 2018</w:t>
      </w:r>
      <w:r w:rsidRPr="00173B69" w:rsidR="00B97263">
        <w:rPr>
          <w:rFonts w:ascii="Amnesty Trade Gothic" w:hAnsi="Amnesty Trade Gothic"/>
          <w:sz w:val="22"/>
          <w:szCs w:val="22"/>
        </w:rPr>
        <w:t>, the Central European University, which had</w:t>
      </w:r>
      <w:r w:rsidRPr="00173B69" w:rsidR="000B5C8B">
        <w:rPr>
          <w:rFonts w:ascii="Amnesty Trade Gothic" w:hAnsi="Amnesty Trade Gothic"/>
          <w:sz w:val="22"/>
          <w:szCs w:val="22"/>
        </w:rPr>
        <w:t xml:space="preserve"> made Budapest its home since 1993</w:t>
      </w:r>
      <w:r w:rsidRPr="00173B69" w:rsidR="00B97263">
        <w:rPr>
          <w:rFonts w:ascii="Amnesty Trade Gothic" w:hAnsi="Amnesty Trade Gothic"/>
          <w:sz w:val="22"/>
          <w:szCs w:val="22"/>
        </w:rPr>
        <w:t xml:space="preserve">, announced it was moving its degree program to Vienna. </w:t>
      </w:r>
      <w:r w:rsidRPr="00173B69" w:rsidR="000B5C8B">
        <w:rPr>
          <w:rFonts w:ascii="Amnesty Trade Gothic" w:hAnsi="Amnesty Trade Gothic"/>
          <w:sz w:val="22"/>
          <w:szCs w:val="22"/>
        </w:rPr>
        <w:t>In this current climate, the position of civil</w:t>
      </w:r>
      <w:r w:rsidRPr="00173B69" w:rsidR="00B97263">
        <w:rPr>
          <w:rFonts w:ascii="Amnesty Trade Gothic" w:hAnsi="Amnesty Trade Gothic"/>
          <w:sz w:val="22"/>
          <w:szCs w:val="22"/>
        </w:rPr>
        <w:t xml:space="preserve"> society organisation</w:t>
      </w:r>
      <w:r w:rsidRPr="00173B69" w:rsidR="000B5C8B">
        <w:rPr>
          <w:rFonts w:ascii="Amnesty Trade Gothic" w:hAnsi="Amnesty Trade Gothic"/>
          <w:sz w:val="22"/>
          <w:szCs w:val="22"/>
        </w:rPr>
        <w:t xml:space="preserve">s, including </w:t>
      </w:r>
      <w:r w:rsidR="00844B17">
        <w:rPr>
          <w:rFonts w:ascii="Amnesty Trade Gothic" w:hAnsi="Amnesty Trade Gothic"/>
          <w:sz w:val="22"/>
          <w:szCs w:val="22"/>
        </w:rPr>
        <w:t xml:space="preserve">that of </w:t>
      </w:r>
      <w:r w:rsidRPr="00173B69" w:rsidR="000B5C8B">
        <w:rPr>
          <w:rFonts w:ascii="Amnesty Trade Gothic" w:hAnsi="Amnesty Trade Gothic"/>
          <w:sz w:val="22"/>
          <w:szCs w:val="22"/>
        </w:rPr>
        <w:t>Amnesty International, is becoming increasingly precarious.</w:t>
      </w:r>
    </w:p>
    <w:p w:rsidRPr="00173B69" w:rsidR="00054FA5" w:rsidP="00054FA5" w:rsidRDefault="00054FA5" w14:paraId="7DF7643D" w14:textId="77777777">
      <w:pPr>
        <w:pStyle w:val="Default"/>
        <w:rPr>
          <w:sz w:val="22"/>
          <w:szCs w:val="22"/>
        </w:rPr>
      </w:pPr>
    </w:p>
    <w:p w:rsidRPr="00173B69" w:rsidR="00054FA5" w:rsidP="00054FA5" w:rsidRDefault="000B5C8B" w14:paraId="294232BB" w14:textId="0D40DBAC">
      <w:pPr>
        <w:pStyle w:val="Default"/>
        <w:rPr>
          <w:sz w:val="22"/>
          <w:szCs w:val="22"/>
        </w:rPr>
      </w:pPr>
      <w:r w:rsidRPr="00173B69">
        <w:rPr>
          <w:sz w:val="22"/>
          <w:szCs w:val="22"/>
        </w:rPr>
        <w:t xml:space="preserve">In addition to the </w:t>
      </w:r>
      <w:r w:rsidR="00844B17">
        <w:rPr>
          <w:sz w:val="22"/>
          <w:szCs w:val="22"/>
        </w:rPr>
        <w:t>actions that specifically targeted civil society, the authorities in Hungary have enacted a</w:t>
      </w:r>
      <w:r w:rsidRPr="00173B69">
        <w:rPr>
          <w:sz w:val="22"/>
          <w:szCs w:val="22"/>
        </w:rPr>
        <w:t xml:space="preserve"> series of</w:t>
      </w:r>
      <w:r w:rsidRPr="00173B69" w:rsidR="00054FA5">
        <w:rPr>
          <w:sz w:val="22"/>
          <w:szCs w:val="22"/>
        </w:rPr>
        <w:t xml:space="preserve"> laws </w:t>
      </w:r>
      <w:r w:rsidR="00844B17">
        <w:rPr>
          <w:sz w:val="22"/>
          <w:szCs w:val="22"/>
        </w:rPr>
        <w:t xml:space="preserve">that might further constrain the freedom of expression and assembly and blur the lines between the executive and judicial authority. </w:t>
      </w:r>
    </w:p>
    <w:p w:rsidRPr="00173B69" w:rsidR="006F7491" w:rsidP="00054FA5" w:rsidRDefault="006F7491" w14:paraId="3D4B8854" w14:textId="77777777">
      <w:pPr>
        <w:pStyle w:val="Default"/>
        <w:rPr>
          <w:sz w:val="22"/>
          <w:szCs w:val="22"/>
        </w:rPr>
      </w:pPr>
    </w:p>
    <w:p w:rsidRPr="00173B69" w:rsidR="00054FA5" w:rsidP="00054FA5" w:rsidRDefault="001D117A" w14:paraId="6BA0E9B3" w14:textId="48BF7395">
      <w:pPr>
        <w:pStyle w:val="NormalWeb"/>
        <w:spacing w:before="120" w:beforeAutospacing="0" w:after="120" w:afterAutospacing="0"/>
        <w:rPr>
          <w:rFonts w:ascii="Amnesty Trade Gothic" w:hAnsi="Amnesty Trade Gothic"/>
          <w:sz w:val="22"/>
          <w:szCs w:val="22"/>
        </w:rPr>
      </w:pPr>
      <w:hyperlink w:history="1" r:id="rId11">
        <w:r w:rsidRPr="00173B69" w:rsidR="00054FA5">
          <w:rPr>
            <w:rStyle w:val="Hyperlink"/>
            <w:rFonts w:ascii="Amnesty Trade Gothic" w:hAnsi="Amnesty Trade Gothic" w:cs="Amnesty Trade Gothic"/>
            <w:b/>
          </w:rPr>
          <w:t>LexNGO2017</w:t>
        </w:r>
      </w:hyperlink>
      <w:r w:rsidRPr="00173B69" w:rsidR="00054FA5">
        <w:rPr>
          <w:rFonts w:ascii="Amnesty Trade Gothic" w:hAnsi="Amnesty Trade Gothic"/>
        </w:rPr>
        <w:t xml:space="preserve"> </w:t>
      </w:r>
      <w:r w:rsidR="00844B17">
        <w:rPr>
          <w:rFonts w:ascii="Amnesty Trade Gothic" w:hAnsi="Amnesty Trade Gothic"/>
          <w:sz w:val="22"/>
          <w:szCs w:val="22"/>
        </w:rPr>
        <w:t>legislation (the original “foreign funding”</w:t>
      </w:r>
      <w:r w:rsidRPr="00173B69" w:rsidR="00054FA5">
        <w:rPr>
          <w:rFonts w:ascii="Amnesty Trade Gothic" w:hAnsi="Amnesty Trade Gothic"/>
          <w:sz w:val="22"/>
          <w:szCs w:val="22"/>
        </w:rPr>
        <w:t xml:space="preserve"> legislation adopted in 2017</w:t>
      </w:r>
      <w:r w:rsidRPr="00173B69" w:rsidR="00054FA5">
        <w:rPr>
          <w:rStyle w:val="FootnoteReference"/>
          <w:rFonts w:ascii="Amnesty Trade Gothic" w:hAnsi="Amnesty Trade Gothic"/>
          <w:sz w:val="22"/>
          <w:szCs w:val="22"/>
        </w:rPr>
        <w:footnoteReference w:id="4"/>
      </w:r>
      <w:r w:rsidRPr="00173B69" w:rsidR="00004D9D">
        <w:rPr>
          <w:rFonts w:ascii="Amnesty Trade Gothic" w:hAnsi="Amnesty Trade Gothic"/>
          <w:sz w:val="22"/>
          <w:szCs w:val="22"/>
        </w:rPr>
        <w:t xml:space="preserve">) </w:t>
      </w:r>
      <w:r w:rsidRPr="00173B69" w:rsidR="00054FA5">
        <w:rPr>
          <w:rFonts w:ascii="Amnesty Trade Gothic" w:hAnsi="Amnesty Trade Gothic"/>
          <w:sz w:val="22"/>
          <w:szCs w:val="22"/>
        </w:rPr>
        <w:t xml:space="preserve">remains in place and continues to pose a potential threat to civil society organisations. The Law on the transparency of organizations funded from abroad forces NGOs receiving more than 24,000 EUR direct or indirect funding from abroad to re-register as “civic organization funded from abroad” and to put this pejorative label on every publication and on their website. The new legislation added further stringent reporting requirements for those receiving foreign funds, including an obligation to report donations of at least </w:t>
      </w:r>
      <w:r w:rsidRPr="00173B69" w:rsidR="00004D9D">
        <w:rPr>
          <w:rFonts w:ascii="Amnesty Trade Gothic" w:hAnsi="Amnesty Trade Gothic"/>
          <w:sz w:val="22"/>
          <w:szCs w:val="22"/>
        </w:rPr>
        <w:t xml:space="preserve">1,500 EURO </w:t>
      </w:r>
      <w:r w:rsidRPr="00173B69" w:rsidR="00054FA5">
        <w:rPr>
          <w:rFonts w:ascii="Amnesty Trade Gothic" w:hAnsi="Amnesty Trade Gothic"/>
          <w:sz w:val="22"/>
          <w:szCs w:val="22"/>
        </w:rPr>
        <w:t xml:space="preserve">per tax year, and to provide the donor’s details. Failure to comply may bring heavy fines and ultimately the suspension of the right to operate in the country. Authorities justified the legislation as necessary to fight money laundering and international terrorism, however comprehensive </w:t>
      </w:r>
      <w:r w:rsidRPr="00173B69" w:rsidR="006F7491">
        <w:rPr>
          <w:rFonts w:ascii="Amnesty Trade Gothic" w:hAnsi="Amnesty Trade Gothic"/>
          <w:sz w:val="22"/>
          <w:szCs w:val="22"/>
        </w:rPr>
        <w:t xml:space="preserve">legislation </w:t>
      </w:r>
      <w:r w:rsidRPr="00173B69" w:rsidR="00004D9D">
        <w:rPr>
          <w:rFonts w:ascii="Amnesty Trade Gothic" w:hAnsi="Amnesty Trade Gothic"/>
          <w:sz w:val="22"/>
          <w:szCs w:val="22"/>
        </w:rPr>
        <w:t>on money laundering is already in place</w:t>
      </w:r>
      <w:r w:rsidRPr="00173B69" w:rsidR="00054FA5">
        <w:rPr>
          <w:rFonts w:ascii="Amnesty Trade Gothic" w:hAnsi="Amnesty Trade Gothic"/>
          <w:sz w:val="22"/>
          <w:szCs w:val="22"/>
        </w:rPr>
        <w:t xml:space="preserve">. </w:t>
      </w:r>
      <w:r w:rsidRPr="00173B69" w:rsidR="00004D9D">
        <w:rPr>
          <w:rFonts w:ascii="Amnesty Trade Gothic" w:hAnsi="Amnesty Trade Gothic"/>
          <w:sz w:val="22"/>
          <w:szCs w:val="22"/>
        </w:rPr>
        <w:t xml:space="preserve">This legislation appears to </w:t>
      </w:r>
      <w:r w:rsidRPr="00173B69" w:rsidR="00054FA5">
        <w:rPr>
          <w:rFonts w:ascii="Amnesty Trade Gothic" w:hAnsi="Amnesty Trade Gothic"/>
          <w:sz w:val="22"/>
          <w:szCs w:val="22"/>
        </w:rPr>
        <w:t xml:space="preserve">purposefully target </w:t>
      </w:r>
      <w:r w:rsidRPr="00173B69" w:rsidR="00362CFD">
        <w:rPr>
          <w:rFonts w:ascii="Amnesty Trade Gothic" w:hAnsi="Amnesty Trade Gothic"/>
          <w:sz w:val="22"/>
          <w:szCs w:val="22"/>
        </w:rPr>
        <w:t xml:space="preserve">the </w:t>
      </w:r>
      <w:r w:rsidRPr="00173B69" w:rsidR="00054FA5">
        <w:rPr>
          <w:rFonts w:ascii="Amnesty Trade Gothic" w:hAnsi="Amnesty Trade Gothic"/>
          <w:sz w:val="22"/>
          <w:szCs w:val="22"/>
        </w:rPr>
        <w:t>NGOs promotin</w:t>
      </w:r>
      <w:r w:rsidRPr="00173B69" w:rsidR="00004D9D">
        <w:rPr>
          <w:rFonts w:ascii="Amnesty Trade Gothic" w:hAnsi="Amnesty Trade Gothic"/>
          <w:sz w:val="22"/>
          <w:szCs w:val="22"/>
        </w:rPr>
        <w:t>g the rule of law and the rights of</w:t>
      </w:r>
      <w:r w:rsidRPr="00173B69" w:rsidR="00054FA5">
        <w:rPr>
          <w:rFonts w:ascii="Amnesty Trade Gothic" w:hAnsi="Amnesty Trade Gothic"/>
          <w:sz w:val="22"/>
          <w:szCs w:val="22"/>
        </w:rPr>
        <w:t xml:space="preserve"> refugees, migrants and other marginalized g</w:t>
      </w:r>
      <w:r w:rsidRPr="00173B69" w:rsidR="00004D9D">
        <w:rPr>
          <w:rFonts w:ascii="Amnesty Trade Gothic" w:hAnsi="Amnesty Trade Gothic"/>
          <w:sz w:val="22"/>
          <w:szCs w:val="22"/>
        </w:rPr>
        <w:t>roups</w:t>
      </w:r>
      <w:r w:rsidRPr="00173B69" w:rsidR="00054FA5">
        <w:rPr>
          <w:rFonts w:ascii="Amnesty Trade Gothic" w:hAnsi="Amnesty Trade Gothic"/>
          <w:sz w:val="22"/>
          <w:szCs w:val="22"/>
        </w:rPr>
        <w:t xml:space="preserve">, and the provision of social and legal services insufficiently offered by the state. </w:t>
      </w:r>
    </w:p>
    <w:p w:rsidRPr="00173B69" w:rsidR="00054FA5" w:rsidP="00054FA5" w:rsidRDefault="001D117A" w14:paraId="173279F5" w14:textId="03BC760D">
      <w:pPr>
        <w:pStyle w:val="NormalWeb"/>
        <w:spacing w:before="120" w:beforeAutospacing="0" w:after="120" w:afterAutospacing="0"/>
        <w:rPr>
          <w:rFonts w:ascii="Amnesty Trade Gothic" w:hAnsi="Amnesty Trade Gothic"/>
          <w:sz w:val="22"/>
          <w:szCs w:val="22"/>
        </w:rPr>
      </w:pPr>
      <w:hyperlink w:history="1" r:id="rId12">
        <w:r w:rsidRPr="00173B69" w:rsidR="00054FA5">
          <w:rPr>
            <w:rStyle w:val="Hyperlink"/>
            <w:rFonts w:ascii="Amnesty Trade Gothic" w:hAnsi="Amnesty Trade Gothic" w:cs="Amnesty Trade Gothic"/>
            <w:b/>
          </w:rPr>
          <w:t>LexNGO2018</w:t>
        </w:r>
      </w:hyperlink>
      <w:r w:rsidRPr="00173B69" w:rsidR="00054FA5">
        <w:rPr>
          <w:rFonts w:ascii="Amnesty Trade Gothic" w:hAnsi="Amnesty Trade Gothic"/>
        </w:rPr>
        <w:t xml:space="preserve"> </w:t>
      </w:r>
      <w:r w:rsidR="00844B17">
        <w:rPr>
          <w:rFonts w:ascii="Amnesty Trade Gothic" w:hAnsi="Amnesty Trade Gothic"/>
          <w:sz w:val="22"/>
          <w:szCs w:val="22"/>
        </w:rPr>
        <w:t>legislation (known as the “Stop Soros”</w:t>
      </w:r>
      <w:r w:rsidRPr="00173B69" w:rsidR="00362CFD">
        <w:rPr>
          <w:rFonts w:ascii="Amnesty Trade Gothic" w:hAnsi="Amnesty Trade Gothic"/>
          <w:sz w:val="22"/>
          <w:szCs w:val="22"/>
        </w:rPr>
        <w:t xml:space="preserve"> package) was adopted on </w:t>
      </w:r>
      <w:r w:rsidRPr="00173B69" w:rsidR="00054FA5">
        <w:rPr>
          <w:rFonts w:ascii="Amnesty Trade Gothic" w:hAnsi="Amnesty Trade Gothic"/>
          <w:sz w:val="22"/>
          <w:szCs w:val="22"/>
        </w:rPr>
        <w:t>20 June 2018</w:t>
      </w:r>
      <w:r w:rsidRPr="00173B69" w:rsidR="00362CFD">
        <w:rPr>
          <w:rFonts w:ascii="Amnesty Trade Gothic" w:hAnsi="Amnesty Trade Gothic"/>
          <w:sz w:val="22"/>
          <w:szCs w:val="22"/>
        </w:rPr>
        <w:t>. The new provisions criminalize</w:t>
      </w:r>
      <w:r w:rsidR="00844B17">
        <w:rPr>
          <w:rFonts w:ascii="Amnesty Trade Gothic" w:hAnsi="Amnesty Trade Gothic"/>
          <w:sz w:val="22"/>
          <w:szCs w:val="22"/>
        </w:rPr>
        <w:t>d</w:t>
      </w:r>
      <w:r w:rsidRPr="00173B69" w:rsidR="00054FA5">
        <w:rPr>
          <w:rFonts w:ascii="Amnesty Trade Gothic" w:hAnsi="Amnesty Trade Gothic"/>
          <w:sz w:val="22"/>
          <w:szCs w:val="22"/>
        </w:rPr>
        <w:t xml:space="preserve"> a range of lawful activities </w:t>
      </w:r>
      <w:r w:rsidRPr="00173B69" w:rsidR="00362CFD">
        <w:rPr>
          <w:rFonts w:ascii="Amnesty Trade Gothic" w:hAnsi="Amnesty Trade Gothic"/>
          <w:sz w:val="22"/>
          <w:szCs w:val="22"/>
        </w:rPr>
        <w:t xml:space="preserve">related to migration, </w:t>
      </w:r>
      <w:r w:rsidRPr="00173B69" w:rsidR="00054FA5">
        <w:rPr>
          <w:rFonts w:ascii="Amnesty Trade Gothic" w:hAnsi="Amnesty Trade Gothic"/>
          <w:sz w:val="22"/>
          <w:szCs w:val="22"/>
        </w:rPr>
        <w:t>under penalty of</w:t>
      </w:r>
      <w:r w:rsidR="00AE0157">
        <w:rPr>
          <w:rFonts w:ascii="Amnesty Trade Gothic" w:hAnsi="Amnesty Trade Gothic"/>
          <w:sz w:val="22"/>
          <w:szCs w:val="22"/>
        </w:rPr>
        <w:t xml:space="preserve"> </w:t>
      </w:r>
      <w:r w:rsidRPr="00173B69" w:rsidR="00054FA5">
        <w:rPr>
          <w:rFonts w:ascii="Amnesty Trade Gothic" w:hAnsi="Amnesty Trade Gothic"/>
          <w:sz w:val="22"/>
          <w:szCs w:val="22"/>
        </w:rPr>
        <w:t xml:space="preserve">up to one year in prison. </w:t>
      </w:r>
      <w:r w:rsidR="00844B17">
        <w:rPr>
          <w:rFonts w:ascii="Amnesty Trade Gothic" w:hAnsi="Amnesty Trade Gothic"/>
          <w:sz w:val="22"/>
          <w:szCs w:val="22"/>
        </w:rPr>
        <w:t>The law created</w:t>
      </w:r>
      <w:r w:rsidRPr="00173B69" w:rsidR="00362CFD">
        <w:rPr>
          <w:rFonts w:ascii="Amnesty Trade Gothic" w:hAnsi="Amnesty Trade Gothic"/>
          <w:sz w:val="22"/>
          <w:szCs w:val="22"/>
        </w:rPr>
        <w:t xml:space="preserve"> a</w:t>
      </w:r>
      <w:r w:rsidRPr="00173B69" w:rsidR="00054FA5">
        <w:rPr>
          <w:rFonts w:ascii="Amnesty Trade Gothic" w:hAnsi="Amnesty Trade Gothic"/>
          <w:sz w:val="22"/>
          <w:szCs w:val="22"/>
        </w:rPr>
        <w:t xml:space="preserve"> criminal offence of “facilitating illegal immigration” and it applies to both individuals and organizations </w:t>
      </w:r>
      <w:r w:rsidRPr="00173B69" w:rsidR="00362CFD">
        <w:rPr>
          <w:rFonts w:ascii="Amnesty Trade Gothic" w:hAnsi="Amnesty Trade Gothic"/>
          <w:sz w:val="22"/>
          <w:szCs w:val="22"/>
        </w:rPr>
        <w:t>that engage in</w:t>
      </w:r>
      <w:r w:rsidRPr="00173B69" w:rsidR="00054FA5">
        <w:rPr>
          <w:rFonts w:ascii="Amnesty Trade Gothic" w:hAnsi="Amnesty Trade Gothic"/>
          <w:sz w:val="22"/>
          <w:szCs w:val="22"/>
        </w:rPr>
        <w:t xml:space="preserve"> “organizational activities” that assist people who are seeking asylum</w:t>
      </w:r>
      <w:r w:rsidRPr="00173B69" w:rsidR="00362CFD">
        <w:rPr>
          <w:rFonts w:ascii="Amnesty Trade Gothic" w:hAnsi="Amnesty Trade Gothic"/>
          <w:sz w:val="22"/>
          <w:szCs w:val="22"/>
        </w:rPr>
        <w:t>,</w:t>
      </w:r>
      <w:r w:rsidRPr="00173B69" w:rsidR="00054FA5">
        <w:rPr>
          <w:rFonts w:ascii="Amnesty Trade Gothic" w:hAnsi="Amnesty Trade Gothic"/>
          <w:sz w:val="22"/>
          <w:szCs w:val="22"/>
        </w:rPr>
        <w:t xml:space="preserve"> those who have entered Hungary irregularly and are attempting to secure a residence permit</w:t>
      </w:r>
      <w:r w:rsidRPr="00173B69" w:rsidR="006F7491">
        <w:rPr>
          <w:rStyle w:val="FootnoteReference"/>
          <w:rFonts w:ascii="Amnesty Trade Gothic" w:hAnsi="Amnesty Trade Gothic"/>
          <w:sz w:val="22"/>
          <w:szCs w:val="22"/>
        </w:rPr>
        <w:footnoteReference w:id="5"/>
      </w:r>
      <w:r w:rsidRPr="00173B69" w:rsidR="00054FA5">
        <w:rPr>
          <w:rFonts w:ascii="Amnesty Trade Gothic" w:hAnsi="Amnesty Trade Gothic"/>
          <w:sz w:val="22"/>
          <w:szCs w:val="22"/>
        </w:rPr>
        <w:t xml:space="preserve">. Activities </w:t>
      </w:r>
      <w:r w:rsidRPr="00173B69" w:rsidR="00362CFD">
        <w:rPr>
          <w:rFonts w:ascii="Amnesty Trade Gothic" w:hAnsi="Amnesty Trade Gothic"/>
          <w:sz w:val="22"/>
          <w:szCs w:val="22"/>
        </w:rPr>
        <w:t xml:space="preserve">include </w:t>
      </w:r>
      <w:r w:rsidRPr="00173B69" w:rsidR="00054FA5">
        <w:rPr>
          <w:rFonts w:ascii="Amnesty Trade Gothic" w:hAnsi="Amnesty Trade Gothic"/>
          <w:sz w:val="22"/>
          <w:szCs w:val="22"/>
        </w:rPr>
        <w:t>border monitoring, preparation or distribution of information materials, and building or operating a network in support of fac</w:t>
      </w:r>
      <w:r w:rsidRPr="00173B69" w:rsidR="00362CFD">
        <w:rPr>
          <w:rFonts w:ascii="Amnesty Trade Gothic" w:hAnsi="Amnesty Trade Gothic"/>
          <w:sz w:val="22"/>
          <w:szCs w:val="22"/>
        </w:rPr>
        <w:t xml:space="preserve">ilitating “illegal immigration”. </w:t>
      </w:r>
      <w:r w:rsidRPr="00173B69" w:rsidR="00054FA5">
        <w:rPr>
          <w:rFonts w:ascii="Amnesty Trade Gothic" w:hAnsi="Amnesty Trade Gothic"/>
          <w:sz w:val="22"/>
          <w:szCs w:val="22"/>
        </w:rPr>
        <w:t xml:space="preserve">The vague terminology contained in this law could see criminal penalties imposed for a broad range of </w:t>
      </w:r>
      <w:r w:rsidRPr="00173B69" w:rsidR="006F7491">
        <w:rPr>
          <w:rFonts w:ascii="Amnesty Trade Gothic" w:hAnsi="Amnesty Trade Gothic"/>
          <w:sz w:val="22"/>
          <w:szCs w:val="22"/>
        </w:rPr>
        <w:t xml:space="preserve">legitimate </w:t>
      </w:r>
      <w:r w:rsidRPr="00173B69" w:rsidR="00054FA5">
        <w:rPr>
          <w:rFonts w:ascii="Amnesty Trade Gothic" w:hAnsi="Amnesty Trade Gothic"/>
          <w:sz w:val="22"/>
          <w:szCs w:val="22"/>
        </w:rPr>
        <w:t>activities, including campaigning, providing legal support to migrants and refugees or conducting research into human rights violations. The criminalization of such activities is a direct assault on the work of civil society actors who support or campaign on behalf of refugees, asylum-seekers and migrants</w:t>
      </w:r>
      <w:r w:rsidRPr="00173B69" w:rsidR="00054FA5">
        <w:rPr>
          <w:rFonts w:ascii="Amnesty Trade Gothic" w:hAnsi="Amnesty Trade Gothic" w:cstheme="minorHAnsi"/>
          <w:sz w:val="22"/>
          <w:szCs w:val="22"/>
        </w:rPr>
        <w:t>.</w:t>
      </w:r>
      <w:r w:rsidRPr="00173B69" w:rsidR="00054FA5">
        <w:rPr>
          <w:rStyle w:val="FootnoteReference"/>
          <w:rFonts w:ascii="Amnesty Trade Gothic" w:hAnsi="Amnesty Trade Gothic"/>
          <w:sz w:val="22"/>
          <w:szCs w:val="22"/>
        </w:rPr>
        <w:footnoteReference w:id="6"/>
      </w:r>
    </w:p>
    <w:p w:rsidRPr="00173B69" w:rsidR="00B329F3" w:rsidP="00B329F3" w:rsidRDefault="00B329F3" w14:paraId="3D8482B7" w14:textId="77777777">
      <w:pPr>
        <w:widowControl/>
        <w:suppressAutoHyphens w:val="0"/>
        <w:spacing w:after="0" w:line="240" w:lineRule="auto"/>
        <w:rPr>
          <w:sz w:val="22"/>
          <w:szCs w:val="22"/>
        </w:rPr>
      </w:pPr>
      <w:r w:rsidRPr="00173B69">
        <w:rPr>
          <w:b/>
          <w:sz w:val="24"/>
        </w:rPr>
        <w:t>Special Tax Law</w:t>
      </w:r>
      <w:r w:rsidRPr="00173B69">
        <w:rPr>
          <w:sz w:val="22"/>
          <w:szCs w:val="22"/>
        </w:rPr>
        <w:t xml:space="preserve"> - On 20 July, </w:t>
      </w:r>
      <w:r>
        <w:rPr>
          <w:sz w:val="22"/>
          <w:szCs w:val="22"/>
        </w:rPr>
        <w:t xml:space="preserve">the </w:t>
      </w:r>
      <w:r w:rsidRPr="00173B69">
        <w:rPr>
          <w:sz w:val="22"/>
          <w:szCs w:val="22"/>
        </w:rPr>
        <w:t>Hungarian Parliament enacted new punitive legislation imposing a special tax of 25% on any funds received by civil society organisations who are conducting activities deemed to be “supporting migration.” Such activities include “carrying out and participating in media campaigns”, “building and operating a network”, “educational activities” and “propaganda activity that portrays migration in a positive light”. The broad scope of the definition renders NGOs</w:t>
      </w:r>
      <w:r>
        <w:rPr>
          <w:rStyle w:val="FootnoteReference"/>
          <w:sz w:val="22"/>
          <w:szCs w:val="22"/>
        </w:rPr>
        <w:footnoteReference w:id="7"/>
      </w:r>
      <w:r w:rsidRPr="00173B69">
        <w:rPr>
          <w:sz w:val="22"/>
          <w:szCs w:val="22"/>
        </w:rPr>
        <w:t xml:space="preserve"> vulnerable to politically-motivated tax investigations and potentially significant fines and sanctions – includ</w:t>
      </w:r>
      <w:r>
        <w:rPr>
          <w:sz w:val="22"/>
          <w:szCs w:val="22"/>
        </w:rPr>
        <w:t>ing an additional penalty of 50</w:t>
      </w:r>
      <w:r w:rsidRPr="00173B69">
        <w:rPr>
          <w:sz w:val="22"/>
          <w:szCs w:val="22"/>
        </w:rPr>
        <w:t>% of the tax for late/</w:t>
      </w:r>
      <w:proofErr w:type="gramStart"/>
      <w:r w:rsidRPr="00173B69">
        <w:rPr>
          <w:sz w:val="22"/>
          <w:szCs w:val="22"/>
        </w:rPr>
        <w:t>non payment</w:t>
      </w:r>
      <w:proofErr w:type="gramEnd"/>
      <w:r w:rsidRPr="00173B69">
        <w:rPr>
          <w:sz w:val="22"/>
          <w:szCs w:val="22"/>
        </w:rPr>
        <w:t xml:space="preserve"> – which may jeopardise their ability to operate in the country and ultimately curtail their right to freedom of expression. </w:t>
      </w:r>
    </w:p>
    <w:p w:rsidRPr="00173B69" w:rsidR="00054FA5" w:rsidP="00054FA5" w:rsidRDefault="00054FA5" w14:paraId="1296C56E" w14:textId="579B2239">
      <w:pPr>
        <w:pStyle w:val="NormalWeb"/>
        <w:spacing w:before="120" w:beforeAutospacing="0" w:after="120" w:afterAutospacing="0"/>
        <w:rPr>
          <w:rFonts w:ascii="Amnesty Trade Gothic" w:hAnsi="Amnesty Trade Gothic"/>
          <w:sz w:val="22"/>
          <w:szCs w:val="22"/>
        </w:rPr>
      </w:pPr>
      <w:r w:rsidRPr="00173B69">
        <w:rPr>
          <w:rFonts w:ascii="Amnesty Trade Gothic" w:hAnsi="Amnesty Trade Gothic"/>
          <w:b/>
        </w:rPr>
        <w:t xml:space="preserve">Seventh Amendment </w:t>
      </w:r>
      <w:r w:rsidRPr="00173B69" w:rsidR="000B1820">
        <w:rPr>
          <w:rFonts w:ascii="Amnesty Trade Gothic" w:hAnsi="Amnesty Trade Gothic"/>
          <w:b/>
        </w:rPr>
        <w:t>to Constitution</w:t>
      </w:r>
      <w:r w:rsidRPr="00173B69" w:rsidR="000B1820">
        <w:rPr>
          <w:rFonts w:ascii="Amnesty Trade Gothic" w:hAnsi="Amnesty Trade Gothic"/>
          <w:sz w:val="22"/>
          <w:szCs w:val="22"/>
        </w:rPr>
        <w:t xml:space="preserve"> </w:t>
      </w:r>
      <w:r w:rsidRPr="00173B69">
        <w:rPr>
          <w:rFonts w:ascii="Amnesty Trade Gothic" w:hAnsi="Amnesty Trade Gothic"/>
          <w:sz w:val="22"/>
          <w:szCs w:val="22"/>
        </w:rPr>
        <w:t>- A separate bill proposing a “seventh amendment” to the Constitution - requiring state authorities to protect Hungary’s “Christian cultu</w:t>
      </w:r>
      <w:r w:rsidRPr="00173B69" w:rsidR="000B1820">
        <w:rPr>
          <w:rFonts w:ascii="Amnesty Trade Gothic" w:hAnsi="Amnesty Trade Gothic"/>
          <w:sz w:val="22"/>
          <w:szCs w:val="22"/>
        </w:rPr>
        <w:t>re” - was adopted in June 20</w:t>
      </w:r>
      <w:r w:rsidRPr="00173B69">
        <w:rPr>
          <w:rFonts w:ascii="Amnesty Trade Gothic" w:hAnsi="Amnesty Trade Gothic"/>
          <w:sz w:val="22"/>
          <w:szCs w:val="22"/>
        </w:rPr>
        <w:t xml:space="preserve">18. It bans the settlement of foreign populations; restricts people’s ability to peacefully protest; undermines the independence of the judiciary; and criminalizes homelessness. Taken </w:t>
      </w:r>
      <w:r w:rsidRPr="00173B69">
        <w:rPr>
          <w:rFonts w:ascii="Amnesty Trade Gothic" w:hAnsi="Amnesty Trade Gothic"/>
          <w:sz w:val="22"/>
          <w:szCs w:val="22"/>
        </w:rPr>
        <w:lastRenderedPageBreak/>
        <w:t>together, these changes to Hungarian law</w:t>
      </w:r>
      <w:r w:rsidR="00844B17">
        <w:rPr>
          <w:rFonts w:ascii="Amnesty Trade Gothic" w:hAnsi="Amnesty Trade Gothic"/>
          <w:sz w:val="22"/>
          <w:szCs w:val="22"/>
        </w:rPr>
        <w:t>s</w:t>
      </w:r>
      <w:r w:rsidRPr="00173B69">
        <w:rPr>
          <w:rFonts w:ascii="Amnesty Trade Gothic" w:hAnsi="Amnesty Trade Gothic"/>
          <w:sz w:val="22"/>
          <w:szCs w:val="22"/>
        </w:rPr>
        <w:t xml:space="preserve"> pose a serious threat to the right to seek asylum; the freedoms of association, assembly, expression, and movement; the right to housing and associated economic and social rights; and the right to be free from discrimination, in violation of international human rights law and regional law</w:t>
      </w:r>
      <w:r w:rsidRPr="00173B69">
        <w:rPr>
          <w:rStyle w:val="FootnoteReference"/>
          <w:rFonts w:ascii="Amnesty Trade Gothic" w:hAnsi="Amnesty Trade Gothic"/>
          <w:sz w:val="22"/>
          <w:szCs w:val="22"/>
        </w:rPr>
        <w:footnoteReference w:id="8"/>
      </w:r>
      <w:r w:rsidRPr="00173B69">
        <w:rPr>
          <w:rFonts w:ascii="Amnesty Trade Gothic" w:hAnsi="Amnesty Trade Gothic"/>
          <w:sz w:val="22"/>
          <w:szCs w:val="22"/>
        </w:rPr>
        <w:t xml:space="preserve">. </w:t>
      </w:r>
      <w:r w:rsidRPr="00173B69" w:rsidR="00B329F3">
        <w:rPr>
          <w:rFonts w:ascii="Amnesty Trade Gothic" w:hAnsi="Amnesty Trade Gothic"/>
          <w:sz w:val="22"/>
          <w:szCs w:val="22"/>
        </w:rPr>
        <w:t xml:space="preserve">From 15 October, when </w:t>
      </w:r>
      <w:r w:rsidR="00B329F3">
        <w:rPr>
          <w:rFonts w:ascii="Amnesty Trade Gothic" w:hAnsi="Amnesty Trade Gothic"/>
          <w:sz w:val="22"/>
          <w:szCs w:val="22"/>
        </w:rPr>
        <w:t>the provisions on homelessness</w:t>
      </w:r>
      <w:r w:rsidRPr="00173B69" w:rsidR="00B329F3">
        <w:rPr>
          <w:rFonts w:ascii="Amnesty Trade Gothic" w:hAnsi="Amnesty Trade Gothic"/>
          <w:sz w:val="22"/>
          <w:szCs w:val="22"/>
        </w:rPr>
        <w:t xml:space="preserve"> entered into force, at le</w:t>
      </w:r>
      <w:r w:rsidR="00B329F3">
        <w:rPr>
          <w:rFonts w:ascii="Amnesty Trade Gothic" w:hAnsi="Amnesty Trade Gothic"/>
          <w:sz w:val="22"/>
          <w:szCs w:val="22"/>
        </w:rPr>
        <w:t>a</w:t>
      </w:r>
      <w:r w:rsidRPr="00173B69" w:rsidR="00B329F3">
        <w:rPr>
          <w:rFonts w:ascii="Amnesty Trade Gothic" w:hAnsi="Amnesty Trade Gothic"/>
          <w:sz w:val="22"/>
          <w:szCs w:val="22"/>
        </w:rPr>
        <w:t xml:space="preserve">st ten people have been prosecuted for rough sleeping across Hungary. </w:t>
      </w:r>
    </w:p>
    <w:p w:rsidRPr="00173B69" w:rsidR="000F0116" w:rsidP="00054FA5" w:rsidRDefault="00054FA5" w14:paraId="1C598690" w14:textId="0BDBF972">
      <w:pPr>
        <w:pStyle w:val="NormalWeb"/>
        <w:spacing w:before="120" w:beforeAutospacing="0" w:after="120" w:afterAutospacing="0"/>
        <w:rPr>
          <w:rFonts w:ascii="Amnesty Trade Gothic" w:hAnsi="Amnesty Trade Gothic"/>
          <w:sz w:val="22"/>
          <w:szCs w:val="22"/>
        </w:rPr>
      </w:pPr>
      <w:r w:rsidRPr="00173B69">
        <w:rPr>
          <w:rFonts w:ascii="Amnesty Trade Gothic" w:hAnsi="Amnesty Trade Gothic"/>
          <w:b/>
        </w:rPr>
        <w:t>Law on Administrative Court</w:t>
      </w:r>
      <w:r w:rsidRPr="00173B69">
        <w:rPr>
          <w:rFonts w:ascii="Amnesty Trade Gothic" w:hAnsi="Amnesty Trade Gothic"/>
          <w:sz w:val="22"/>
          <w:szCs w:val="22"/>
        </w:rPr>
        <w:t xml:space="preserve"> - In December 2018, the Hungarian Parliament adopted legislation to create a new administrative court system, which will be operational as of January 2020. The new courts, which will be overseen by the Ministry of Justice, will decide</w:t>
      </w:r>
      <w:r w:rsidRPr="00173B69" w:rsidR="009D4E45">
        <w:rPr>
          <w:rFonts w:ascii="Amnesty Trade Gothic" w:hAnsi="Amnesty Trade Gothic"/>
          <w:sz w:val="22"/>
          <w:szCs w:val="22"/>
        </w:rPr>
        <w:t xml:space="preserve"> on matters of public administration, including those affecting human rights, taxation and economy</w:t>
      </w:r>
      <w:r w:rsidRPr="00173B69">
        <w:rPr>
          <w:rStyle w:val="FootnoteReference"/>
          <w:rFonts w:ascii="Amnesty Trade Gothic" w:hAnsi="Amnesty Trade Gothic"/>
          <w:sz w:val="22"/>
          <w:szCs w:val="22"/>
        </w:rPr>
        <w:footnoteReference w:id="9"/>
      </w:r>
      <w:r w:rsidRPr="00173B69">
        <w:rPr>
          <w:rFonts w:ascii="Amnesty Trade Gothic" w:hAnsi="Amnesty Trade Gothic"/>
          <w:sz w:val="22"/>
          <w:szCs w:val="22"/>
        </w:rPr>
        <w:t xml:space="preserve">. </w:t>
      </w:r>
      <w:r w:rsidRPr="00173B69" w:rsidR="000F0116">
        <w:rPr>
          <w:rFonts w:ascii="Amnesty Trade Gothic" w:hAnsi="Amnesty Trade Gothic"/>
          <w:sz w:val="22"/>
          <w:szCs w:val="22"/>
        </w:rPr>
        <w:t xml:space="preserve">The law provides Ministry of Justice with broad powers, including over budgeting, regulation, internal investigation, as well as appointment and promotion of judges, without the necessary checks and balances of safeguards, threatening to pave the way for political interference and further undermine judicial independence. </w:t>
      </w:r>
      <w:r w:rsidR="00844B17">
        <w:rPr>
          <w:rFonts w:ascii="Amnesty Trade Gothic" w:hAnsi="Amnesty Trade Gothic"/>
          <w:sz w:val="22"/>
          <w:szCs w:val="22"/>
        </w:rPr>
        <w:t>The law was rushed through the Parliament in December with an extremely limited time for a meaningful public debate.</w:t>
      </w:r>
    </w:p>
    <w:p w:rsidRPr="00173B69" w:rsidR="000B5C8B" w:rsidP="000B5C8B" w:rsidRDefault="000B5C8B" w14:paraId="38367F1F" w14:textId="77777777">
      <w:pPr>
        <w:pStyle w:val="Default"/>
        <w:rPr>
          <w:sz w:val="22"/>
          <w:szCs w:val="22"/>
        </w:rPr>
      </w:pPr>
    </w:p>
    <w:p w:rsidRPr="00173B69" w:rsidR="00B329F3" w:rsidP="00B329F3" w:rsidRDefault="00B329F3" w14:paraId="38ADE606" w14:textId="77777777">
      <w:pPr>
        <w:pStyle w:val="Default"/>
        <w:rPr>
          <w:rFonts w:cs="Times New Roman"/>
          <w:color w:val="auto"/>
          <w:sz w:val="22"/>
          <w:szCs w:val="22"/>
        </w:rPr>
      </w:pPr>
      <w:r w:rsidRPr="00173B69">
        <w:rPr>
          <w:sz w:val="22"/>
          <w:szCs w:val="22"/>
        </w:rPr>
        <w:t xml:space="preserve">In response to the laws described above, </w:t>
      </w:r>
      <w:r w:rsidRPr="00173B69">
        <w:rPr>
          <w:rFonts w:cs="Times New Roman"/>
          <w:color w:val="auto"/>
          <w:sz w:val="22"/>
          <w:szCs w:val="22"/>
        </w:rPr>
        <w:t>several proceedings</w:t>
      </w:r>
      <w:r>
        <w:rPr>
          <w:rFonts w:cs="Times New Roman"/>
          <w:color w:val="auto"/>
          <w:sz w:val="22"/>
          <w:szCs w:val="22"/>
        </w:rPr>
        <w:t xml:space="preserve"> have been initiated at the EU level with regard to</w:t>
      </w:r>
      <w:r w:rsidRPr="00173B69">
        <w:rPr>
          <w:rFonts w:cs="Times New Roman"/>
          <w:color w:val="auto"/>
          <w:sz w:val="22"/>
          <w:szCs w:val="22"/>
        </w:rPr>
        <w:t xml:space="preserve"> Hungary. Specifically: </w:t>
      </w:r>
    </w:p>
    <w:p w:rsidRPr="00B329F3" w:rsidR="006F1733" w:rsidP="00B329F3" w:rsidRDefault="00B329F3" w14:paraId="61BC4081" w14:textId="7B769154">
      <w:pPr>
        <w:pStyle w:val="NormalWeb"/>
        <w:numPr>
          <w:ilvl w:val="0"/>
          <w:numId w:val="40"/>
        </w:numPr>
        <w:spacing w:before="120" w:beforeAutospacing="0" w:after="120" w:afterAutospacing="0"/>
        <w:rPr>
          <w:rFonts w:ascii="Amnesty Trade Gothic" w:hAnsi="Amnesty Trade Gothic"/>
          <w:sz w:val="22"/>
          <w:szCs w:val="22"/>
        </w:rPr>
      </w:pPr>
      <w:r w:rsidRPr="00173B69">
        <w:rPr>
          <w:rFonts w:ascii="Amnesty Trade Gothic" w:hAnsi="Amnesty Trade Gothic"/>
          <w:sz w:val="22"/>
          <w:szCs w:val="22"/>
        </w:rPr>
        <w:t xml:space="preserve">On 12 September 2018, two thirds of Members of the European Parliament (MEPs) endorsed and voted in favour of the report on Hungary drafted by MEP Judith </w:t>
      </w:r>
      <w:proofErr w:type="spellStart"/>
      <w:r w:rsidRPr="00173B69">
        <w:rPr>
          <w:rFonts w:ascii="Amnesty Trade Gothic" w:hAnsi="Amnesty Trade Gothic"/>
          <w:sz w:val="22"/>
          <w:szCs w:val="22"/>
        </w:rPr>
        <w:t>Sargentini</w:t>
      </w:r>
      <w:proofErr w:type="spellEnd"/>
      <w:r w:rsidRPr="00173B69">
        <w:rPr>
          <w:rFonts w:ascii="Amnesty Trade Gothic" w:hAnsi="Amnesty Trade Gothic"/>
          <w:sz w:val="22"/>
          <w:szCs w:val="22"/>
        </w:rPr>
        <w:t>. The report listed numerous reasons for concern, related to the functioning of the country’s constitutional system, the independence of the judiciary, freedom of expression and freedom of association, as well as the right to equal treatment, the rights of persons belonging to minorities, including Roma and Jews, the fundamental rights of migrants, asylum seekers and refugees, and many more. It concluded that there was “a clear risk of a serious breach” by Hungary of the EU’s founding principles, as listed in Article 2 TEU, and trigger</w:t>
      </w:r>
      <w:r>
        <w:rPr>
          <w:rFonts w:ascii="Amnesty Trade Gothic" w:hAnsi="Amnesty Trade Gothic"/>
          <w:sz w:val="22"/>
          <w:szCs w:val="22"/>
        </w:rPr>
        <w:t>ed</w:t>
      </w:r>
      <w:r w:rsidRPr="00173B69">
        <w:rPr>
          <w:rFonts w:ascii="Amnesty Trade Gothic" w:hAnsi="Amnesty Trade Gothic"/>
          <w:sz w:val="22"/>
          <w:szCs w:val="22"/>
        </w:rPr>
        <w:t xml:space="preserve"> Article 7</w:t>
      </w:r>
      <w:r>
        <w:rPr>
          <w:rFonts w:ascii="Amnesty Trade Gothic" w:hAnsi="Amnesty Trade Gothic"/>
          <w:sz w:val="22"/>
          <w:szCs w:val="22"/>
        </w:rPr>
        <w:t>.1 TEU</w:t>
      </w:r>
      <w:r w:rsidRPr="00173B69">
        <w:rPr>
          <w:rFonts w:ascii="Amnesty Trade Gothic" w:hAnsi="Amnesty Trade Gothic"/>
          <w:sz w:val="22"/>
          <w:szCs w:val="22"/>
        </w:rPr>
        <w:t xml:space="preserve"> proceedings </w:t>
      </w:r>
      <w:r>
        <w:rPr>
          <w:rFonts w:ascii="Amnesty Trade Gothic" w:hAnsi="Amnesty Trade Gothic"/>
          <w:sz w:val="22"/>
          <w:szCs w:val="22"/>
        </w:rPr>
        <w:t>with regard to Hungary</w:t>
      </w:r>
      <w:r w:rsidRPr="00173B69">
        <w:rPr>
          <w:rFonts w:ascii="Amnesty Trade Gothic" w:hAnsi="Amnesty Trade Gothic"/>
          <w:sz w:val="22"/>
          <w:szCs w:val="22"/>
        </w:rPr>
        <w:t xml:space="preserve">. The procedure is now on the agenda of the Council;  </w:t>
      </w:r>
      <w:r w:rsidRPr="00B329F3" w:rsidR="006F1733">
        <w:rPr>
          <w:rFonts w:ascii="Amnesty Trade Gothic" w:hAnsi="Amnesty Trade Gothic"/>
          <w:sz w:val="22"/>
          <w:szCs w:val="22"/>
        </w:rPr>
        <w:t xml:space="preserve"> </w:t>
      </w:r>
    </w:p>
    <w:p w:rsidRPr="00173B69" w:rsidR="006F1733" w:rsidP="00F16E58" w:rsidRDefault="006F1733" w14:paraId="403442B6" w14:textId="0EB2431F">
      <w:pPr>
        <w:pStyle w:val="NormalWeb"/>
        <w:numPr>
          <w:ilvl w:val="0"/>
          <w:numId w:val="40"/>
        </w:numPr>
        <w:spacing w:before="120" w:beforeAutospacing="0" w:after="120" w:afterAutospacing="0"/>
        <w:rPr>
          <w:rFonts w:ascii="Amnesty Trade Gothic" w:hAnsi="Amnesty Trade Gothic"/>
          <w:sz w:val="22"/>
          <w:szCs w:val="22"/>
        </w:rPr>
      </w:pPr>
      <w:r w:rsidRPr="00173B69">
        <w:rPr>
          <w:rFonts w:ascii="Amnesty Trade Gothic" w:hAnsi="Amnesty Trade Gothic"/>
          <w:sz w:val="22"/>
          <w:szCs w:val="22"/>
        </w:rPr>
        <w:t>In July 20</w:t>
      </w:r>
      <w:r w:rsidRPr="00173B69" w:rsidR="00F16E58">
        <w:rPr>
          <w:rFonts w:ascii="Amnesty Trade Gothic" w:hAnsi="Amnesty Trade Gothic"/>
          <w:sz w:val="22"/>
          <w:szCs w:val="22"/>
        </w:rPr>
        <w:t>18, the European Commission</w:t>
      </w:r>
      <w:r w:rsidRPr="00173B69">
        <w:rPr>
          <w:rFonts w:ascii="Amnesty Trade Gothic" w:hAnsi="Amnesty Trade Gothic"/>
          <w:sz w:val="22"/>
          <w:szCs w:val="22"/>
        </w:rPr>
        <w:t xml:space="preserve"> launched </w:t>
      </w:r>
      <w:r w:rsidR="00B329F3">
        <w:rPr>
          <w:rFonts w:ascii="Amnesty Trade Gothic" w:hAnsi="Amnesty Trade Gothic"/>
          <w:sz w:val="22"/>
          <w:szCs w:val="22"/>
        </w:rPr>
        <w:t xml:space="preserve">an </w:t>
      </w:r>
      <w:r w:rsidRPr="00173B69">
        <w:rPr>
          <w:rFonts w:ascii="Amnesty Trade Gothic" w:hAnsi="Amnesty Trade Gothic"/>
          <w:sz w:val="22"/>
          <w:szCs w:val="22"/>
        </w:rPr>
        <w:t>infringement proceeding against Hungary in relation to the LexNGO2018 legislation. The EC mainly argued violations of the EU Directives related to asylum procedures, reception conditions, qualification and the right to seek asylum, and pointed out to inconsistencies with the EU’s pro</w:t>
      </w:r>
      <w:r w:rsidRPr="00173B69" w:rsidR="00F16E58">
        <w:rPr>
          <w:rFonts w:ascii="Amnesty Trade Gothic" w:hAnsi="Amnesty Trade Gothic"/>
          <w:sz w:val="22"/>
          <w:szCs w:val="22"/>
        </w:rPr>
        <w:t>visions on freedom of movement;</w:t>
      </w:r>
    </w:p>
    <w:p w:rsidRPr="00B329F3" w:rsidR="006F1733" w:rsidP="006F1733" w:rsidRDefault="00B329F3" w14:paraId="63E69ABD" w14:textId="22AA7D21">
      <w:pPr>
        <w:pStyle w:val="Default"/>
        <w:numPr>
          <w:ilvl w:val="0"/>
          <w:numId w:val="40"/>
        </w:numPr>
        <w:spacing w:after="120"/>
        <w:ind w:left="714" w:hanging="357"/>
        <w:rPr>
          <w:rFonts w:cs="Times New Roman"/>
          <w:color w:val="auto"/>
          <w:sz w:val="22"/>
          <w:szCs w:val="22"/>
        </w:rPr>
      </w:pPr>
      <w:r w:rsidRPr="00173B69">
        <w:rPr>
          <w:rFonts w:cs="Times New Roman"/>
          <w:color w:val="auto"/>
          <w:sz w:val="22"/>
          <w:szCs w:val="22"/>
        </w:rPr>
        <w:t>In December 201</w:t>
      </w:r>
      <w:r>
        <w:rPr>
          <w:rFonts w:cs="Times New Roman"/>
          <w:color w:val="auto"/>
          <w:sz w:val="22"/>
          <w:szCs w:val="22"/>
        </w:rPr>
        <w:t>7</w:t>
      </w:r>
      <w:r w:rsidRPr="00173B69">
        <w:rPr>
          <w:rFonts w:cs="Times New Roman"/>
          <w:color w:val="auto"/>
          <w:sz w:val="22"/>
          <w:szCs w:val="22"/>
        </w:rPr>
        <w:t xml:space="preserve">, the infringement proceeding against Hungary in relation to LexNGO2017 (foreign funding legislation), initiated in July 2017, </w:t>
      </w:r>
      <w:r>
        <w:rPr>
          <w:rFonts w:cs="Times New Roman"/>
          <w:color w:val="auto"/>
          <w:sz w:val="22"/>
          <w:szCs w:val="22"/>
        </w:rPr>
        <w:t>was</w:t>
      </w:r>
      <w:r w:rsidRPr="00173B69">
        <w:rPr>
          <w:rFonts w:cs="Times New Roman"/>
          <w:color w:val="auto"/>
          <w:sz w:val="22"/>
          <w:szCs w:val="22"/>
        </w:rPr>
        <w:t xml:space="preserve"> referred to the Court of Justice </w:t>
      </w:r>
      <w:r>
        <w:rPr>
          <w:rFonts w:cs="Times New Roman"/>
          <w:color w:val="auto"/>
          <w:sz w:val="22"/>
          <w:szCs w:val="22"/>
        </w:rPr>
        <w:t xml:space="preserve">of the European Union (CJEU) </w:t>
      </w:r>
      <w:r w:rsidRPr="00173B69">
        <w:rPr>
          <w:rFonts w:cs="Times New Roman"/>
          <w:color w:val="auto"/>
          <w:sz w:val="22"/>
          <w:szCs w:val="22"/>
        </w:rPr>
        <w:t>and remains pending;</w:t>
      </w:r>
    </w:p>
    <w:p w:rsidRPr="00B329F3" w:rsidR="00B329F3" w:rsidP="00B329F3" w:rsidRDefault="00B329F3" w14:paraId="5D5C85D4" w14:textId="1731DDE1">
      <w:pPr>
        <w:pStyle w:val="Default"/>
        <w:numPr>
          <w:ilvl w:val="0"/>
          <w:numId w:val="40"/>
        </w:numPr>
        <w:spacing w:after="120"/>
        <w:ind w:left="714" w:hanging="357"/>
        <w:rPr>
          <w:rFonts w:cs="Times New Roman"/>
          <w:color w:val="auto"/>
          <w:sz w:val="22"/>
          <w:szCs w:val="22"/>
        </w:rPr>
      </w:pPr>
      <w:r w:rsidRPr="00B329F3">
        <w:rPr>
          <w:rFonts w:cs="Times New Roman"/>
          <w:color w:val="auto"/>
          <w:sz w:val="22"/>
          <w:szCs w:val="22"/>
        </w:rPr>
        <w:t>In December 2017, the infringe</w:t>
      </w:r>
      <w:r>
        <w:rPr>
          <w:rFonts w:cs="Times New Roman"/>
          <w:color w:val="auto"/>
          <w:sz w:val="22"/>
          <w:szCs w:val="22"/>
        </w:rPr>
        <w:t>ment proceeding in relation to “</w:t>
      </w:r>
      <w:proofErr w:type="spellStart"/>
      <w:r>
        <w:rPr>
          <w:rFonts w:cs="Times New Roman"/>
          <w:color w:val="auto"/>
          <w:sz w:val="22"/>
          <w:szCs w:val="22"/>
        </w:rPr>
        <w:t>LexCEU</w:t>
      </w:r>
      <w:proofErr w:type="spellEnd"/>
      <w:r>
        <w:rPr>
          <w:rFonts w:cs="Times New Roman"/>
          <w:color w:val="auto"/>
          <w:sz w:val="22"/>
          <w:szCs w:val="22"/>
        </w:rPr>
        <w:t>”</w:t>
      </w:r>
      <w:r w:rsidRPr="00B329F3">
        <w:rPr>
          <w:rFonts w:cs="Times New Roman"/>
          <w:color w:val="auto"/>
          <w:sz w:val="22"/>
          <w:szCs w:val="22"/>
        </w:rPr>
        <w:t xml:space="preserve">, initiated in April 2017, was also referred to CJEU. </w:t>
      </w:r>
    </w:p>
    <w:p w:rsidRPr="00173B69" w:rsidR="00B329F3" w:rsidP="00B329F3" w:rsidRDefault="00B329F3" w14:paraId="1DB900B3" w14:textId="4186F5B3">
      <w:pPr>
        <w:pStyle w:val="Default"/>
        <w:numPr>
          <w:ilvl w:val="0"/>
          <w:numId w:val="40"/>
        </w:numPr>
        <w:spacing w:after="120"/>
        <w:ind w:left="714" w:hanging="357"/>
        <w:rPr>
          <w:rFonts w:cs="Times New Roman"/>
          <w:color w:val="auto"/>
          <w:sz w:val="22"/>
          <w:szCs w:val="22"/>
        </w:rPr>
      </w:pPr>
      <w:r w:rsidRPr="00173B69">
        <w:rPr>
          <w:rFonts w:cs="Times New Roman"/>
          <w:color w:val="auto"/>
          <w:sz w:val="22"/>
          <w:szCs w:val="22"/>
        </w:rPr>
        <w:t xml:space="preserve">In July 2018, the infringement proceeding launched against Hungary in 2015 concerning its asylum laws was referred to </w:t>
      </w:r>
      <w:r>
        <w:rPr>
          <w:rFonts w:cs="Times New Roman"/>
          <w:color w:val="auto"/>
          <w:sz w:val="22"/>
          <w:szCs w:val="22"/>
        </w:rPr>
        <w:t>CJEU</w:t>
      </w:r>
      <w:r w:rsidRPr="00173B69">
        <w:rPr>
          <w:rFonts w:cs="Times New Roman"/>
          <w:color w:val="auto"/>
          <w:sz w:val="22"/>
          <w:szCs w:val="22"/>
        </w:rPr>
        <w:t>, the last step in infringement proceedings, and remains pending.</w:t>
      </w:r>
    </w:p>
    <w:p w:rsidRPr="00173B69" w:rsidR="00F16E58" w:rsidP="006F1733" w:rsidRDefault="00F16E58" w14:paraId="5E0063E5" w14:textId="77777777">
      <w:pPr>
        <w:pStyle w:val="Default"/>
        <w:rPr>
          <w:rFonts w:cs="Times New Roman"/>
          <w:color w:val="auto"/>
          <w:sz w:val="22"/>
          <w:szCs w:val="22"/>
        </w:rPr>
      </w:pPr>
    </w:p>
    <w:p w:rsidR="00173B69" w:rsidP="00F16E58" w:rsidRDefault="00B329F3" w14:paraId="7949F436" w14:textId="2140B39B">
      <w:pPr>
        <w:pStyle w:val="NormalWeb"/>
        <w:spacing w:before="120" w:beforeAutospacing="0" w:after="120" w:afterAutospacing="0"/>
        <w:rPr>
          <w:rStyle w:val="Hyperlink"/>
          <w:rFonts w:ascii="Amnesty Trade Gothic" w:hAnsi="Amnesty Trade Gothic"/>
          <w:sz w:val="22"/>
          <w:szCs w:val="22"/>
        </w:rPr>
      </w:pPr>
      <w:r w:rsidRPr="00173B69">
        <w:rPr>
          <w:rFonts w:ascii="Amnesty Trade Gothic" w:hAnsi="Amnesty Trade Gothic"/>
          <w:sz w:val="22"/>
          <w:szCs w:val="22"/>
        </w:rPr>
        <w:t xml:space="preserve">Furthermore, several international and regional bodies have criticised the recently adopted legislation, including </w:t>
      </w:r>
      <w:hyperlink w:history="1" r:id="rId13">
        <w:r w:rsidRPr="00173B69">
          <w:rPr>
            <w:rStyle w:val="Hyperlink"/>
            <w:rFonts w:ascii="Amnesty Trade Gothic" w:hAnsi="Amnesty Trade Gothic"/>
            <w:sz w:val="22"/>
            <w:szCs w:val="22"/>
          </w:rPr>
          <w:t>Council of Europe’s Commissioner for Human Rights</w:t>
        </w:r>
      </w:hyperlink>
      <w:r w:rsidRPr="00173B69">
        <w:rPr>
          <w:rFonts w:ascii="Amnesty Trade Gothic" w:hAnsi="Amnesty Trade Gothic"/>
          <w:sz w:val="22"/>
          <w:szCs w:val="22"/>
        </w:rPr>
        <w:t xml:space="preserve">, </w:t>
      </w:r>
      <w:hyperlink w:history="1" r:id="rId14">
        <w:r w:rsidRPr="00173B69">
          <w:rPr>
            <w:rStyle w:val="Hyperlink"/>
            <w:rFonts w:ascii="Amnesty Trade Gothic" w:hAnsi="Amnesty Trade Gothic"/>
            <w:sz w:val="22"/>
            <w:szCs w:val="22"/>
          </w:rPr>
          <w:t>UNHCR</w:t>
        </w:r>
      </w:hyperlink>
      <w:r w:rsidRPr="00173B69">
        <w:rPr>
          <w:rFonts w:ascii="Amnesty Trade Gothic" w:hAnsi="Amnesty Trade Gothic"/>
          <w:sz w:val="22"/>
          <w:szCs w:val="22"/>
        </w:rPr>
        <w:t xml:space="preserve">, </w:t>
      </w:r>
      <w:hyperlink w:history="1" r:id="rId15">
        <w:r w:rsidRPr="00173B69">
          <w:rPr>
            <w:rStyle w:val="Hyperlink"/>
            <w:rFonts w:ascii="Amnesty Trade Gothic" w:hAnsi="Amnesty Trade Gothic"/>
            <w:sz w:val="22"/>
            <w:szCs w:val="22"/>
          </w:rPr>
          <w:t>OHCHR</w:t>
        </w:r>
      </w:hyperlink>
      <w:r w:rsidRPr="00173B69">
        <w:rPr>
          <w:rFonts w:ascii="Amnesty Trade Gothic" w:hAnsi="Amnesty Trade Gothic"/>
          <w:sz w:val="22"/>
          <w:szCs w:val="22"/>
        </w:rPr>
        <w:t>,</w:t>
      </w:r>
      <w:r>
        <w:rPr>
          <w:rFonts w:ascii="Amnesty Trade Gothic" w:hAnsi="Amnesty Trade Gothic"/>
          <w:sz w:val="22"/>
          <w:szCs w:val="22"/>
        </w:rPr>
        <w:t xml:space="preserve"> </w:t>
      </w:r>
      <w:r w:rsidRPr="009D40C7">
        <w:rPr>
          <w:rFonts w:ascii="Amnesty Trade Gothic" w:hAnsi="Amnesty Trade Gothic"/>
          <w:sz w:val="22"/>
          <w:szCs w:val="22"/>
        </w:rPr>
        <w:t>Council of Europe</w:t>
      </w:r>
      <w:r>
        <w:rPr>
          <w:rFonts w:ascii="Amnesty Trade Gothic" w:hAnsi="Amnesty Trade Gothic"/>
          <w:sz w:val="22"/>
          <w:szCs w:val="22"/>
        </w:rPr>
        <w:t xml:space="preserve"> </w:t>
      </w:r>
      <w:r w:rsidRPr="00F03478">
        <w:rPr>
          <w:rFonts w:ascii="Amnesty Trade Gothic" w:hAnsi="Amnesty Trade Gothic"/>
          <w:sz w:val="22"/>
          <w:szCs w:val="22"/>
        </w:rPr>
        <w:t>Venice Commission</w:t>
      </w:r>
      <w:r>
        <w:rPr>
          <w:rStyle w:val="FootnoteReference"/>
          <w:rFonts w:ascii="Amnesty Trade Gothic" w:hAnsi="Amnesty Trade Gothic"/>
          <w:sz w:val="22"/>
          <w:szCs w:val="22"/>
        </w:rPr>
        <w:footnoteReference w:id="10"/>
      </w:r>
      <w:r>
        <w:rPr>
          <w:rFonts w:ascii="Amnesty Trade Gothic" w:hAnsi="Amnesty Trade Gothic"/>
          <w:sz w:val="22"/>
          <w:szCs w:val="22"/>
        </w:rPr>
        <w:t>,</w:t>
      </w:r>
      <w:r w:rsidRPr="00173B69">
        <w:rPr>
          <w:rFonts w:ascii="Amnesty Trade Gothic" w:hAnsi="Amnesty Trade Gothic"/>
          <w:sz w:val="22"/>
          <w:szCs w:val="22"/>
        </w:rPr>
        <w:t xml:space="preserve"> </w:t>
      </w:r>
      <w:hyperlink w:history="1" r:id="rId16">
        <w:r w:rsidRPr="00173B69">
          <w:rPr>
            <w:rStyle w:val="Hyperlink"/>
            <w:rFonts w:ascii="Amnesty Trade Gothic" w:hAnsi="Amnesty Trade Gothic"/>
            <w:sz w:val="22"/>
            <w:szCs w:val="22"/>
          </w:rPr>
          <w:t>joint initiative by special rapporteurs and special procedures</w:t>
        </w:r>
      </w:hyperlink>
      <w:r>
        <w:rPr>
          <w:rStyle w:val="Hyperlink"/>
          <w:rFonts w:ascii="Amnesty Trade Gothic" w:hAnsi="Amnesty Trade Gothic"/>
          <w:sz w:val="22"/>
          <w:szCs w:val="22"/>
        </w:rPr>
        <w:t>.</w:t>
      </w:r>
    </w:p>
    <w:p w:rsidRPr="00173B69" w:rsidR="00B329F3" w:rsidP="00F16E58" w:rsidRDefault="00B329F3" w14:paraId="4F8AF75E" w14:textId="77777777">
      <w:pPr>
        <w:pStyle w:val="NormalWeb"/>
        <w:spacing w:before="120" w:beforeAutospacing="0" w:after="120" w:afterAutospacing="0"/>
        <w:rPr>
          <w:rFonts w:ascii="Amnesty Trade Gothic" w:hAnsi="Amnesty Trade Gothic"/>
          <w:sz w:val="22"/>
          <w:szCs w:val="22"/>
        </w:rPr>
      </w:pPr>
    </w:p>
    <w:p w:rsidRPr="00173B69" w:rsidR="00173B69" w:rsidP="00F16E58" w:rsidRDefault="00173B69" w14:paraId="252AB3F4" w14:textId="0F7B15D3">
      <w:pPr>
        <w:pStyle w:val="NormalWeb"/>
        <w:spacing w:before="120" w:beforeAutospacing="0" w:after="120" w:afterAutospacing="0"/>
        <w:rPr>
          <w:rFonts w:ascii="Amnesty Trade Gothic" w:hAnsi="Amnesty Trade Gothic"/>
          <w:b/>
        </w:rPr>
      </w:pPr>
      <w:r w:rsidRPr="00173B69">
        <w:rPr>
          <w:rFonts w:ascii="Amnesty Trade Gothic" w:hAnsi="Amnesty Trade Gothic"/>
          <w:b/>
        </w:rPr>
        <w:t>POLAND</w:t>
      </w:r>
    </w:p>
    <w:p w:rsidRPr="00173B69" w:rsidR="00173B69" w:rsidP="00173B69" w:rsidRDefault="00173B69" w14:paraId="4529E1C2" w14:textId="77777777">
      <w:pPr>
        <w:pStyle w:val="RTBodyText"/>
        <w:rPr>
          <w:rFonts w:ascii="Amnesty Trade Gothic" w:hAnsi="Amnesty Trade Gothic" w:eastAsia="Times New Roman" w:cs="Times New Roman"/>
          <w:color w:val="000000"/>
          <w:sz w:val="22"/>
          <w:szCs w:val="22"/>
          <w:lang w:eastAsia="ar-SA"/>
        </w:rPr>
      </w:pPr>
      <w:r w:rsidRPr="00173B69">
        <w:rPr>
          <w:rFonts w:ascii="Amnesty Trade Gothic" w:hAnsi="Amnesty Trade Gothic" w:eastAsia="Times New Roman" w:cs="Times New Roman"/>
          <w:color w:val="000000"/>
          <w:sz w:val="22"/>
          <w:szCs w:val="22"/>
          <w:lang w:eastAsia="ar-SA"/>
        </w:rPr>
        <w:t>Amnesty International has documented the following patterns with respect to the erosion of the rule of law and shrinking space for civil society in Poland:</w:t>
      </w:r>
    </w:p>
    <w:p w:rsidRPr="00173B69" w:rsidR="00173B69" w:rsidP="00173B69" w:rsidRDefault="00173B69" w14:paraId="72C6A8F0" w14:textId="77777777">
      <w:pPr>
        <w:pStyle w:val="BodyText"/>
        <w:numPr>
          <w:ilvl w:val="0"/>
          <w:numId w:val="42"/>
        </w:numPr>
        <w:rPr>
          <w:sz w:val="22"/>
          <w:szCs w:val="22"/>
        </w:rPr>
      </w:pPr>
      <w:r w:rsidRPr="00173B69">
        <w:rPr>
          <w:sz w:val="22"/>
          <w:szCs w:val="22"/>
        </w:rPr>
        <w:t>Systematic undermining of the independence of the judiciary, including concentrating power over the judiciary in the hands of the Minister of Justice, thereby disrupting the balance of powers;</w:t>
      </w:r>
    </w:p>
    <w:p w:rsidRPr="00173B69" w:rsidR="00173B69" w:rsidP="00173B69" w:rsidRDefault="00173B69" w14:paraId="4A4BFABE" w14:textId="70097BA7">
      <w:pPr>
        <w:pStyle w:val="BodyText"/>
        <w:numPr>
          <w:ilvl w:val="0"/>
          <w:numId w:val="42"/>
        </w:numPr>
        <w:rPr>
          <w:sz w:val="22"/>
          <w:szCs w:val="22"/>
        </w:rPr>
      </w:pPr>
      <w:r w:rsidRPr="00173B69">
        <w:rPr>
          <w:sz w:val="22"/>
          <w:szCs w:val="22"/>
        </w:rPr>
        <w:t xml:space="preserve">Employing new mechanisms within disciplinary processes to intimidate and harass judges critical of the government’s “reform” of the judiciary; </w:t>
      </w:r>
    </w:p>
    <w:p w:rsidRPr="00173B69" w:rsidR="00173B69" w:rsidP="00173B69" w:rsidRDefault="00173B69" w14:paraId="5FDF3917" w14:textId="77777777">
      <w:pPr>
        <w:pStyle w:val="BodyText"/>
        <w:numPr>
          <w:ilvl w:val="0"/>
          <w:numId w:val="42"/>
        </w:numPr>
        <w:rPr>
          <w:sz w:val="22"/>
          <w:szCs w:val="22"/>
        </w:rPr>
      </w:pPr>
      <w:r w:rsidRPr="00173B69">
        <w:rPr>
          <w:sz w:val="22"/>
          <w:szCs w:val="22"/>
        </w:rPr>
        <w:t>Sustained crackdown on peaceful protest manifested by the use of force against demonstrators, lack of accountability for breaches of protesters’ human rights, and criminalization of peaceful protest;</w:t>
      </w:r>
    </w:p>
    <w:p w:rsidRPr="00173B69" w:rsidR="00173B69" w:rsidP="00173B69" w:rsidRDefault="00173B69" w14:paraId="119E210B" w14:textId="36D9B8F1">
      <w:pPr>
        <w:pStyle w:val="BodyText"/>
        <w:numPr>
          <w:ilvl w:val="0"/>
          <w:numId w:val="42"/>
        </w:numPr>
        <w:rPr>
          <w:sz w:val="22"/>
          <w:szCs w:val="22"/>
        </w:rPr>
      </w:pPr>
      <w:r w:rsidRPr="00173B69">
        <w:rPr>
          <w:sz w:val="22"/>
          <w:szCs w:val="22"/>
        </w:rPr>
        <w:t>Ongoing assault on freedom of assembly, including differential treatment of assemblies in an arbitrary manner.</w:t>
      </w:r>
    </w:p>
    <w:p w:rsidRPr="00173B69" w:rsidR="00173B69" w:rsidP="00173B69" w:rsidRDefault="00173B69" w14:paraId="7A6655DF" w14:textId="77777777">
      <w:pPr>
        <w:pStyle w:val="Heading2"/>
        <w:rPr>
          <w:rFonts w:ascii="Amnesty Trade Gothic" w:hAnsi="Amnesty Trade Gothic"/>
          <w:sz w:val="22"/>
          <w:szCs w:val="22"/>
        </w:rPr>
      </w:pPr>
    </w:p>
    <w:p w:rsidRPr="00FD5EE2" w:rsidR="00173B69" w:rsidP="00173B69" w:rsidRDefault="00173B69" w14:paraId="42F932AA" w14:textId="77777777">
      <w:pPr>
        <w:pStyle w:val="Heading2"/>
        <w:rPr>
          <w:rFonts w:ascii="Amnesty Trade Gothic" w:hAnsi="Amnesty Trade Gothic"/>
          <w:b/>
          <w:sz w:val="22"/>
          <w:szCs w:val="22"/>
        </w:rPr>
      </w:pPr>
      <w:r w:rsidRPr="00FD5EE2">
        <w:rPr>
          <w:rFonts w:ascii="Amnesty Trade Gothic" w:hAnsi="Amnesty Trade Gothic"/>
          <w:b/>
          <w:sz w:val="22"/>
          <w:szCs w:val="22"/>
        </w:rPr>
        <w:t>independence of the judiciary</w:t>
      </w:r>
    </w:p>
    <w:p w:rsidRPr="00173B69" w:rsidR="00173B69" w:rsidP="00173B69" w:rsidRDefault="00173B69" w14:paraId="6D1977E6" w14:textId="77777777">
      <w:pPr>
        <w:pStyle w:val="AIBodyText"/>
        <w:rPr>
          <w:sz w:val="22"/>
          <w:szCs w:val="22"/>
        </w:rPr>
      </w:pPr>
      <w:r w:rsidRPr="00173B69">
        <w:rPr>
          <w:sz w:val="22"/>
          <w:szCs w:val="22"/>
        </w:rPr>
        <w:t>Since 2016, the government of Poland has systematically chipped away at judicial independence. The assault on the independent judiciary in Poland puts the right to fair trial and human rights at risk. Threats levelled at judges via social media, by post, and through email, and negative media campaigns targeting the members of the judiciary in Poland contribute to a hostile climate in which individual judges might be at risk. There is a notable absence of a clear commitment of the state to adequately protect those who experience such security threats.</w:t>
      </w:r>
      <w:r w:rsidRPr="00173B69">
        <w:rPr>
          <w:rStyle w:val="FootnoteReference"/>
          <w:sz w:val="22"/>
          <w:szCs w:val="22"/>
        </w:rPr>
        <w:footnoteReference w:id="11"/>
      </w:r>
      <w:r w:rsidRPr="00173B69">
        <w:rPr>
          <w:sz w:val="22"/>
          <w:szCs w:val="22"/>
        </w:rPr>
        <w:t xml:space="preserve"> </w:t>
      </w:r>
    </w:p>
    <w:p w:rsidRPr="00FD5EE2" w:rsidR="00173B69" w:rsidP="00173B69" w:rsidRDefault="00173B69" w14:paraId="0519B216" w14:textId="77777777">
      <w:pPr>
        <w:pStyle w:val="Heading3"/>
        <w:rPr>
          <w:rFonts w:ascii="Amnesty Trade Gothic" w:hAnsi="Amnesty Trade Gothic"/>
          <w:b/>
          <w:sz w:val="22"/>
          <w:szCs w:val="22"/>
        </w:rPr>
      </w:pPr>
      <w:r w:rsidRPr="00FD5EE2">
        <w:rPr>
          <w:rFonts w:ascii="Amnesty Trade Gothic" w:hAnsi="Amnesty Trade Gothic"/>
          <w:b/>
          <w:sz w:val="22"/>
          <w:szCs w:val="22"/>
        </w:rPr>
        <w:t>The Supreme Court</w:t>
      </w:r>
    </w:p>
    <w:p w:rsidRPr="00173B69" w:rsidR="00173B69" w:rsidP="00173B69" w:rsidRDefault="00173B69" w14:paraId="45D1AF76" w14:textId="77777777">
      <w:pPr>
        <w:pStyle w:val="AIBodyText"/>
        <w:rPr>
          <w:sz w:val="22"/>
          <w:szCs w:val="22"/>
        </w:rPr>
      </w:pPr>
      <w:r w:rsidRPr="00173B69">
        <w:rPr>
          <w:sz w:val="22"/>
          <w:szCs w:val="22"/>
        </w:rPr>
        <w:t>In response to the 2018 legislation that lowered the retirement age of Supreme Court judges and gave the President of Poland the discretion to decide if judges can remain on the bench after the age of 65, the European Commission (EC) referred the law to the Court of Justice of the European Union (CJEU) on 2 October 2018.</w:t>
      </w:r>
    </w:p>
    <w:p w:rsidRPr="00173B69" w:rsidR="00173B69" w:rsidP="00173B69" w:rsidRDefault="00173B69" w14:paraId="184527EC" w14:textId="045E184D">
      <w:pPr>
        <w:pStyle w:val="AIBodyText"/>
        <w:rPr>
          <w:sz w:val="22"/>
          <w:szCs w:val="22"/>
        </w:rPr>
      </w:pPr>
      <w:r w:rsidRPr="00173B69">
        <w:rPr>
          <w:sz w:val="22"/>
          <w:szCs w:val="22"/>
        </w:rPr>
        <w:t xml:space="preserve">The EC argued that Poland had infringed EU law </w:t>
      </w:r>
      <w:r w:rsidR="00ED1DC4">
        <w:rPr>
          <w:sz w:val="22"/>
          <w:szCs w:val="22"/>
        </w:rPr>
        <w:t>and</w:t>
      </w:r>
      <w:r w:rsidRPr="00173B69">
        <w:rPr>
          <w:sz w:val="22"/>
          <w:szCs w:val="22"/>
        </w:rPr>
        <w:t xml:space="preserve"> requested immediate action in the form of an order for interim measures, which the CJEU issued on 17 December 2018. The order required the Polish authorities to immediately suspend the application of the provisions of the law that lowered </w:t>
      </w:r>
      <w:r w:rsidRPr="00173B69">
        <w:rPr>
          <w:sz w:val="22"/>
          <w:szCs w:val="22"/>
        </w:rPr>
        <w:lastRenderedPageBreak/>
        <w:t>the retirement age for Supreme Court judges to 65.</w:t>
      </w:r>
      <w:r w:rsidRPr="00173B69">
        <w:rPr>
          <w:rStyle w:val="FootnoteReference"/>
          <w:sz w:val="22"/>
          <w:szCs w:val="22"/>
        </w:rPr>
        <w:footnoteReference w:id="12"/>
      </w:r>
      <w:r w:rsidRPr="00173B69">
        <w:rPr>
          <w:sz w:val="22"/>
          <w:szCs w:val="22"/>
        </w:rPr>
        <w:t xml:space="preserve"> The EC also lodged a formal complaint with the CJEU arguing that the Law on the Supreme Court is in</w:t>
      </w:r>
      <w:r w:rsidR="004819C9">
        <w:rPr>
          <w:sz w:val="22"/>
          <w:szCs w:val="22"/>
        </w:rPr>
        <w:t xml:space="preserve"> breach of EU law and requested</w:t>
      </w:r>
      <w:r w:rsidRPr="00173B69">
        <w:rPr>
          <w:sz w:val="22"/>
          <w:szCs w:val="22"/>
        </w:rPr>
        <w:t xml:space="preserve"> a decision on the merits. On 15 November, the CJEU granted the EC’s request for the case to be heard in an expedited procedure.</w:t>
      </w:r>
      <w:r w:rsidRPr="00173B69">
        <w:rPr>
          <w:rStyle w:val="FootnoteReference"/>
          <w:sz w:val="22"/>
          <w:szCs w:val="22"/>
        </w:rPr>
        <w:footnoteReference w:id="13"/>
      </w:r>
      <w:r w:rsidRPr="00173B69">
        <w:rPr>
          <w:sz w:val="22"/>
          <w:szCs w:val="22"/>
        </w:rPr>
        <w:t xml:space="preserve"> The CJEU scheduled the first hearing in the case for 12 February 2019.</w:t>
      </w:r>
      <w:r w:rsidRPr="00173B69">
        <w:rPr>
          <w:rStyle w:val="FootnoteReference"/>
          <w:sz w:val="22"/>
          <w:szCs w:val="22"/>
        </w:rPr>
        <w:footnoteReference w:id="14"/>
      </w:r>
    </w:p>
    <w:p w:rsidRPr="00FD5EE2" w:rsidR="00173B69" w:rsidP="00173B69" w:rsidRDefault="00173B69" w14:paraId="30194B59" w14:textId="77777777">
      <w:pPr>
        <w:pStyle w:val="Heading3"/>
        <w:rPr>
          <w:rFonts w:ascii="Amnesty Trade Gothic" w:hAnsi="Amnesty Trade Gothic"/>
          <w:b/>
          <w:sz w:val="22"/>
          <w:szCs w:val="22"/>
        </w:rPr>
      </w:pPr>
      <w:r w:rsidRPr="00FD5EE2">
        <w:rPr>
          <w:rFonts w:ascii="Amnesty Trade Gothic" w:hAnsi="Amnesty Trade Gothic"/>
          <w:b/>
          <w:sz w:val="22"/>
          <w:szCs w:val="22"/>
        </w:rPr>
        <w:t>National Council of the Judiciary</w:t>
      </w:r>
    </w:p>
    <w:p w:rsidRPr="00173B69" w:rsidR="008241BA" w:rsidP="008241BA" w:rsidRDefault="008241BA" w14:paraId="3F5C8A4C" w14:textId="7EF6B914">
      <w:pPr>
        <w:pStyle w:val="AIBodyText"/>
        <w:rPr>
          <w:sz w:val="22"/>
          <w:szCs w:val="22"/>
        </w:rPr>
      </w:pPr>
      <w:r w:rsidRPr="00173B69">
        <w:rPr>
          <w:sz w:val="22"/>
          <w:szCs w:val="22"/>
        </w:rPr>
        <w:t>The National Council of the Judiciary (NCJ), the constitutional body tasked with safeguarding the independence of courts and judges, lost its independence pursuant to a 2017 legislative “reform”. Judges from courts in various parts of Poland have opined that the appointment procedure for the NCJ introduced by the new legislation is in breach of the Constitution.</w:t>
      </w:r>
      <w:r w:rsidRPr="00173B69">
        <w:rPr>
          <w:rStyle w:val="FootnoteReference"/>
          <w:sz w:val="22"/>
          <w:szCs w:val="22"/>
        </w:rPr>
        <w:footnoteReference w:id="15"/>
      </w:r>
      <w:r w:rsidRPr="00173B69">
        <w:rPr>
          <w:sz w:val="22"/>
          <w:szCs w:val="22"/>
        </w:rPr>
        <w:t xml:space="preserve"> The amendment of the Law on NCJ increased the number of NCJ members appointed by parliament</w:t>
      </w:r>
      <w:r>
        <w:rPr>
          <w:sz w:val="22"/>
          <w:szCs w:val="22"/>
        </w:rPr>
        <w:t xml:space="preserve"> from the original 6 to 15 (out of the total 25 members), thereby making the body increasingly dependent on legislative authority in breach of</w:t>
      </w:r>
      <w:r w:rsidRPr="00173B69">
        <w:rPr>
          <w:sz w:val="22"/>
          <w:szCs w:val="22"/>
        </w:rPr>
        <w:t xml:space="preserve"> </w:t>
      </w:r>
      <w:r>
        <w:rPr>
          <w:sz w:val="22"/>
          <w:szCs w:val="22"/>
        </w:rPr>
        <w:t xml:space="preserve">the </w:t>
      </w:r>
      <w:r w:rsidRPr="00173B69">
        <w:rPr>
          <w:sz w:val="22"/>
          <w:szCs w:val="22"/>
        </w:rPr>
        <w:t xml:space="preserve">principle </w:t>
      </w:r>
      <w:r>
        <w:rPr>
          <w:sz w:val="22"/>
          <w:szCs w:val="22"/>
        </w:rPr>
        <w:t>of separation of powers</w:t>
      </w:r>
      <w:r w:rsidRPr="00173B69">
        <w:rPr>
          <w:sz w:val="22"/>
          <w:szCs w:val="22"/>
        </w:rPr>
        <w:t>.</w:t>
      </w:r>
    </w:p>
    <w:p w:rsidRPr="00173B69" w:rsidR="00173B69" w:rsidP="00173B69" w:rsidRDefault="00173B69" w14:paraId="38F23F30" w14:textId="77777777">
      <w:pPr>
        <w:pStyle w:val="AIBodyText"/>
        <w:rPr>
          <w:sz w:val="22"/>
          <w:szCs w:val="22"/>
        </w:rPr>
      </w:pPr>
      <w:r w:rsidRPr="00173B69">
        <w:rPr>
          <w:sz w:val="22"/>
          <w:szCs w:val="22"/>
        </w:rPr>
        <w:t>The CJEU will soon adjudicate the question of whether the reformed NCJ is a body capable of safeguarding the independence of judiciary in Poland, in compliance with EU law. Poland’s Supreme Court submitted this question to the CJEU on 30 August 2018</w:t>
      </w:r>
      <w:r w:rsidRPr="00173B69">
        <w:rPr>
          <w:rStyle w:val="FootnoteReference"/>
          <w:sz w:val="22"/>
          <w:szCs w:val="22"/>
        </w:rPr>
        <w:footnoteReference w:id="16"/>
      </w:r>
      <w:r w:rsidRPr="00173B69">
        <w:rPr>
          <w:sz w:val="22"/>
          <w:szCs w:val="22"/>
        </w:rPr>
        <w:t xml:space="preserve"> and the first hearing is scheduled for 19 March 2019.</w:t>
      </w:r>
      <w:r w:rsidRPr="00173B69">
        <w:rPr>
          <w:rStyle w:val="FootnoteReference"/>
          <w:sz w:val="22"/>
          <w:szCs w:val="22"/>
        </w:rPr>
        <w:footnoteReference w:id="17"/>
      </w:r>
      <w:r w:rsidRPr="00173B69">
        <w:rPr>
          <w:sz w:val="22"/>
          <w:szCs w:val="22"/>
        </w:rPr>
        <w:t xml:space="preserve"> </w:t>
      </w:r>
    </w:p>
    <w:p w:rsidRPr="00FD5EE2" w:rsidR="00173B69" w:rsidP="00173B69" w:rsidRDefault="00173B69" w14:paraId="406EE19D" w14:textId="77777777">
      <w:pPr>
        <w:pStyle w:val="Heading3"/>
        <w:rPr>
          <w:rFonts w:ascii="Amnesty Trade Gothic" w:hAnsi="Amnesty Trade Gothic"/>
          <w:b/>
          <w:sz w:val="22"/>
          <w:szCs w:val="22"/>
        </w:rPr>
      </w:pPr>
      <w:r w:rsidRPr="00FD5EE2">
        <w:rPr>
          <w:rFonts w:ascii="Amnesty Trade Gothic" w:hAnsi="Amnesty Trade Gothic"/>
          <w:b/>
          <w:sz w:val="22"/>
          <w:szCs w:val="22"/>
        </w:rPr>
        <w:t>disciplinary proceedings</w:t>
      </w:r>
    </w:p>
    <w:p w:rsidRPr="00173B69" w:rsidR="00173B69" w:rsidP="00173B69" w:rsidRDefault="00173B69" w14:paraId="78D22151" w14:textId="77777777">
      <w:pPr>
        <w:pStyle w:val="AIBodyText"/>
        <w:rPr>
          <w:sz w:val="22"/>
          <w:szCs w:val="22"/>
          <w:lang w:val="en-US"/>
        </w:rPr>
      </w:pPr>
      <w:r w:rsidRPr="00173B69">
        <w:rPr>
          <w:sz w:val="22"/>
          <w:szCs w:val="22"/>
          <w:lang w:val="en-US"/>
        </w:rPr>
        <w:t>The Polish government’s apparent targeting of certain judges and prosecutors for disciplinary action for their opposition to key reforms is of particular concern.  Amnesty International continues to receive information about new and ongoing cases of disciplinary proceedings against judges and prosecutors who have spoken out against the “reform” of the judiciary or who have simply reiterated the importance of judicial independence. In addition, there are documented cases when disciplinary proceedings have been triggered upon some judges’ referral of judicial questions to the CJEU.</w:t>
      </w:r>
      <w:r w:rsidRPr="00173B69">
        <w:rPr>
          <w:rStyle w:val="FootnoteReference"/>
          <w:sz w:val="22"/>
          <w:szCs w:val="22"/>
          <w:lang w:val="en-US"/>
        </w:rPr>
        <w:footnoteReference w:id="18"/>
      </w:r>
    </w:p>
    <w:p w:rsidRPr="00173B69" w:rsidR="00173B69" w:rsidP="00173B69" w:rsidRDefault="00173B69" w14:paraId="30552619" w14:textId="77777777">
      <w:pPr>
        <w:pStyle w:val="AIBodyText"/>
        <w:rPr>
          <w:sz w:val="22"/>
          <w:szCs w:val="22"/>
        </w:rPr>
      </w:pPr>
      <w:r w:rsidRPr="00173B69">
        <w:rPr>
          <w:sz w:val="22"/>
          <w:szCs w:val="22"/>
        </w:rPr>
        <w:t>Power over the disciplinary proceedings is concentrated in the hands of the Minister of Justice. The Disciplinary Prosecutor for Common Courts, a position established within the “reform” of the judiciary, is appointed directly by the Minister of Justice for a four-year term.</w:t>
      </w:r>
      <w:r w:rsidRPr="00173B69">
        <w:rPr>
          <w:rStyle w:val="FootnoteReference"/>
          <w:sz w:val="22"/>
          <w:szCs w:val="22"/>
        </w:rPr>
        <w:footnoteReference w:id="19"/>
      </w:r>
      <w:r w:rsidRPr="00173B69">
        <w:rPr>
          <w:rStyle w:val="FootnoteReference"/>
          <w:sz w:val="22"/>
          <w:szCs w:val="22"/>
        </w:rPr>
        <w:t xml:space="preserve"> </w:t>
      </w:r>
      <w:r w:rsidRPr="00173B69">
        <w:rPr>
          <w:sz w:val="22"/>
          <w:szCs w:val="22"/>
        </w:rPr>
        <w:t>The Disciplinary Prosecutor then chooses deputy Disciplinary Prosecutors for the district and appeal courts.</w:t>
      </w:r>
      <w:r w:rsidRPr="00173B69">
        <w:rPr>
          <w:rStyle w:val="FootnoteReference"/>
          <w:sz w:val="22"/>
          <w:szCs w:val="22"/>
        </w:rPr>
        <w:footnoteReference w:id="20"/>
      </w:r>
      <w:r w:rsidRPr="00173B69">
        <w:rPr>
          <w:sz w:val="22"/>
          <w:szCs w:val="22"/>
        </w:rPr>
        <w:t xml:space="preserve"> The Minister of Justice also selects the judges for the disciplinary panels in disciplinary courts.</w:t>
      </w:r>
      <w:r w:rsidRPr="00173B69">
        <w:rPr>
          <w:rStyle w:val="FootnoteReference"/>
          <w:sz w:val="22"/>
          <w:szCs w:val="22"/>
        </w:rPr>
        <w:footnoteReference w:id="21"/>
      </w:r>
      <w:r w:rsidRPr="00173B69">
        <w:rPr>
          <w:sz w:val="22"/>
          <w:szCs w:val="22"/>
        </w:rPr>
        <w:t xml:space="preserve"> </w:t>
      </w:r>
    </w:p>
    <w:p w:rsidRPr="00FD5EE2" w:rsidR="00173B69" w:rsidP="00173B69" w:rsidRDefault="00173B69" w14:paraId="4DA368B8" w14:textId="77777777">
      <w:pPr>
        <w:pStyle w:val="Heading2"/>
        <w:rPr>
          <w:rFonts w:ascii="Amnesty Trade Gothic" w:hAnsi="Amnesty Trade Gothic"/>
          <w:b/>
          <w:sz w:val="22"/>
          <w:szCs w:val="22"/>
          <w:lang w:eastAsia="en-GB"/>
        </w:rPr>
      </w:pPr>
      <w:r w:rsidRPr="00FD5EE2">
        <w:rPr>
          <w:rFonts w:ascii="Amnesty Trade Gothic" w:hAnsi="Amnesty Trade Gothic"/>
          <w:b/>
          <w:sz w:val="22"/>
          <w:szCs w:val="22"/>
          <w:lang w:eastAsia="en-GB"/>
        </w:rPr>
        <w:lastRenderedPageBreak/>
        <w:t>freedom of assembly</w:t>
      </w:r>
    </w:p>
    <w:p w:rsidRPr="00173B69" w:rsidR="00173B69" w:rsidP="00173B69" w:rsidRDefault="00173B69" w14:paraId="10F53A4E" w14:textId="0F2909F5">
      <w:pPr>
        <w:pStyle w:val="AIBodyText"/>
        <w:rPr>
          <w:sz w:val="22"/>
          <w:szCs w:val="22"/>
        </w:rPr>
      </w:pPr>
      <w:r w:rsidRPr="00173B69">
        <w:rPr>
          <w:sz w:val="22"/>
          <w:szCs w:val="22"/>
        </w:rPr>
        <w:t>Amnesty International continues to observe with concern the situation of individuals who have participated in peaceful protests. Thousands of people took to the streets in the summer and winter of 2017 in cities all over Poland, demanding respect for the Constitution, an independent judiciary, and the protection of human rights. Such demonstrations have been met with a set of policing measures that often infringe the right to freedom of peaceful assembly and expression.</w:t>
      </w:r>
      <w:r w:rsidRPr="00173B69">
        <w:rPr>
          <w:rStyle w:val="FootnoteReference"/>
          <w:sz w:val="22"/>
          <w:szCs w:val="22"/>
        </w:rPr>
        <w:footnoteReference w:id="22"/>
      </w:r>
    </w:p>
    <w:p w:rsidRPr="00173B69" w:rsidR="00173B69" w:rsidP="00173B69" w:rsidRDefault="00173B69" w14:paraId="2ACA858C" w14:textId="77777777">
      <w:pPr>
        <w:pStyle w:val="AIBodyText"/>
        <w:rPr>
          <w:sz w:val="22"/>
          <w:szCs w:val="22"/>
          <w:lang w:val="en-US"/>
        </w:rPr>
      </w:pPr>
      <w:r w:rsidRPr="00173B69">
        <w:rPr>
          <w:sz w:val="22"/>
          <w:szCs w:val="22"/>
          <w:lang w:val="en-US"/>
        </w:rPr>
        <w:t>In April 2017, an amendment on the Law on Assemblies entered into force.</w:t>
      </w:r>
      <w:r w:rsidRPr="00173B69">
        <w:rPr>
          <w:sz w:val="22"/>
          <w:szCs w:val="22"/>
          <w:vertAlign w:val="superscript"/>
          <w:lang w:val="en-US"/>
        </w:rPr>
        <w:footnoteReference w:id="23"/>
      </w:r>
      <w:r w:rsidRPr="00173B69">
        <w:rPr>
          <w:sz w:val="22"/>
          <w:szCs w:val="22"/>
          <w:lang w:val="en-US"/>
        </w:rPr>
        <w:t xml:space="preserve"> The law provided that “cyclical demonstrations” organized by the same entity at the same location several times a year had priority over requests for other assemblies at that location and at those times.</w:t>
      </w:r>
      <w:r w:rsidRPr="00173B69">
        <w:rPr>
          <w:rStyle w:val="FootnoteReference"/>
          <w:sz w:val="22"/>
          <w:szCs w:val="22"/>
          <w:lang w:val="en-US"/>
        </w:rPr>
        <w:t xml:space="preserve"> </w:t>
      </w:r>
      <w:r w:rsidRPr="00173B69">
        <w:rPr>
          <w:rStyle w:val="FootnoteReference"/>
          <w:sz w:val="22"/>
          <w:szCs w:val="22"/>
          <w:lang w:val="en-US"/>
        </w:rPr>
        <w:footnoteReference w:id="24"/>
      </w:r>
      <w:r w:rsidRPr="00173B69">
        <w:rPr>
          <w:sz w:val="22"/>
          <w:szCs w:val="22"/>
          <w:lang w:val="en-US"/>
        </w:rPr>
        <w:t xml:space="preserve"> One such “cyclical demonstration” is the annual Independence Day March held in November.</w:t>
      </w:r>
    </w:p>
    <w:p w:rsidRPr="00173B69" w:rsidR="00173B69" w:rsidP="00173B69" w:rsidRDefault="00173B69" w14:paraId="36722314" w14:textId="77777777">
      <w:pPr>
        <w:pStyle w:val="AIBodyText"/>
        <w:rPr>
          <w:sz w:val="22"/>
          <w:szCs w:val="22"/>
          <w:lang w:eastAsia="en-GB"/>
        </w:rPr>
      </w:pPr>
      <w:r w:rsidRPr="00173B69">
        <w:rPr>
          <w:sz w:val="22"/>
          <w:szCs w:val="22"/>
          <w:lang w:eastAsia="en-GB"/>
        </w:rPr>
        <w:t xml:space="preserve">The practical effect of the law on “cyclical” assemblies has led to bans on numerous assemblies in 2017 and 2018. For example, between April 2017 and March 2018, the governor of </w:t>
      </w:r>
      <w:proofErr w:type="spellStart"/>
      <w:r w:rsidRPr="00173B69">
        <w:rPr>
          <w:sz w:val="22"/>
          <w:szCs w:val="22"/>
          <w:lang w:eastAsia="en-GB"/>
        </w:rPr>
        <w:t>Mazowian</w:t>
      </w:r>
      <w:proofErr w:type="spellEnd"/>
      <w:r w:rsidRPr="00173B69">
        <w:rPr>
          <w:sz w:val="22"/>
          <w:szCs w:val="22"/>
          <w:lang w:eastAsia="en-GB"/>
        </w:rPr>
        <w:t xml:space="preserve"> province banned 36 assemblies in Warsaw. The reason given was that the banned assemblies were announced in the same place or in the vicinity of “cyclical” assemblies. States must make reasonable efforts to accommodate all types of peaceful protest; outright bans on one type of protected assembly in favour of another is arbitrary and infringes freedom of assembly and expression. </w:t>
      </w:r>
    </w:p>
    <w:p w:rsidRPr="00173B69" w:rsidR="00173B69" w:rsidP="00173B69" w:rsidRDefault="00173B69" w14:paraId="53B87A3A" w14:textId="77777777">
      <w:pPr>
        <w:pStyle w:val="AIBodyText"/>
        <w:rPr>
          <w:sz w:val="22"/>
          <w:szCs w:val="22"/>
          <w:lang w:eastAsia="en-GB"/>
        </w:rPr>
      </w:pPr>
      <w:r w:rsidRPr="00173B69">
        <w:rPr>
          <w:sz w:val="22"/>
          <w:szCs w:val="22"/>
          <w:lang w:eastAsia="en-GB"/>
        </w:rPr>
        <w:t>Such a double standard is also reflected in the way that law enforcement agencies police protests. Amnesty International has documented several cases (see below) where the police have failed to act to halt harassment or violence from far-right or nationalist groups when it has been directed at protesters. This type of policing appears deliberate, raising concern that state law enforcement actors may favour pro-government and nationalist demonstrations over other types of assemblies.</w:t>
      </w:r>
      <w:r w:rsidRPr="00173B69">
        <w:rPr>
          <w:rStyle w:val="FootnoteReference"/>
          <w:sz w:val="22"/>
          <w:szCs w:val="22"/>
          <w:lang w:eastAsia="en-GB"/>
        </w:rPr>
        <w:footnoteReference w:id="25"/>
      </w:r>
      <w:r w:rsidRPr="00173B69">
        <w:rPr>
          <w:sz w:val="22"/>
          <w:szCs w:val="22"/>
          <w:lang w:eastAsia="en-GB"/>
        </w:rPr>
        <w:t xml:space="preserve"> </w:t>
      </w:r>
    </w:p>
    <w:p w:rsidRPr="00FD5EE2" w:rsidR="00173B69" w:rsidP="00173B69" w:rsidRDefault="00173B69" w14:paraId="6735D33E" w14:textId="77777777">
      <w:pPr>
        <w:pStyle w:val="Heading2"/>
        <w:rPr>
          <w:rFonts w:ascii="Amnesty Trade Gothic" w:hAnsi="Amnesty Trade Gothic"/>
          <w:b/>
          <w:sz w:val="22"/>
          <w:szCs w:val="22"/>
        </w:rPr>
      </w:pPr>
      <w:r w:rsidRPr="00FD5EE2">
        <w:rPr>
          <w:rFonts w:ascii="Amnesty Trade Gothic" w:hAnsi="Amnesty Trade Gothic"/>
          <w:b/>
          <w:sz w:val="22"/>
          <w:szCs w:val="22"/>
        </w:rPr>
        <w:t>Prosecution of 14 women protesters</w:t>
      </w:r>
    </w:p>
    <w:p w:rsidRPr="00173B69" w:rsidR="00173B69" w:rsidP="00173B69" w:rsidRDefault="00173B69" w14:paraId="16F5D901" w14:textId="77777777">
      <w:pPr>
        <w:widowControl/>
        <w:numPr>
          <w:ilvl w:val="0"/>
          <w:numId w:val="1"/>
        </w:numPr>
        <w:tabs>
          <w:tab w:val="clear" w:pos="0"/>
        </w:tabs>
        <w:suppressAutoHyphens w:val="0"/>
        <w:spacing w:after="100" w:afterAutospacing="1" w:line="240" w:lineRule="auto"/>
        <w:outlineLvl w:val="2"/>
        <w:rPr>
          <w:sz w:val="22"/>
          <w:szCs w:val="22"/>
        </w:rPr>
      </w:pPr>
      <w:r w:rsidRPr="00173B69">
        <w:rPr>
          <w:sz w:val="22"/>
          <w:szCs w:val="22"/>
        </w:rPr>
        <w:t>On 11 November 2017, 14 Polish women were attacked during the Independence Day March in Warsaw, in which around 60,000 people took part. The women entered the march holding a banner that read “Stop Fascism” and were verbally abused and physically attacked by nationalist marchers.</w:t>
      </w:r>
      <w:r w:rsidRPr="00173B69">
        <w:rPr>
          <w:rStyle w:val="FootnoteReference"/>
          <w:sz w:val="22"/>
          <w:szCs w:val="22"/>
        </w:rPr>
        <w:footnoteReference w:id="26"/>
      </w:r>
      <w:r w:rsidRPr="00173B69">
        <w:rPr>
          <w:sz w:val="22"/>
          <w:szCs w:val="22"/>
        </w:rPr>
        <w:t xml:space="preserve"> The police did not assist the women.</w:t>
      </w:r>
    </w:p>
    <w:p w:rsidRPr="00173B69" w:rsidR="00173B69" w:rsidP="00173B69" w:rsidRDefault="00173B69" w14:paraId="7092A8EB" w14:textId="77777777">
      <w:pPr>
        <w:pStyle w:val="AIBodyText"/>
        <w:rPr>
          <w:sz w:val="22"/>
          <w:szCs w:val="22"/>
        </w:rPr>
      </w:pPr>
      <w:r w:rsidRPr="00173B69">
        <w:rPr>
          <w:sz w:val="22"/>
          <w:szCs w:val="22"/>
        </w:rPr>
        <w:t xml:space="preserve">The Polish authorities not only failed to protect the women during the march, they opened proceedings against them for “interference with a lawful assembly”. A court ordered the women to pay a fine in October 2018. </w:t>
      </w:r>
    </w:p>
    <w:p w:rsidRPr="00173B69" w:rsidR="00173B69" w:rsidP="00173B69" w:rsidRDefault="00173B69" w14:paraId="456729FE" w14:textId="77777777">
      <w:pPr>
        <w:pStyle w:val="AIBodyText"/>
        <w:rPr>
          <w:sz w:val="22"/>
          <w:szCs w:val="22"/>
          <w:lang w:eastAsia="en-GB"/>
        </w:rPr>
      </w:pPr>
      <w:r w:rsidRPr="00173B69">
        <w:rPr>
          <w:sz w:val="22"/>
          <w:szCs w:val="22"/>
        </w:rPr>
        <w:t xml:space="preserve">The women did attempt to seek a remedy for the violence they endured. The investigation into the women’s abuse at the march ended in September 2018 when the Prosecutor dropped it, claiming that the attackers had not intended to seriously harm the women but were merely “expressing their </w:t>
      </w:r>
      <w:r w:rsidRPr="00173B69">
        <w:rPr>
          <w:sz w:val="22"/>
          <w:szCs w:val="22"/>
        </w:rPr>
        <w:lastRenderedPageBreak/>
        <w:t>displeasure” that the women had joined the march.</w:t>
      </w:r>
      <w:r w:rsidRPr="00173B69">
        <w:rPr>
          <w:rStyle w:val="FootnoteReference"/>
          <w:sz w:val="22"/>
          <w:szCs w:val="22"/>
        </w:rPr>
        <w:footnoteReference w:id="27"/>
      </w:r>
      <w:r w:rsidRPr="00173B69">
        <w:rPr>
          <w:sz w:val="22"/>
          <w:szCs w:val="22"/>
        </w:rPr>
        <w:t xml:space="preserve"> Whilst she acknowledged that the assault and the insults qualified as criminal offences, the Prosecutor concluded that there was no public interest in continuing the case and recommended that the women pursue private prosecution. Amnesty International has called on Poland’s Minister of Justice to ensure justice for the 14 women.</w:t>
      </w:r>
      <w:r w:rsidRPr="00173B69">
        <w:rPr>
          <w:rStyle w:val="FootnoteReference"/>
          <w:sz w:val="22"/>
          <w:szCs w:val="22"/>
        </w:rPr>
        <w:footnoteReference w:id="28"/>
      </w:r>
    </w:p>
    <w:p w:rsidRPr="00D45B4B" w:rsidR="00D45B4B" w:rsidP="00054FA5" w:rsidRDefault="00D45B4B" w14:paraId="6EAC0049" w14:textId="77777777">
      <w:pPr>
        <w:pStyle w:val="NormalWeb"/>
        <w:spacing w:before="120" w:beforeAutospacing="0" w:after="120" w:afterAutospacing="0"/>
        <w:rPr>
          <w:b/>
        </w:rPr>
      </w:pPr>
    </w:p>
    <w:p w:rsidRPr="00D45B4B" w:rsidR="006F1733" w:rsidP="00054FA5" w:rsidRDefault="00D45B4B" w14:paraId="2B4884D9" w14:textId="448CF551">
      <w:pPr>
        <w:pStyle w:val="NormalWeb"/>
        <w:spacing w:before="120" w:beforeAutospacing="0" w:after="120" w:afterAutospacing="0"/>
        <w:rPr>
          <w:b/>
        </w:rPr>
      </w:pPr>
      <w:r w:rsidRPr="00D45B4B">
        <w:rPr>
          <w:b/>
        </w:rPr>
        <w:t>KEY RECOMMENDATIONS TO DUTCH AUTHORITIES</w:t>
      </w:r>
    </w:p>
    <w:p w:rsidRPr="00DC1B16" w:rsidR="00DC1B16" w:rsidP="00DC1B16" w:rsidRDefault="006F1733" w14:paraId="1F3A654C" w14:textId="71B1D3C4">
      <w:pPr>
        <w:pStyle w:val="NormalWeb"/>
        <w:spacing w:before="120" w:beforeAutospacing="0" w:after="120" w:afterAutospacing="0"/>
        <w:rPr>
          <w:rFonts w:ascii="Amnesty Trade Gothic" w:hAnsi="Amnesty Trade Gothic"/>
          <w:sz w:val="22"/>
          <w:szCs w:val="22"/>
        </w:rPr>
      </w:pPr>
      <w:r>
        <w:rPr>
          <w:rFonts w:ascii="Amnesty Trade Gothic" w:hAnsi="Amnesty Trade Gothic"/>
          <w:sz w:val="22"/>
          <w:szCs w:val="22"/>
        </w:rPr>
        <w:t xml:space="preserve"> </w:t>
      </w:r>
    </w:p>
    <w:p w:rsidRPr="00DC1B16" w:rsidR="00DC1B16" w:rsidP="00DC1B16" w:rsidRDefault="00DC1B16" w14:paraId="07AC9A1E" w14:textId="2CFE5698">
      <w:pPr>
        <w:shd w:val="clear" w:color="auto" w:fill="FFFFFF"/>
        <w:spacing w:line="330" w:lineRule="atLeast"/>
        <w:rPr>
          <w:rFonts w:cs="Segoe UI"/>
          <w:b/>
          <w:color w:val="212121"/>
          <w:sz w:val="22"/>
          <w:szCs w:val="22"/>
        </w:rPr>
      </w:pPr>
      <w:r w:rsidRPr="00DC1B16">
        <w:rPr>
          <w:rFonts w:cs="Segoe UI"/>
          <w:b/>
          <w:color w:val="333333"/>
          <w:sz w:val="22"/>
          <w:szCs w:val="22"/>
        </w:rPr>
        <w:t>Concerning attacks on civil society</w:t>
      </w:r>
      <w:r w:rsidR="008443EB">
        <w:rPr>
          <w:rFonts w:cs="Segoe UI"/>
          <w:b/>
          <w:color w:val="333333"/>
          <w:sz w:val="22"/>
          <w:szCs w:val="22"/>
        </w:rPr>
        <w:t xml:space="preserve"> and independence of judiciary</w:t>
      </w:r>
    </w:p>
    <w:p w:rsidRPr="00E346AA" w:rsidR="00DC1B16" w:rsidP="00DC1B16" w:rsidRDefault="00DC1B16" w14:paraId="03A11A56" w14:textId="6EF109B5">
      <w:pPr>
        <w:pStyle w:val="ListParagraph"/>
        <w:widowControl/>
        <w:numPr>
          <w:ilvl w:val="0"/>
          <w:numId w:val="44"/>
        </w:numPr>
        <w:shd w:val="clear" w:color="auto" w:fill="FFFFFF"/>
        <w:suppressAutoHyphens w:val="0"/>
        <w:spacing w:after="0" w:line="330" w:lineRule="atLeast"/>
        <w:rPr>
          <w:rFonts w:cs="Segoe UI"/>
          <w:color w:val="212121"/>
          <w:sz w:val="22"/>
          <w:szCs w:val="22"/>
        </w:rPr>
      </w:pPr>
      <w:r w:rsidRPr="00E346AA">
        <w:rPr>
          <w:rFonts w:cs="Segoe UI"/>
          <w:color w:val="333333"/>
          <w:sz w:val="22"/>
          <w:szCs w:val="22"/>
        </w:rPr>
        <w:t>Publicly support civil society organizations (such as Amnesty International, Helsinki Committee</w:t>
      </w:r>
      <w:r>
        <w:rPr>
          <w:rFonts w:cs="Segoe UI"/>
          <w:color w:val="333333"/>
          <w:sz w:val="22"/>
          <w:szCs w:val="22"/>
        </w:rPr>
        <w:t>/Foundation</w:t>
      </w:r>
      <w:r w:rsidR="00E947A9">
        <w:rPr>
          <w:rFonts w:cs="Segoe UI"/>
          <w:color w:val="333333"/>
          <w:sz w:val="22"/>
          <w:szCs w:val="22"/>
        </w:rPr>
        <w:t xml:space="preserve"> for Human Rights</w:t>
      </w:r>
      <w:r w:rsidRPr="00E346AA">
        <w:rPr>
          <w:rFonts w:cs="Segoe UI"/>
          <w:color w:val="333333"/>
          <w:sz w:val="22"/>
          <w:szCs w:val="22"/>
        </w:rPr>
        <w:t>,</w:t>
      </w:r>
      <w:r w:rsidR="00E947A9">
        <w:rPr>
          <w:rFonts w:cs="Segoe UI"/>
          <w:color w:val="333333"/>
          <w:sz w:val="22"/>
          <w:szCs w:val="22"/>
        </w:rPr>
        <w:t xml:space="preserve"> Association for Legal Intervention (SIP)</w:t>
      </w:r>
      <w:r w:rsidRPr="00E346AA">
        <w:rPr>
          <w:rFonts w:cs="Segoe UI"/>
          <w:color w:val="333333"/>
          <w:sz w:val="22"/>
          <w:szCs w:val="22"/>
        </w:rPr>
        <w:t xml:space="preserve"> Civil Libert</w:t>
      </w:r>
      <w:r>
        <w:rPr>
          <w:rFonts w:cs="Segoe UI"/>
          <w:color w:val="333333"/>
          <w:sz w:val="22"/>
          <w:szCs w:val="22"/>
        </w:rPr>
        <w:t>ies</w:t>
      </w:r>
      <w:r w:rsidRPr="00E346AA">
        <w:rPr>
          <w:rFonts w:cs="Segoe UI"/>
          <w:color w:val="333333"/>
          <w:sz w:val="22"/>
          <w:szCs w:val="22"/>
        </w:rPr>
        <w:t xml:space="preserve"> Union and others) and human rights defenders in Hungary and Poland and affirm the legitimate and crucial role of the work they carry out;</w:t>
      </w:r>
    </w:p>
    <w:p w:rsidRPr="00E346AA" w:rsidR="00DC1B16" w:rsidP="00DC1B16" w:rsidRDefault="00DC1B16" w14:paraId="567C19E0" w14:textId="4F4AA556">
      <w:pPr>
        <w:pStyle w:val="ListParagraph"/>
        <w:widowControl/>
        <w:numPr>
          <w:ilvl w:val="0"/>
          <w:numId w:val="44"/>
        </w:numPr>
        <w:shd w:val="clear" w:color="auto" w:fill="FFFFFF"/>
        <w:suppressAutoHyphens w:val="0"/>
        <w:spacing w:after="0" w:line="330" w:lineRule="atLeast"/>
        <w:rPr>
          <w:rFonts w:cs="Segoe UI"/>
          <w:color w:val="212121"/>
          <w:sz w:val="22"/>
          <w:szCs w:val="22"/>
        </w:rPr>
      </w:pPr>
      <w:r w:rsidRPr="00E346AA">
        <w:rPr>
          <w:rFonts w:cs="Segoe UI"/>
          <w:color w:val="333333"/>
          <w:sz w:val="22"/>
          <w:szCs w:val="22"/>
        </w:rPr>
        <w:t xml:space="preserve">Put pressure on the governments in Hungary and Poland to repeal restrictive legislation </w:t>
      </w:r>
      <w:r w:rsidR="00ED29D0">
        <w:rPr>
          <w:rFonts w:cs="Segoe UI"/>
          <w:color w:val="333333"/>
          <w:sz w:val="22"/>
          <w:szCs w:val="22"/>
        </w:rPr>
        <w:t xml:space="preserve">and policies </w:t>
      </w:r>
      <w:r w:rsidRPr="00E346AA">
        <w:rPr>
          <w:rFonts w:cs="Segoe UI"/>
          <w:color w:val="333333"/>
          <w:sz w:val="22"/>
          <w:szCs w:val="22"/>
        </w:rPr>
        <w:t>that infringe the right to freedom of association</w:t>
      </w:r>
      <w:r w:rsidR="008443EB">
        <w:rPr>
          <w:rFonts w:cs="Segoe UI"/>
          <w:color w:val="333333"/>
          <w:sz w:val="22"/>
          <w:szCs w:val="22"/>
        </w:rPr>
        <w:t xml:space="preserve"> and assembly</w:t>
      </w:r>
      <w:r w:rsidRPr="00E346AA">
        <w:rPr>
          <w:rFonts w:cs="Segoe UI"/>
          <w:color w:val="333333"/>
          <w:sz w:val="22"/>
          <w:szCs w:val="22"/>
        </w:rPr>
        <w:t xml:space="preserve"> and imposes undue restrictions on the work of human rights defenders and civil society organisations;</w:t>
      </w:r>
    </w:p>
    <w:p w:rsidRPr="00E346AA" w:rsidR="008443EB" w:rsidP="008443EB" w:rsidRDefault="008443EB" w14:paraId="344CDFF5" w14:textId="77777777">
      <w:pPr>
        <w:pStyle w:val="ListParagraph"/>
        <w:widowControl/>
        <w:numPr>
          <w:ilvl w:val="0"/>
          <w:numId w:val="44"/>
        </w:numPr>
        <w:shd w:val="clear" w:color="auto" w:fill="FFFFFF"/>
        <w:suppressAutoHyphens w:val="0"/>
        <w:spacing w:after="0" w:line="330" w:lineRule="atLeast"/>
        <w:rPr>
          <w:rFonts w:cs="Segoe UI"/>
          <w:color w:val="212121"/>
          <w:sz w:val="22"/>
          <w:szCs w:val="22"/>
        </w:rPr>
      </w:pPr>
      <w:r w:rsidRPr="00E346AA">
        <w:rPr>
          <w:rFonts w:cs="Segoe UI"/>
          <w:color w:val="333333"/>
          <w:sz w:val="22"/>
          <w:szCs w:val="22"/>
        </w:rPr>
        <w:t xml:space="preserve">Put pressure on the governments in Hungary and Poland to repeal, or substantially amend, legislation that undermines </w:t>
      </w:r>
      <w:r>
        <w:rPr>
          <w:rFonts w:cs="Segoe UI"/>
          <w:color w:val="333333"/>
          <w:sz w:val="22"/>
          <w:szCs w:val="22"/>
        </w:rPr>
        <w:t xml:space="preserve">the </w:t>
      </w:r>
      <w:r w:rsidRPr="00E346AA">
        <w:rPr>
          <w:rFonts w:cs="Segoe UI"/>
          <w:color w:val="333333"/>
          <w:sz w:val="22"/>
          <w:szCs w:val="22"/>
        </w:rPr>
        <w:t>independence of judiciary</w:t>
      </w:r>
      <w:r>
        <w:rPr>
          <w:rFonts w:cs="Segoe UI"/>
          <w:color w:val="333333"/>
          <w:sz w:val="22"/>
          <w:szCs w:val="22"/>
        </w:rPr>
        <w:t>.</w:t>
      </w:r>
    </w:p>
    <w:p w:rsidRPr="00E346AA" w:rsidR="00DC1B16" w:rsidP="00DC1B16" w:rsidRDefault="00DC1B16" w14:paraId="0DEBF64F" w14:textId="77777777">
      <w:pPr>
        <w:shd w:val="clear" w:color="auto" w:fill="FFFFFF"/>
        <w:spacing w:line="330" w:lineRule="atLeast"/>
        <w:rPr>
          <w:sz w:val="22"/>
          <w:szCs w:val="22"/>
        </w:rPr>
      </w:pPr>
    </w:p>
    <w:p w:rsidRPr="00DC1B16" w:rsidR="00DC1B16" w:rsidP="00DC1B16" w:rsidRDefault="00DC1B16" w14:paraId="3054E5C7" w14:textId="77777777">
      <w:pPr>
        <w:shd w:val="clear" w:color="auto" w:fill="FFFFFF"/>
        <w:spacing w:line="330" w:lineRule="atLeast"/>
        <w:rPr>
          <w:rFonts w:cs="Segoe UI"/>
          <w:b/>
          <w:color w:val="212121"/>
          <w:sz w:val="22"/>
          <w:szCs w:val="22"/>
        </w:rPr>
      </w:pPr>
      <w:r w:rsidRPr="00DC1B16">
        <w:rPr>
          <w:rFonts w:cs="Segoe UI"/>
          <w:b/>
          <w:color w:val="333333"/>
          <w:sz w:val="22"/>
          <w:szCs w:val="22"/>
        </w:rPr>
        <w:t>Concerning proceedings related to Article 7, Treaty of the European Union (TEU)  </w:t>
      </w:r>
    </w:p>
    <w:p w:rsidRPr="00E346AA" w:rsidR="00DC1B16" w:rsidP="00DC1B16" w:rsidRDefault="00DC1B16" w14:paraId="2CC5E5FE" w14:textId="77777777">
      <w:pPr>
        <w:shd w:val="clear" w:color="auto" w:fill="FFFFFF"/>
        <w:spacing w:line="330" w:lineRule="atLeast"/>
        <w:rPr>
          <w:rFonts w:cs="Segoe UI"/>
          <w:color w:val="212121"/>
          <w:sz w:val="22"/>
          <w:szCs w:val="22"/>
        </w:rPr>
      </w:pPr>
      <w:r w:rsidRPr="00E346AA">
        <w:rPr>
          <w:rFonts w:cs="Segoe UI"/>
          <w:color w:val="212121"/>
          <w:sz w:val="22"/>
          <w:szCs w:val="22"/>
        </w:rPr>
        <w:t xml:space="preserve">Coordinate with </w:t>
      </w:r>
      <w:r>
        <w:rPr>
          <w:rFonts w:cs="Segoe UI"/>
          <w:color w:val="212121"/>
          <w:sz w:val="22"/>
          <w:szCs w:val="22"/>
        </w:rPr>
        <w:t xml:space="preserve">the </w:t>
      </w:r>
      <w:r w:rsidRPr="00E346AA">
        <w:rPr>
          <w:rFonts w:cs="Segoe UI"/>
          <w:color w:val="212121"/>
          <w:sz w:val="22"/>
          <w:szCs w:val="22"/>
        </w:rPr>
        <w:t>Dutch Ministry of Foreign Affairs to use their presence in the EU General Affairs Council (GAC) to advance discussions around Article 7 proceedings on Hungary and Poland:</w:t>
      </w:r>
    </w:p>
    <w:p w:rsidRPr="00E346AA" w:rsidR="00DC1B16" w:rsidP="00DC1B16" w:rsidRDefault="00DC1B16" w14:paraId="3F150AA1" w14:textId="77777777">
      <w:pPr>
        <w:pStyle w:val="ListParagraph"/>
        <w:widowControl/>
        <w:numPr>
          <w:ilvl w:val="0"/>
          <w:numId w:val="45"/>
        </w:numPr>
        <w:shd w:val="clear" w:color="auto" w:fill="FFFFFF"/>
        <w:suppressAutoHyphens w:val="0"/>
        <w:spacing w:after="0" w:line="330" w:lineRule="atLeast"/>
        <w:rPr>
          <w:rFonts w:cs="Segoe UI"/>
          <w:color w:val="212121"/>
          <w:sz w:val="22"/>
          <w:szCs w:val="22"/>
        </w:rPr>
      </w:pPr>
      <w:r w:rsidRPr="00E346AA">
        <w:rPr>
          <w:rFonts w:cs="Segoe UI"/>
          <w:color w:val="212121"/>
          <w:sz w:val="22"/>
          <w:szCs w:val="22"/>
        </w:rPr>
        <w:t xml:space="preserve">Encourage </w:t>
      </w:r>
      <w:r>
        <w:rPr>
          <w:rFonts w:cs="Segoe UI"/>
          <w:color w:val="212121"/>
          <w:sz w:val="22"/>
          <w:szCs w:val="22"/>
        </w:rPr>
        <w:t xml:space="preserve">the </w:t>
      </w:r>
      <w:r w:rsidRPr="00E346AA">
        <w:rPr>
          <w:rFonts w:cs="Segoe UI"/>
          <w:color w:val="212121"/>
          <w:sz w:val="22"/>
          <w:szCs w:val="22"/>
        </w:rPr>
        <w:t>Dutch Government to coordinate with governments of other Member States to advance proceedings on Article 7 on Hungary by initiating hearings with Hungarian authorities to discuss concerns raised in the report adopted by the European Parliament in September</w:t>
      </w:r>
      <w:r>
        <w:rPr>
          <w:rFonts w:cs="Segoe UI"/>
          <w:color w:val="212121"/>
          <w:sz w:val="22"/>
          <w:szCs w:val="22"/>
        </w:rPr>
        <w:t xml:space="preserve"> 2018</w:t>
      </w:r>
      <w:r w:rsidRPr="00E346AA">
        <w:rPr>
          <w:rFonts w:cs="Segoe UI"/>
          <w:color w:val="212121"/>
          <w:sz w:val="22"/>
          <w:szCs w:val="22"/>
        </w:rPr>
        <w:t>;</w:t>
      </w:r>
    </w:p>
    <w:p w:rsidRPr="00E01D9B" w:rsidR="00054FA5" w:rsidP="00E01D9B" w:rsidRDefault="00DC1B16" w14:paraId="602661DA" w14:textId="2C598D2A">
      <w:pPr>
        <w:pStyle w:val="NormalWeb"/>
        <w:numPr>
          <w:ilvl w:val="0"/>
          <w:numId w:val="45"/>
        </w:numPr>
        <w:spacing w:before="120" w:beforeAutospacing="0" w:after="120" w:afterAutospacing="0"/>
        <w:rPr>
          <w:rFonts w:ascii="Amnesty Trade Gothic" w:hAnsi="Amnesty Trade Gothic"/>
          <w:sz w:val="22"/>
          <w:szCs w:val="22"/>
        </w:rPr>
      </w:pPr>
      <w:r w:rsidRPr="00E346AA">
        <w:rPr>
          <w:rFonts w:ascii="Amnesty Trade Gothic" w:hAnsi="Amnesty Trade Gothic" w:cs="Segoe UI"/>
          <w:color w:val="212121"/>
          <w:sz w:val="22"/>
          <w:szCs w:val="22"/>
        </w:rPr>
        <w:t xml:space="preserve">Encourage </w:t>
      </w:r>
      <w:r>
        <w:rPr>
          <w:rFonts w:ascii="Amnesty Trade Gothic" w:hAnsi="Amnesty Trade Gothic" w:cs="Segoe UI"/>
          <w:color w:val="212121"/>
          <w:sz w:val="22"/>
          <w:szCs w:val="22"/>
        </w:rPr>
        <w:t xml:space="preserve">the </w:t>
      </w:r>
      <w:r w:rsidRPr="00E346AA">
        <w:rPr>
          <w:rFonts w:ascii="Amnesty Trade Gothic" w:hAnsi="Amnesty Trade Gothic" w:cs="Segoe UI"/>
          <w:color w:val="212121"/>
          <w:sz w:val="22"/>
          <w:szCs w:val="22"/>
        </w:rPr>
        <w:t xml:space="preserve">Dutch Government to coordinate with governments of other Member States to continue </w:t>
      </w:r>
      <w:r>
        <w:rPr>
          <w:rFonts w:ascii="Amnesty Trade Gothic" w:hAnsi="Amnesty Trade Gothic" w:cs="Segoe UI"/>
          <w:color w:val="212121"/>
          <w:sz w:val="22"/>
          <w:szCs w:val="22"/>
        </w:rPr>
        <w:t xml:space="preserve">Article 7 </w:t>
      </w:r>
      <w:r w:rsidRPr="00E346AA">
        <w:rPr>
          <w:rFonts w:ascii="Amnesty Trade Gothic" w:hAnsi="Amnesty Trade Gothic" w:cs="Segoe UI"/>
          <w:color w:val="212121"/>
          <w:sz w:val="22"/>
          <w:szCs w:val="22"/>
        </w:rPr>
        <w:t>proceedings on Poland</w:t>
      </w:r>
      <w:r>
        <w:rPr>
          <w:rFonts w:ascii="Amnesty Trade Gothic" w:hAnsi="Amnesty Trade Gothic" w:cs="Segoe UI"/>
          <w:color w:val="212121"/>
          <w:sz w:val="22"/>
          <w:szCs w:val="22"/>
        </w:rPr>
        <w:t>,</w:t>
      </w:r>
      <w:r w:rsidRPr="00E346AA">
        <w:rPr>
          <w:rFonts w:ascii="Amnesty Trade Gothic" w:hAnsi="Amnesty Trade Gothic" w:cs="Segoe UI"/>
          <w:color w:val="212121"/>
          <w:sz w:val="22"/>
          <w:szCs w:val="22"/>
        </w:rPr>
        <w:t xml:space="preserve"> </w:t>
      </w:r>
      <w:r>
        <w:rPr>
          <w:rFonts w:ascii="Amnesty Trade Gothic" w:hAnsi="Amnesty Trade Gothic" w:cs="Segoe UI"/>
          <w:color w:val="212121"/>
          <w:sz w:val="22"/>
          <w:szCs w:val="22"/>
        </w:rPr>
        <w:t xml:space="preserve">in order </w:t>
      </w:r>
      <w:r w:rsidRPr="00E346AA">
        <w:rPr>
          <w:rFonts w:ascii="Amnesty Trade Gothic" w:hAnsi="Amnesty Trade Gothic" w:cs="Segoe UI"/>
          <w:color w:val="212121"/>
          <w:sz w:val="22"/>
          <w:szCs w:val="22"/>
        </w:rPr>
        <w:t xml:space="preserve">to debate </w:t>
      </w:r>
      <w:r w:rsidR="00ED29D0">
        <w:rPr>
          <w:rFonts w:ascii="Amnesty Trade Gothic" w:hAnsi="Amnesty Trade Gothic" w:cs="Segoe UI"/>
          <w:color w:val="212121"/>
          <w:sz w:val="22"/>
          <w:szCs w:val="22"/>
        </w:rPr>
        <w:t xml:space="preserve">and address concerns over continuing </w:t>
      </w:r>
      <w:r w:rsidR="008443EB">
        <w:rPr>
          <w:rFonts w:ascii="Amnesty Trade Gothic" w:hAnsi="Amnesty Trade Gothic" w:cs="Segoe UI"/>
          <w:color w:val="212121"/>
          <w:sz w:val="22"/>
          <w:szCs w:val="22"/>
        </w:rPr>
        <w:t>erosion</w:t>
      </w:r>
      <w:r w:rsidR="00ED29D0">
        <w:rPr>
          <w:rFonts w:ascii="Amnesty Trade Gothic" w:hAnsi="Amnesty Trade Gothic" w:cs="Segoe UI"/>
          <w:color w:val="212121"/>
          <w:sz w:val="22"/>
          <w:szCs w:val="22"/>
        </w:rPr>
        <w:t xml:space="preserve"> of the rule of law</w:t>
      </w:r>
      <w:r>
        <w:rPr>
          <w:rFonts w:ascii="Amnesty Trade Gothic" w:hAnsi="Amnesty Trade Gothic" w:cs="Segoe UI"/>
          <w:color w:val="212121"/>
          <w:sz w:val="22"/>
          <w:szCs w:val="22"/>
        </w:rPr>
        <w:t xml:space="preserve">; </w:t>
      </w:r>
      <w:r w:rsidRPr="00E346AA">
        <w:rPr>
          <w:rFonts w:ascii="Amnesty Trade Gothic" w:hAnsi="Amnesty Trade Gothic" w:cs="Segoe UI"/>
          <w:color w:val="212121"/>
          <w:sz w:val="22"/>
          <w:szCs w:val="22"/>
        </w:rPr>
        <w:t xml:space="preserve">urge </w:t>
      </w:r>
      <w:r>
        <w:rPr>
          <w:rFonts w:ascii="Amnesty Trade Gothic" w:hAnsi="Amnesty Trade Gothic" w:cs="Segoe UI"/>
          <w:color w:val="212121"/>
          <w:sz w:val="22"/>
          <w:szCs w:val="22"/>
        </w:rPr>
        <w:t xml:space="preserve">the </w:t>
      </w:r>
      <w:r w:rsidRPr="00E346AA">
        <w:rPr>
          <w:rFonts w:ascii="Amnesty Trade Gothic" w:hAnsi="Amnesty Trade Gothic" w:cs="Segoe UI"/>
          <w:color w:val="212121"/>
          <w:sz w:val="22"/>
          <w:szCs w:val="22"/>
        </w:rPr>
        <w:t xml:space="preserve">Polish authorities to address </w:t>
      </w:r>
      <w:r w:rsidR="00ED29D0">
        <w:rPr>
          <w:rFonts w:ascii="Amnesty Trade Gothic" w:hAnsi="Amnesty Trade Gothic" w:cs="Segoe UI"/>
          <w:color w:val="212121"/>
          <w:sz w:val="22"/>
          <w:szCs w:val="22"/>
        </w:rPr>
        <w:t xml:space="preserve">and implement </w:t>
      </w:r>
      <w:r w:rsidRPr="00E346AA">
        <w:rPr>
          <w:rFonts w:ascii="Amnesty Trade Gothic" w:hAnsi="Amnesty Trade Gothic" w:cs="Segoe UI"/>
          <w:color w:val="212121"/>
          <w:sz w:val="22"/>
          <w:szCs w:val="22"/>
        </w:rPr>
        <w:t xml:space="preserve">all </w:t>
      </w:r>
      <w:r>
        <w:rPr>
          <w:rFonts w:ascii="Amnesty Trade Gothic" w:hAnsi="Amnesty Trade Gothic" w:cs="Segoe UI"/>
          <w:color w:val="212121"/>
          <w:sz w:val="22"/>
          <w:szCs w:val="22"/>
        </w:rPr>
        <w:t xml:space="preserve">the </w:t>
      </w:r>
      <w:r w:rsidRPr="00E346AA">
        <w:rPr>
          <w:rFonts w:ascii="Amnesty Trade Gothic" w:hAnsi="Amnesty Trade Gothic" w:cs="Segoe UI"/>
          <w:color w:val="212121"/>
          <w:sz w:val="22"/>
          <w:szCs w:val="22"/>
        </w:rPr>
        <w:t>European Commission’s recommendations</w:t>
      </w:r>
      <w:r>
        <w:rPr>
          <w:rFonts w:ascii="Amnesty Trade Gothic" w:hAnsi="Amnesty Trade Gothic" w:cs="Segoe UI"/>
          <w:color w:val="212121"/>
          <w:sz w:val="22"/>
          <w:szCs w:val="22"/>
        </w:rPr>
        <w:t>; and make urgent calls, for example, for an immediate end to the harassment of Polish judges</w:t>
      </w:r>
      <w:r w:rsidR="00E01D9B">
        <w:rPr>
          <w:rFonts w:ascii="Amnesty Trade Gothic" w:hAnsi="Amnesty Trade Gothic" w:cs="Segoe UI"/>
          <w:color w:val="212121"/>
          <w:sz w:val="22"/>
          <w:szCs w:val="22"/>
        </w:rPr>
        <w:t>.</w:t>
      </w:r>
    </w:p>
    <w:p w:rsidRPr="004B4BA0" w:rsidR="00054FA5" w:rsidP="00054FA5" w:rsidRDefault="00054FA5" w14:paraId="1CEE1A6A" w14:textId="77777777">
      <w:pPr>
        <w:pStyle w:val="Default"/>
        <w:rPr>
          <w:rFonts w:cs="Times New Roman"/>
          <w:color w:val="auto"/>
          <w:sz w:val="22"/>
          <w:szCs w:val="22"/>
        </w:rPr>
      </w:pPr>
    </w:p>
    <w:p w:rsidRPr="00386EC9" w:rsidR="00054FA5" w:rsidP="00054FA5" w:rsidRDefault="00054FA5" w14:paraId="1C243A33" w14:textId="77777777">
      <w:pPr>
        <w:pStyle w:val="Default"/>
        <w:ind w:left="720"/>
        <w:rPr>
          <w:rFonts w:ascii="Times New Roman" w:hAnsi="Times New Roman" w:cs="Times New Roman"/>
          <w:color w:val="auto"/>
          <w:sz w:val="20"/>
          <w:szCs w:val="20"/>
        </w:rPr>
      </w:pPr>
    </w:p>
    <w:p w:rsidR="00054FA5" w:rsidP="00054FA5" w:rsidRDefault="00054FA5" w14:paraId="34D97997" w14:textId="77777777">
      <w:pPr>
        <w:pStyle w:val="Default"/>
        <w:ind w:left="720"/>
        <w:rPr>
          <w:sz w:val="20"/>
          <w:szCs w:val="20"/>
        </w:rPr>
      </w:pPr>
    </w:p>
    <w:p w:rsidRPr="005D07DE" w:rsidR="00054FA5" w:rsidP="00054FA5" w:rsidRDefault="00054FA5" w14:paraId="161A5F23" w14:textId="77777777">
      <w:pPr>
        <w:widowControl/>
        <w:suppressAutoHyphens w:val="0"/>
        <w:autoSpaceDE w:val="0"/>
        <w:autoSpaceDN w:val="0"/>
        <w:adjustRightInd w:val="0"/>
        <w:spacing w:after="0" w:line="240" w:lineRule="auto"/>
        <w:rPr>
          <w:rFonts w:ascii="Times New Roman" w:hAnsi="Times New Roman"/>
          <w:sz w:val="24"/>
          <w:lang w:eastAsia="en-GB"/>
        </w:rPr>
      </w:pPr>
    </w:p>
    <w:p w:rsidR="00054FA5" w:rsidP="00054FA5" w:rsidRDefault="00054FA5" w14:paraId="0CC08DEC" w14:textId="77777777">
      <w:pPr>
        <w:pStyle w:val="Default"/>
        <w:rPr>
          <w:sz w:val="20"/>
          <w:szCs w:val="20"/>
        </w:rPr>
      </w:pPr>
    </w:p>
    <w:p w:rsidRPr="00D26B22" w:rsidR="00054FA5" w:rsidP="00054FA5" w:rsidRDefault="00054FA5" w14:paraId="52113FCB" w14:textId="77777777"/>
    <w:p w:rsidRPr="00F557FE" w:rsidR="00054FA5" w:rsidP="00054FA5" w:rsidRDefault="00054FA5" w14:paraId="2A17E13A" w14:textId="77777777">
      <w:pPr>
        <w:rPr>
          <w:rFonts w:ascii="Calibri" w:hAnsi="Calibri"/>
          <w:b/>
          <w:bCs/>
          <w:color w:val="auto"/>
          <w:sz w:val="22"/>
          <w:szCs w:val="22"/>
          <w:lang w:eastAsia="en-US"/>
        </w:rPr>
      </w:pPr>
    </w:p>
    <w:sectPr w:rsidRPr="00F557FE" w:rsidR="00054FA5" w:rsidSect="00F84493">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1900" w:h="16837" w:code="9"/>
      <w:pgMar w:top="1440" w:right="1080" w:bottom="1440" w:left="1080" w:header="709" w:footer="709"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6FD9F" w14:textId="77777777" w:rsidR="00C20293" w:rsidRDefault="00C20293">
      <w:r>
        <w:separator/>
      </w:r>
    </w:p>
  </w:endnote>
  <w:endnote w:type="continuationSeparator" w:id="0">
    <w:p w14:paraId="658AAA15" w14:textId="77777777" w:rsidR="00C20293" w:rsidRDefault="00C20293">
      <w:r>
        <w:continuationSeparator/>
      </w:r>
    </w:p>
  </w:endnote>
  <w:endnote w:type="continuationNotice" w:id="1">
    <w:p w14:paraId="413AD278" w14:textId="77777777" w:rsidR="00C20293" w:rsidRDefault="00C20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nesty Trade Gothic">
    <w:altName w:val="Amnesty Trade Gothic"/>
    <w:panose1 w:val="020B05030403030200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Light">
    <w:panose1 w:val="020B0403040303020004"/>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mnesty Trade Gothic Cn">
    <w:altName w:val="Amnesty Trade Gothic"/>
    <w:panose1 w:val="020B0506040303020004"/>
    <w:charset w:val="00"/>
    <w:family w:val="swiss"/>
    <w:pitch w:val="variable"/>
    <w:sig w:usb0="800000AF" w:usb1="5000204A" w:usb2="00000000" w:usb3="00000000" w:csb0="0000009B" w:csb1="00000000"/>
  </w:font>
  <w:font w:name="Segoe UI">
    <w:altName w:val="Calibr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B6D4" w14:textId="77777777" w:rsidR="00E947A9" w:rsidRDefault="00E9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311490"/>
      <w:docPartObj>
        <w:docPartGallery w:val="Page Numbers (Bottom of Page)"/>
        <w:docPartUnique/>
      </w:docPartObj>
    </w:sdtPr>
    <w:sdtEndPr>
      <w:rPr>
        <w:noProof/>
      </w:rPr>
    </w:sdtEndPr>
    <w:sdtContent>
      <w:p w14:paraId="5DBDA4D1" w14:textId="055CFCA8" w:rsidR="00844B17" w:rsidRDefault="00844B17">
        <w:pPr>
          <w:pStyle w:val="Footer"/>
          <w:jc w:val="right"/>
        </w:pPr>
        <w:r>
          <w:fldChar w:fldCharType="begin"/>
        </w:r>
        <w:r>
          <w:instrText xml:space="preserve"> PAGE   \* MERGEFORMAT </w:instrText>
        </w:r>
        <w:r>
          <w:fldChar w:fldCharType="separate"/>
        </w:r>
        <w:r w:rsidR="00E01D9B">
          <w:rPr>
            <w:noProof/>
          </w:rPr>
          <w:t>1</w:t>
        </w:r>
        <w:r>
          <w:rPr>
            <w:noProof/>
          </w:rPr>
          <w:fldChar w:fldCharType="end"/>
        </w:r>
      </w:p>
    </w:sdtContent>
  </w:sdt>
  <w:p w14:paraId="119191A3" w14:textId="05F6879F" w:rsidR="00844B17" w:rsidRDefault="00844B17" w:rsidP="509A1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54C2" w14:textId="77777777" w:rsidR="00E947A9" w:rsidRDefault="00E9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A988E" w14:textId="77777777" w:rsidR="00C20293" w:rsidRDefault="00C20293">
      <w:r>
        <w:separator/>
      </w:r>
    </w:p>
  </w:footnote>
  <w:footnote w:type="continuationSeparator" w:id="0">
    <w:p w14:paraId="7770238D" w14:textId="77777777" w:rsidR="00C20293" w:rsidRDefault="00C20293">
      <w:r>
        <w:continuationSeparator/>
      </w:r>
    </w:p>
  </w:footnote>
  <w:footnote w:type="continuationNotice" w:id="1">
    <w:p w14:paraId="334ED650" w14:textId="77777777" w:rsidR="00C20293" w:rsidRDefault="00C20293">
      <w:pPr>
        <w:spacing w:after="0" w:line="240" w:lineRule="auto"/>
      </w:pPr>
    </w:p>
  </w:footnote>
  <w:footnote w:id="2">
    <w:p w14:paraId="7AC93D43" w14:textId="77777777" w:rsidR="00844B17" w:rsidRDefault="00844B17" w:rsidP="00FD5EE2">
      <w:pPr>
        <w:pStyle w:val="FootnoteText"/>
        <w:spacing w:after="0" w:line="240" w:lineRule="auto"/>
      </w:pPr>
      <w:r>
        <w:rPr>
          <w:rStyle w:val="FootnoteReference"/>
        </w:rPr>
        <w:footnoteRef/>
      </w:r>
      <w:r>
        <w:t xml:space="preserve"> </w:t>
      </w:r>
      <w:r>
        <w:rPr>
          <w:lang w:val="en-US"/>
        </w:rPr>
        <w:t xml:space="preserve">“List of 200 ‘Soros mercenaries’ published in Hungary”, The New York Post, 12 April, 2018, </w:t>
      </w:r>
      <w:hyperlink r:id="rId1" w:history="1">
        <w:r w:rsidRPr="00F4034B">
          <w:rPr>
            <w:rStyle w:val="Hyperlink"/>
            <w:rFonts w:cstheme="minorHAnsi"/>
            <w:szCs w:val="18"/>
          </w:rPr>
          <w:t>https://nypost.com/2018/04/12/list-of-200-soros-mercenaries-published-in-hungary/</w:t>
        </w:r>
      </w:hyperlink>
      <w:r>
        <w:rPr>
          <w:rFonts w:cstheme="minorHAnsi"/>
          <w:color w:val="auto"/>
          <w:szCs w:val="18"/>
        </w:rPr>
        <w:t>.</w:t>
      </w:r>
    </w:p>
  </w:footnote>
  <w:footnote w:id="3">
    <w:p w14:paraId="15403079" w14:textId="755D2534" w:rsidR="00844B17" w:rsidRDefault="00844B17" w:rsidP="00FD5EE2">
      <w:pPr>
        <w:pStyle w:val="FootnoteText"/>
        <w:spacing w:after="0" w:line="240" w:lineRule="auto"/>
      </w:pPr>
      <w:r>
        <w:rPr>
          <w:rStyle w:val="FootnoteReference"/>
        </w:rPr>
        <w:footnoteRef/>
      </w:r>
      <w:r>
        <w:t xml:space="preserve"> </w:t>
      </w:r>
      <w:r w:rsidRPr="006F5CBC">
        <w:rPr>
          <w:szCs w:val="16"/>
        </w:rPr>
        <w:t xml:space="preserve">Amnesty International, </w:t>
      </w:r>
      <w:r w:rsidRPr="0057444E">
        <w:rPr>
          <w:i/>
          <w:szCs w:val="16"/>
        </w:rPr>
        <w:t>Hungary: New laws that violate human rights, threaten civil society and undermine the rule of law should be shelved</w:t>
      </w:r>
      <w:r>
        <w:rPr>
          <w:szCs w:val="16"/>
        </w:rPr>
        <w:t xml:space="preserve"> (Index</w:t>
      </w:r>
      <w:r w:rsidR="00FD5EE2">
        <w:rPr>
          <w:szCs w:val="16"/>
        </w:rPr>
        <w:t xml:space="preserve">: EUR 27/8633/2018) </w:t>
      </w:r>
      <w:r>
        <w:rPr>
          <w:szCs w:val="16"/>
        </w:rPr>
        <w:t xml:space="preserve"> </w:t>
      </w:r>
    </w:p>
  </w:footnote>
  <w:footnote w:id="4">
    <w:p w14:paraId="5A90529E" w14:textId="77777777" w:rsidR="00844B17" w:rsidRDefault="00844B17" w:rsidP="00FD5EE2">
      <w:pPr>
        <w:pStyle w:val="FootnoteText"/>
        <w:spacing w:after="0" w:line="240" w:lineRule="auto"/>
      </w:pPr>
      <w:r>
        <w:rPr>
          <w:rStyle w:val="FootnoteReference"/>
        </w:rPr>
        <w:footnoteRef/>
      </w:r>
      <w:r>
        <w:t xml:space="preserve"> </w:t>
      </w:r>
      <w:hyperlink r:id="rId2" w:history="1">
        <w:r w:rsidRPr="00A14B71">
          <w:rPr>
            <w:rStyle w:val="Hyperlink"/>
          </w:rPr>
          <w:t>https://www.amnesty.org/en/latest/news/2017/06/hungary-ngo-law-a-vicious-and-calculated-assault-on-civil-society/</w:t>
        </w:r>
      </w:hyperlink>
      <w:r>
        <w:t xml:space="preserve"> </w:t>
      </w:r>
    </w:p>
  </w:footnote>
  <w:footnote w:id="5">
    <w:p w14:paraId="2C5D8E6A" w14:textId="716B660E" w:rsidR="00844B17" w:rsidRDefault="00844B17" w:rsidP="00FD5EE2">
      <w:pPr>
        <w:pStyle w:val="FootnoteText"/>
        <w:spacing w:after="0" w:line="240" w:lineRule="auto"/>
      </w:pPr>
      <w:r>
        <w:rPr>
          <w:rStyle w:val="FootnoteReference"/>
        </w:rPr>
        <w:footnoteRef/>
      </w:r>
      <w:r>
        <w:t xml:space="preserve"> </w:t>
      </w:r>
      <w:r>
        <w:rPr>
          <w:color w:val="auto"/>
        </w:rPr>
        <w:t>It is already a criminal offence in Hungary to assist a person to cross Hungary’s border unlawfully or to remain in Hungary unlawfully, or for a person to cross a border barrier. Hungarian Criminal Code, Sections 353 (smuggling illegal immigrants); 354 (facilitation of illegal residence); 352/A.</w:t>
      </w:r>
    </w:p>
  </w:footnote>
  <w:footnote w:id="6">
    <w:p w14:paraId="3D97D0C9" w14:textId="77777777" w:rsidR="00844B17" w:rsidRPr="00837D03" w:rsidRDefault="00844B17" w:rsidP="00FD5EE2">
      <w:pPr>
        <w:pStyle w:val="FootnoteText"/>
        <w:spacing w:after="0" w:line="240" w:lineRule="auto"/>
        <w:rPr>
          <w:szCs w:val="16"/>
        </w:rPr>
      </w:pPr>
      <w:r w:rsidRPr="00837D03">
        <w:rPr>
          <w:rStyle w:val="FootnoteReference"/>
          <w:szCs w:val="16"/>
        </w:rPr>
        <w:footnoteRef/>
      </w:r>
      <w:r w:rsidRPr="00837D03">
        <w:rPr>
          <w:szCs w:val="16"/>
        </w:rPr>
        <w:t xml:space="preserve"> Amnesty International, </w:t>
      </w:r>
      <w:r w:rsidRPr="00251A3C">
        <w:rPr>
          <w:i/>
          <w:szCs w:val="16"/>
        </w:rPr>
        <w:t>Hungary: New laws that violate human rights, threaten civil society and undermine the rule of law should be shelved</w:t>
      </w:r>
      <w:r w:rsidRPr="00837D03">
        <w:rPr>
          <w:szCs w:val="16"/>
        </w:rPr>
        <w:t xml:space="preserve">, (Index: EUR 27/8633/2018) </w:t>
      </w:r>
      <w:r>
        <w:rPr>
          <w:szCs w:val="16"/>
        </w:rPr>
        <w:t xml:space="preserve">available at </w:t>
      </w:r>
      <w:hyperlink r:id="rId3" w:history="1">
        <w:r w:rsidRPr="00A14B71">
          <w:rPr>
            <w:rStyle w:val="Hyperlink"/>
            <w:szCs w:val="16"/>
          </w:rPr>
          <w:t>https://www.amnesty.org/en/documents/eur27/8633/2018/en/</w:t>
        </w:r>
      </w:hyperlink>
      <w:r>
        <w:rPr>
          <w:szCs w:val="16"/>
        </w:rPr>
        <w:t xml:space="preserve"> </w:t>
      </w:r>
    </w:p>
  </w:footnote>
  <w:footnote w:id="7">
    <w:p w14:paraId="1F9781E5" w14:textId="77777777" w:rsidR="00B329F3" w:rsidRPr="00B93253" w:rsidRDefault="00B329F3" w:rsidP="00B329F3">
      <w:pPr>
        <w:pStyle w:val="FootnoteText"/>
        <w:rPr>
          <w:lang w:val="en-US"/>
        </w:rPr>
      </w:pPr>
      <w:r>
        <w:rPr>
          <w:rStyle w:val="FootnoteReference"/>
        </w:rPr>
        <w:footnoteRef/>
      </w:r>
      <w:r>
        <w:t xml:space="preserve"> </w:t>
      </w:r>
      <w:r>
        <w:rPr>
          <w:lang w:val="en-US"/>
        </w:rPr>
        <w:t xml:space="preserve">The same provisions and penalties apply to donors to civil society organizations. </w:t>
      </w:r>
    </w:p>
  </w:footnote>
  <w:footnote w:id="8">
    <w:p w14:paraId="78039821" w14:textId="77777777" w:rsidR="00844B17" w:rsidRDefault="00844B17" w:rsidP="00FD5EE2">
      <w:pPr>
        <w:pStyle w:val="FootnoteText"/>
        <w:spacing w:after="0" w:line="240" w:lineRule="auto"/>
      </w:pPr>
      <w:r>
        <w:rPr>
          <w:rStyle w:val="FootnoteReference"/>
        </w:rPr>
        <w:footnoteRef/>
      </w:r>
      <w:r>
        <w:t xml:space="preserve"> </w:t>
      </w:r>
      <w:r w:rsidRPr="00837D03">
        <w:rPr>
          <w:szCs w:val="16"/>
        </w:rPr>
        <w:t xml:space="preserve">Amnesty International, </w:t>
      </w:r>
      <w:r w:rsidRPr="00251A3C">
        <w:rPr>
          <w:i/>
          <w:szCs w:val="16"/>
        </w:rPr>
        <w:t>Hungary: New laws that violate human rights, threaten civil society and undermine the rule of law should be shelved</w:t>
      </w:r>
      <w:r w:rsidRPr="00837D03">
        <w:rPr>
          <w:szCs w:val="16"/>
        </w:rPr>
        <w:t xml:space="preserve">, (Index: EUR 27/8633/2018) </w:t>
      </w:r>
      <w:r>
        <w:rPr>
          <w:szCs w:val="16"/>
        </w:rPr>
        <w:t xml:space="preserve">available at </w:t>
      </w:r>
      <w:hyperlink r:id="rId4" w:history="1">
        <w:r w:rsidRPr="00A14B71">
          <w:rPr>
            <w:rStyle w:val="Hyperlink"/>
          </w:rPr>
          <w:t>https://www.amnesty.org/en/documents/eur27/8633/2018/en/</w:t>
        </w:r>
      </w:hyperlink>
      <w:r>
        <w:t xml:space="preserve"> </w:t>
      </w:r>
    </w:p>
  </w:footnote>
  <w:footnote w:id="9">
    <w:p w14:paraId="3CF02A31" w14:textId="20F36BC9" w:rsidR="00844B17" w:rsidRDefault="00844B17" w:rsidP="00FD5EE2">
      <w:pPr>
        <w:pStyle w:val="FootnoteText"/>
        <w:spacing w:after="0" w:line="240" w:lineRule="auto"/>
      </w:pPr>
      <w:r>
        <w:rPr>
          <w:rStyle w:val="FootnoteReference"/>
        </w:rPr>
        <w:footnoteRef/>
      </w:r>
      <w:r>
        <w:t xml:space="preserve"> </w:t>
      </w:r>
      <w:r>
        <w:rPr>
          <w:szCs w:val="16"/>
        </w:rPr>
        <w:t>The court will decide on matters</w:t>
      </w:r>
      <w:r w:rsidRPr="00371451">
        <w:rPr>
          <w:szCs w:val="16"/>
        </w:rPr>
        <w:t xml:space="preserve"> including those affecting</w:t>
      </w:r>
      <w:r w:rsidR="00B329F3">
        <w:rPr>
          <w:szCs w:val="16"/>
        </w:rPr>
        <w:t xml:space="preserve"> human rights, such as</w:t>
      </w:r>
      <w:r w:rsidRPr="00371451">
        <w:rPr>
          <w:szCs w:val="16"/>
        </w:rPr>
        <w:t xml:space="preserve"> police violations, asylum, and protest, as well issues of economic relevance: disputes over taxation and customs, media, public procurement, construction and building permits, cases of land and forest ownership, land and real estate public records and market competition matters</w:t>
      </w:r>
      <w:r>
        <w:rPr>
          <w:szCs w:val="16"/>
        </w:rPr>
        <w:t>.</w:t>
      </w:r>
    </w:p>
  </w:footnote>
  <w:footnote w:id="10">
    <w:p w14:paraId="2D2FB042" w14:textId="77777777" w:rsidR="00B329F3" w:rsidRPr="007454AF" w:rsidRDefault="00B329F3" w:rsidP="00B329F3">
      <w:pPr>
        <w:pStyle w:val="Default"/>
      </w:pPr>
      <w:r>
        <w:rPr>
          <w:rStyle w:val="FootnoteReference"/>
        </w:rPr>
        <w:footnoteRef/>
      </w:r>
      <w:r>
        <w:t xml:space="preserve"> </w:t>
      </w:r>
      <w:r w:rsidRPr="007454AF">
        <w:rPr>
          <w:sz w:val="16"/>
          <w:szCs w:val="16"/>
        </w:rPr>
        <w:t xml:space="preserve">Joint opinion on the provisions of the so-called “Stop Soros” draft legislative package which directly affect NGOs (in particular Draft Article 353A of the Criminal Code on Facilitating Illegal Migration) adopted on June 2018 and available at </w:t>
      </w:r>
      <w:hyperlink r:id="rId5" w:history="1">
        <w:r w:rsidRPr="007454AF">
          <w:rPr>
            <w:rStyle w:val="Hyperlink"/>
            <w:rFonts w:cs="Amnesty Trade Gothic"/>
            <w:sz w:val="16"/>
            <w:szCs w:val="16"/>
          </w:rPr>
          <w:t>https://www.venice.coe.int/webforms/documents/?pdf=CDL-AD(2018)013-e#</w:t>
        </w:r>
      </w:hyperlink>
      <w:r w:rsidRPr="007454AF">
        <w:rPr>
          <w:sz w:val="16"/>
          <w:szCs w:val="16"/>
        </w:rPr>
        <w:t xml:space="preserve">; Joint opinion on section 253 on the special immigration tax of Act XLI of 20 July 2018 amending certain tax laws and other related laws and on the immigration tax, adopted in December 2018 and available at </w:t>
      </w:r>
      <w:hyperlink r:id="rId6" w:history="1">
        <w:r w:rsidRPr="007454AF">
          <w:rPr>
            <w:rStyle w:val="Hyperlink"/>
            <w:rFonts w:cs="Amnesty Trade Gothic"/>
            <w:sz w:val="16"/>
            <w:szCs w:val="16"/>
          </w:rPr>
          <w:t>https://www.venice.coe.int/webforms/documents/default.aspx?pdffile=CDL-AD(2018)035-e</w:t>
        </w:r>
      </w:hyperlink>
      <w:r w:rsidRPr="007454AF">
        <w:rPr>
          <w:sz w:val="16"/>
          <w:szCs w:val="16"/>
        </w:rPr>
        <w:t>;</w:t>
      </w:r>
      <w:r>
        <w:t xml:space="preserve">  </w:t>
      </w:r>
    </w:p>
    <w:p w14:paraId="19899E4F" w14:textId="77777777" w:rsidR="00B329F3" w:rsidRDefault="00B329F3" w:rsidP="00B329F3">
      <w:pPr>
        <w:pStyle w:val="FootnoteText"/>
      </w:pPr>
    </w:p>
  </w:footnote>
  <w:footnote w:id="11">
    <w:p w14:paraId="44EF8455" w14:textId="77777777" w:rsidR="00844B17" w:rsidRPr="00C32271" w:rsidRDefault="00844B17" w:rsidP="00FD5EE2">
      <w:pPr>
        <w:pStyle w:val="FootnoteText"/>
        <w:spacing w:after="0" w:line="240" w:lineRule="auto"/>
      </w:pPr>
      <w:r>
        <w:rPr>
          <w:rStyle w:val="FootnoteReference"/>
        </w:rPr>
        <w:footnoteRef/>
      </w:r>
      <w:r>
        <w:t xml:space="preserve"> Amnesty International. </w:t>
      </w:r>
      <w:r>
        <w:rPr>
          <w:i/>
        </w:rPr>
        <w:t>Poland: The Judges who Defend the Rule of Law</w:t>
      </w:r>
      <w:r>
        <w:t>. February 2019.</w:t>
      </w:r>
    </w:p>
  </w:footnote>
  <w:footnote w:id="12">
    <w:p w14:paraId="314E7A1A" w14:textId="77777777" w:rsidR="00844B17" w:rsidRPr="00084D3D" w:rsidRDefault="00844B17" w:rsidP="00FD5EE2">
      <w:pPr>
        <w:pStyle w:val="FootnoteText"/>
        <w:spacing w:after="0" w:line="240" w:lineRule="auto"/>
      </w:pPr>
      <w:r>
        <w:rPr>
          <w:rStyle w:val="FootnoteReference"/>
        </w:rPr>
        <w:footnoteRef/>
      </w:r>
      <w:r>
        <w:t xml:space="preserve"> </w:t>
      </w:r>
      <w:hyperlink r:id="rId7" w:history="1">
        <w:r w:rsidRPr="00477427">
          <w:rPr>
            <w:rStyle w:val="Hyperlink"/>
          </w:rPr>
          <w:t>https://curia.europa.eu/jcms/upload/docs/application/pdf/2018-12/cp180204en.pdf</w:t>
        </w:r>
      </w:hyperlink>
    </w:p>
  </w:footnote>
  <w:footnote w:id="13">
    <w:p w14:paraId="2AAF04D9" w14:textId="77777777" w:rsidR="00844B17" w:rsidRPr="00C251B7" w:rsidRDefault="00844B17" w:rsidP="00FD5EE2">
      <w:pPr>
        <w:pStyle w:val="FootnoteText"/>
        <w:spacing w:after="0" w:line="240" w:lineRule="auto"/>
      </w:pPr>
      <w:r>
        <w:rPr>
          <w:rStyle w:val="FootnoteReference"/>
        </w:rPr>
        <w:footnoteRef/>
      </w:r>
      <w:r>
        <w:t xml:space="preserve"> </w:t>
      </w:r>
      <w:r w:rsidRPr="00C251B7">
        <w:t>Case C-619/18</w:t>
      </w:r>
      <w:r>
        <w:t xml:space="preserve">. Accessed: </w:t>
      </w:r>
      <w:hyperlink r:id="rId8" w:history="1">
        <w:r w:rsidRPr="00F7525B">
          <w:rPr>
            <w:rStyle w:val="Hyperlink"/>
          </w:rPr>
          <w:t>http://curia.europa.eu/juris/document/document.jsf?text=&amp;docid=207961&amp;pageIndex=0&amp;doclang=EN&amp;mode=req&amp;dir=&amp;occ=first&amp;part=1&amp;cid=10695272</w:t>
        </w:r>
      </w:hyperlink>
    </w:p>
  </w:footnote>
  <w:footnote w:id="14">
    <w:p w14:paraId="1759C4AA" w14:textId="77777777" w:rsidR="00844B17" w:rsidRPr="00D627AC" w:rsidRDefault="00844B17" w:rsidP="00FD5EE2">
      <w:pPr>
        <w:pStyle w:val="FootnoteText"/>
        <w:spacing w:after="0" w:line="240" w:lineRule="auto"/>
      </w:pPr>
      <w:r>
        <w:rPr>
          <w:rStyle w:val="FootnoteReference"/>
        </w:rPr>
        <w:footnoteRef/>
      </w:r>
      <w:r>
        <w:t xml:space="preserve"> </w:t>
      </w:r>
      <w:hyperlink r:id="rId9" w:history="1">
        <w:r w:rsidRPr="00F7525B">
          <w:rPr>
            <w:rStyle w:val="Hyperlink"/>
          </w:rPr>
          <w:t>https://eur-lex.europa.eu/LexUriServ/LexUriServ.do?uri=CELEX:62018CN0619:EN:HTML</w:t>
        </w:r>
      </w:hyperlink>
    </w:p>
  </w:footnote>
  <w:footnote w:id="15">
    <w:p w14:paraId="5C32496B" w14:textId="77777777" w:rsidR="008241BA" w:rsidRPr="00DC22C7" w:rsidRDefault="008241BA" w:rsidP="008241BA">
      <w:pPr>
        <w:pStyle w:val="FootnoteText"/>
        <w:spacing w:after="0" w:line="240" w:lineRule="auto"/>
      </w:pPr>
      <w:r>
        <w:rPr>
          <w:rStyle w:val="FootnoteReference"/>
        </w:rPr>
        <w:footnoteRef/>
      </w:r>
      <w:r>
        <w:t xml:space="preserve"> See for example: Resolution no 1 of the representatives of the Appeal Court in Katowice from 14 January 2019: </w:t>
      </w:r>
      <w:hyperlink r:id="rId10" w:history="1">
        <w:r w:rsidRPr="00F7525B">
          <w:rPr>
            <w:rStyle w:val="Hyperlink"/>
          </w:rPr>
          <w:t>https://www.iustitia.pl/83-komunikaty-i-oswiadczenia/2803-uchwaly-zgromadzenia-przedstawicieli-apelacji-katowickiej-z-14-stycznia-2019r-dotyczace-wstrzymania-sie-od-udzialu-w-procedurze-nominacyjnej-oraz-popierajace-postulaty-placowe-pracownikow-sadownictwa</w:t>
        </w:r>
      </w:hyperlink>
    </w:p>
  </w:footnote>
  <w:footnote w:id="16">
    <w:p w14:paraId="78C8985D" w14:textId="77777777" w:rsidR="00844B17" w:rsidRPr="00730A35" w:rsidRDefault="00844B17" w:rsidP="00FD5EE2">
      <w:pPr>
        <w:pStyle w:val="FootnoteText"/>
        <w:spacing w:after="0" w:line="240" w:lineRule="auto"/>
      </w:pPr>
      <w:r>
        <w:rPr>
          <w:rStyle w:val="FootnoteReference"/>
        </w:rPr>
        <w:footnoteRef/>
      </w:r>
      <w:r>
        <w:t xml:space="preserve"> </w:t>
      </w:r>
      <w:hyperlink r:id="rId11" w:history="1">
        <w:r w:rsidRPr="00477427">
          <w:rPr>
            <w:rStyle w:val="Hyperlink"/>
          </w:rPr>
          <w:t>http://www.sn.pl/aktualnosci/SitePages/Komunikaty_o_sprawach.aspx?ItemSID=236-271e0911-7542-42c1-ba34-d1e945caefb2&amp;ListName=Komunikaty_o_sprawach</w:t>
        </w:r>
      </w:hyperlink>
    </w:p>
  </w:footnote>
  <w:footnote w:id="17">
    <w:p w14:paraId="428A230B" w14:textId="77777777" w:rsidR="00844B17" w:rsidRPr="000325F2" w:rsidRDefault="00844B17" w:rsidP="00FD5EE2">
      <w:pPr>
        <w:pStyle w:val="FootnoteText"/>
        <w:spacing w:after="0" w:line="240" w:lineRule="auto"/>
      </w:pPr>
      <w:r>
        <w:rPr>
          <w:rStyle w:val="FootnoteReference"/>
        </w:rPr>
        <w:footnoteRef/>
      </w:r>
      <w:r>
        <w:t xml:space="preserve"> </w:t>
      </w:r>
      <w:hyperlink r:id="rId12" w:history="1">
        <w:r w:rsidRPr="00477427">
          <w:rPr>
            <w:rStyle w:val="Hyperlink"/>
          </w:rPr>
          <w:t>http://www.sn.pl/aktualnosci/SitePages/Komunikaty_o_sprawach.aspx?ItemSID=253-271e0911-7542-42c1-ba34-d1e945caefb2&amp;ListName=Komunikaty_o_sprawach</w:t>
        </w:r>
      </w:hyperlink>
    </w:p>
  </w:footnote>
  <w:footnote w:id="18">
    <w:p w14:paraId="486F2F31" w14:textId="77777777" w:rsidR="00844B17" w:rsidRPr="00FD5EE2" w:rsidRDefault="00844B17" w:rsidP="00FD5EE2">
      <w:pPr>
        <w:pStyle w:val="FootnoteText"/>
        <w:spacing w:after="0" w:line="240" w:lineRule="auto"/>
        <w:rPr>
          <w:szCs w:val="16"/>
        </w:rPr>
      </w:pPr>
      <w:r>
        <w:rPr>
          <w:rStyle w:val="FootnoteReference"/>
        </w:rPr>
        <w:footnoteRef/>
      </w:r>
      <w:r>
        <w:t xml:space="preserve"> Amnesty International. </w:t>
      </w:r>
      <w:r>
        <w:rPr>
          <w:i/>
        </w:rPr>
        <w:t xml:space="preserve">Poland: The Judges who </w:t>
      </w:r>
      <w:r w:rsidRPr="00B77C3A">
        <w:t>Art. 112.3 Law on Common Courts. htt</w:t>
      </w:r>
      <w:r w:rsidRPr="00FD5EE2">
        <w:rPr>
          <w:szCs w:val="16"/>
        </w:rPr>
        <w:t xml:space="preserve">p://prawo.sejm.gov.pl/isap.nsf/download.xsp/WDU20010981070/U/D20011070Lj.pdf </w:t>
      </w:r>
      <w:r w:rsidRPr="00FD5EE2">
        <w:rPr>
          <w:i/>
          <w:szCs w:val="16"/>
        </w:rPr>
        <w:t>Defend the Rule of Law</w:t>
      </w:r>
      <w:r w:rsidRPr="00FD5EE2">
        <w:rPr>
          <w:szCs w:val="16"/>
        </w:rPr>
        <w:t>. February 2019. Pp. 6-8</w:t>
      </w:r>
    </w:p>
  </w:footnote>
  <w:footnote w:id="19">
    <w:p w14:paraId="6C724E9A" w14:textId="6C4FC830" w:rsidR="00844B17" w:rsidRPr="00FD5EE2" w:rsidRDefault="00844B17" w:rsidP="00FD5EE2">
      <w:pPr>
        <w:spacing w:after="0" w:line="240" w:lineRule="auto"/>
      </w:pPr>
      <w:r w:rsidRPr="00FD5EE2">
        <w:rPr>
          <w:rStyle w:val="FootnoteReference"/>
          <w:rFonts w:cs="Arial"/>
          <w:color w:val="000000" w:themeColor="text1"/>
          <w:sz w:val="16"/>
          <w:szCs w:val="16"/>
          <w:lang w:val="en-US"/>
        </w:rPr>
        <w:footnoteRef/>
      </w:r>
      <w:r w:rsidRPr="00FD5EE2">
        <w:rPr>
          <w:rStyle w:val="FootnoteReference"/>
          <w:rFonts w:cs="Arial"/>
          <w:color w:val="000000" w:themeColor="text1"/>
          <w:sz w:val="16"/>
          <w:szCs w:val="16"/>
          <w:lang w:val="en-US"/>
        </w:rPr>
        <w:t xml:space="preserve"> </w:t>
      </w:r>
      <w:r w:rsidR="00FD5EE2" w:rsidRPr="00FD5EE2">
        <w:rPr>
          <w:rFonts w:cs="Arial"/>
          <w:color w:val="000000" w:themeColor="text1"/>
          <w:sz w:val="16"/>
          <w:szCs w:val="16"/>
          <w:lang w:val="en-US"/>
        </w:rPr>
        <w:t xml:space="preserve"> </w:t>
      </w:r>
      <w:hyperlink r:id="rId13" w:tgtFrame="_blank" w:history="1">
        <w:r w:rsidR="00FD5EE2" w:rsidRPr="00FD5EE2">
          <w:rPr>
            <w:rStyle w:val="Hyperlink"/>
            <w:rFonts w:cs="Segoe UI"/>
            <w:sz w:val="16"/>
            <w:szCs w:val="16"/>
            <w:shd w:val="clear" w:color="auto" w:fill="FFFFFF"/>
          </w:rPr>
          <w:t>https://www.euronews.com/2017/11/17/view-independence-day-in-poland-was-no-beautiful-sight</w:t>
        </w:r>
      </w:hyperlink>
    </w:p>
  </w:footnote>
  <w:footnote w:id="20">
    <w:p w14:paraId="783E680C" w14:textId="77777777" w:rsidR="00844B17" w:rsidRPr="00BF1A28" w:rsidRDefault="00844B17" w:rsidP="00FD5EE2">
      <w:pPr>
        <w:pStyle w:val="FootnoteText"/>
        <w:spacing w:after="0" w:line="240" w:lineRule="auto"/>
      </w:pPr>
      <w:r>
        <w:rPr>
          <w:rStyle w:val="FootnoteReference"/>
        </w:rPr>
        <w:footnoteRef/>
      </w:r>
      <w:r>
        <w:t xml:space="preserve"> </w:t>
      </w:r>
      <w:r>
        <w:rPr>
          <w:szCs w:val="14"/>
        </w:rPr>
        <w:t xml:space="preserve">Art. 112.6-13 Law on Common Courts </w:t>
      </w:r>
      <w:r>
        <w:t xml:space="preserve"> </w:t>
      </w:r>
    </w:p>
  </w:footnote>
  <w:footnote w:id="21">
    <w:p w14:paraId="0D2A892D" w14:textId="77777777" w:rsidR="00844B17" w:rsidRPr="00BF1A28" w:rsidRDefault="00844B17" w:rsidP="00FD5EE2">
      <w:pPr>
        <w:pStyle w:val="FootnoteText"/>
        <w:spacing w:after="0" w:line="240" w:lineRule="auto"/>
      </w:pPr>
      <w:r>
        <w:rPr>
          <w:rStyle w:val="FootnoteReference"/>
        </w:rPr>
        <w:footnoteRef/>
      </w:r>
      <w:r>
        <w:t xml:space="preserve"> </w:t>
      </w:r>
      <w:r>
        <w:rPr>
          <w:szCs w:val="14"/>
        </w:rPr>
        <w:t xml:space="preserve">Art. 110a.1 Law on Common Courts </w:t>
      </w:r>
      <w:r>
        <w:t xml:space="preserve"> </w:t>
      </w:r>
    </w:p>
  </w:footnote>
  <w:footnote w:id="22">
    <w:p w14:paraId="33DD3DB8" w14:textId="77777777" w:rsidR="00844B17" w:rsidRDefault="00844B17" w:rsidP="00FD5EE2">
      <w:pPr>
        <w:pStyle w:val="FootnoteText"/>
        <w:spacing w:after="0" w:line="240" w:lineRule="auto"/>
      </w:pPr>
      <w:r>
        <w:rPr>
          <w:rStyle w:val="FootnoteReference"/>
        </w:rPr>
        <w:footnoteRef/>
      </w:r>
      <w:r>
        <w:t xml:space="preserve"> Amnesty International. </w:t>
      </w:r>
      <w:r w:rsidRPr="00611A07">
        <w:rPr>
          <w:i/>
        </w:rPr>
        <w:t>The Power of 'the Street': Protecting the Right to Peaceful Protest in Poland</w:t>
      </w:r>
      <w:r w:rsidRPr="00611A07">
        <w:t xml:space="preserve">. 25 June 2018. </w:t>
      </w:r>
      <w:hyperlink r:id="rId14" w:history="1">
        <w:r w:rsidRPr="00B41306">
          <w:rPr>
            <w:rStyle w:val="Hyperlink"/>
            <w:rFonts w:ascii="Arial" w:eastAsia="SimSun" w:hAnsi="Arial" w:cs="Arial"/>
            <w:bCs/>
            <w:shd w:val="clear" w:color="auto" w:fill="FFFFFF"/>
          </w:rPr>
          <w:t>h</w:t>
        </w:r>
        <w:r w:rsidRPr="00F7525B">
          <w:rPr>
            <w:rStyle w:val="Hyperlink"/>
          </w:rPr>
          <w:t>ttps://www.amnesty.org/en/documents/eur37/8525/2018/en/</w:t>
        </w:r>
      </w:hyperlink>
    </w:p>
  </w:footnote>
  <w:footnote w:id="23">
    <w:p w14:paraId="4995826D" w14:textId="77777777" w:rsidR="00844B17" w:rsidRPr="00D70247" w:rsidRDefault="00844B17" w:rsidP="00FD5EE2">
      <w:pPr>
        <w:pStyle w:val="FootnoteText"/>
        <w:spacing w:after="0" w:line="240" w:lineRule="auto"/>
        <w:rPr>
          <w:szCs w:val="16"/>
          <w:vertAlign w:val="superscript"/>
        </w:rPr>
      </w:pPr>
      <w:r w:rsidRPr="00D70247">
        <w:rPr>
          <w:rStyle w:val="FootnoteReference"/>
          <w:szCs w:val="16"/>
        </w:rPr>
        <w:footnoteRef/>
      </w:r>
      <w:r w:rsidRPr="00D70247">
        <w:rPr>
          <w:rStyle w:val="FootnoteReference"/>
          <w:szCs w:val="16"/>
        </w:rPr>
        <w:t xml:space="preserve"> </w:t>
      </w:r>
      <w:r>
        <w:rPr>
          <w:szCs w:val="16"/>
        </w:rPr>
        <w:t>Helsinki Foundation for Human Rights. “</w:t>
      </w:r>
      <w:r w:rsidRPr="00F77639">
        <w:rPr>
          <w:szCs w:val="16"/>
        </w:rPr>
        <w:t>Constitutional Tribunal: amendments to Assemblies Act constitutional despite all objections.</w:t>
      </w:r>
      <w:r>
        <w:rPr>
          <w:szCs w:val="16"/>
        </w:rPr>
        <w:t>”</w:t>
      </w:r>
      <w:r w:rsidRPr="00F77639">
        <w:rPr>
          <w:szCs w:val="16"/>
        </w:rPr>
        <w:t xml:space="preserve"> </w:t>
      </w:r>
      <w:r>
        <w:rPr>
          <w:szCs w:val="16"/>
        </w:rPr>
        <w:t>16 March 2017</w:t>
      </w:r>
      <w:r>
        <w:rPr>
          <w:szCs w:val="16"/>
          <w:vertAlign w:val="superscript"/>
        </w:rPr>
        <w:t xml:space="preserve">. </w:t>
      </w:r>
      <w:r w:rsidRPr="00D70247">
        <w:rPr>
          <w:rStyle w:val="Hyperlink"/>
          <w:szCs w:val="16"/>
        </w:rPr>
        <w:t>http://www.hfhr.pl/en/constitutional-tribunal-amendments-to-assemblies-act-constitutional-despite-all-objections/</w:t>
      </w:r>
    </w:p>
  </w:footnote>
  <w:footnote w:id="24">
    <w:p w14:paraId="07B96D7D" w14:textId="77777777" w:rsidR="00844B17" w:rsidRDefault="00844B17" w:rsidP="00FD5EE2">
      <w:pPr>
        <w:pStyle w:val="FootnoteText"/>
        <w:spacing w:after="0" w:line="240" w:lineRule="auto"/>
      </w:pPr>
      <w:r>
        <w:rPr>
          <w:rStyle w:val="FootnoteReference"/>
        </w:rPr>
        <w:footnoteRef/>
      </w:r>
      <w:r>
        <w:t xml:space="preserve"> </w:t>
      </w:r>
      <w:r>
        <w:rPr>
          <w:rStyle w:val="f"/>
          <w:rFonts w:ascii="Arial" w:eastAsia="SimSun" w:hAnsi="Arial" w:cs="Arial"/>
          <w:color w:val="808080"/>
          <w:shd w:val="clear" w:color="auto" w:fill="FFFFFF"/>
        </w:rPr>
        <w:t> </w:t>
      </w:r>
      <w:r w:rsidRPr="00611A07">
        <w:t>Amnesty International.</w:t>
      </w:r>
      <w:r>
        <w:t xml:space="preserve"> </w:t>
      </w:r>
      <w:r w:rsidRPr="00611A07">
        <w:rPr>
          <w:i/>
        </w:rPr>
        <w:t>Poland: “Reform” of the judiciary in Poland poses risk to the right to fair trial</w:t>
      </w:r>
      <w:r>
        <w:t xml:space="preserve">. March 2018. </w:t>
      </w:r>
      <w:hyperlink r:id="rId15" w:history="1">
        <w:r w:rsidRPr="00F7525B">
          <w:rPr>
            <w:rStyle w:val="Hyperlink"/>
          </w:rPr>
          <w:t>https://www.amnesty.org/en/documents/eur37/8059/2018/en/</w:t>
        </w:r>
      </w:hyperlink>
    </w:p>
  </w:footnote>
  <w:footnote w:id="25">
    <w:p w14:paraId="6FA9F860" w14:textId="77777777" w:rsidR="00844B17" w:rsidRDefault="00844B17" w:rsidP="00FD5EE2">
      <w:pPr>
        <w:pStyle w:val="FootnoteText"/>
        <w:spacing w:after="0" w:line="240" w:lineRule="auto"/>
      </w:pPr>
      <w:r>
        <w:rPr>
          <w:rStyle w:val="FootnoteReference"/>
        </w:rPr>
        <w:footnoteRef/>
      </w:r>
      <w:r>
        <w:t xml:space="preserve"> Amnesty International. </w:t>
      </w:r>
      <w:r w:rsidRPr="00611A07">
        <w:rPr>
          <w:i/>
        </w:rPr>
        <w:t>The Power of 'the Street': Protecting the Right to Peaceful Protest in Poland</w:t>
      </w:r>
      <w:r w:rsidRPr="00611A07">
        <w:t xml:space="preserve">. 25 June 2018. </w:t>
      </w:r>
      <w:hyperlink r:id="rId16" w:history="1">
        <w:r w:rsidRPr="00B41306">
          <w:rPr>
            <w:rStyle w:val="Hyperlink"/>
            <w:rFonts w:ascii="Arial" w:eastAsia="SimSun" w:hAnsi="Arial" w:cs="Arial"/>
            <w:bCs/>
            <w:shd w:val="clear" w:color="auto" w:fill="FFFFFF"/>
          </w:rPr>
          <w:t>h</w:t>
        </w:r>
        <w:r w:rsidRPr="00F7525B">
          <w:rPr>
            <w:rStyle w:val="Hyperlink"/>
          </w:rPr>
          <w:t>ttps://www.amnesty.org/en/documents/eur37/8525/2018/en/</w:t>
        </w:r>
      </w:hyperlink>
    </w:p>
  </w:footnote>
  <w:footnote w:id="26">
    <w:p w14:paraId="66AA5BE8" w14:textId="77777777" w:rsidR="00844B17" w:rsidRDefault="00844B17" w:rsidP="00FD5EE2">
      <w:pPr>
        <w:pStyle w:val="FootnoteText"/>
        <w:spacing w:after="0" w:line="240" w:lineRule="auto"/>
      </w:pPr>
      <w:r>
        <w:rPr>
          <w:rStyle w:val="FootnoteReference"/>
        </w:rPr>
        <w:footnoteRef/>
      </w:r>
      <w:r>
        <w:t xml:space="preserve"> </w:t>
      </w:r>
      <w:hyperlink r:id="rId17" w:history="1">
        <w:r w:rsidRPr="00F7525B">
          <w:rPr>
            <w:rStyle w:val="Hyperlink"/>
          </w:rPr>
          <w:t>https://www.euronews.com/2017/11/17/view-independence-day-in-poland-was-no-beautiful-sight</w:t>
        </w:r>
      </w:hyperlink>
    </w:p>
  </w:footnote>
  <w:footnote w:id="27">
    <w:p w14:paraId="3094B5D0" w14:textId="77777777" w:rsidR="00844B17" w:rsidRDefault="00844B17" w:rsidP="00FD5EE2">
      <w:pPr>
        <w:widowControl/>
        <w:numPr>
          <w:ilvl w:val="0"/>
          <w:numId w:val="1"/>
        </w:numPr>
        <w:tabs>
          <w:tab w:val="clear" w:pos="0"/>
        </w:tabs>
        <w:suppressAutoHyphens w:val="0"/>
        <w:spacing w:after="0" w:line="240" w:lineRule="auto"/>
        <w:outlineLvl w:val="0"/>
      </w:pPr>
      <w:r>
        <w:rPr>
          <w:rStyle w:val="FootnoteReference"/>
        </w:rPr>
        <w:footnoteRef/>
      </w:r>
      <w:r>
        <w:t xml:space="preserve"> </w:t>
      </w:r>
      <w:r w:rsidRPr="001A304C">
        <w:rPr>
          <w:sz w:val="16"/>
        </w:rPr>
        <w:t xml:space="preserve">Amnesty International. “Beaten and prosecuted for standing up to hate”, 30 November 2018. </w:t>
      </w:r>
      <w:hyperlink r:id="rId18" w:history="1">
        <w:r w:rsidRPr="001A304C">
          <w:rPr>
            <w:rStyle w:val="Hyperlink"/>
            <w:sz w:val="16"/>
          </w:rPr>
          <w:t>https://www.amnesty.org/en/latest/news/2018/11/beaten-and-prosecuted-for-standing-up-to-hate/</w:t>
        </w:r>
      </w:hyperlink>
    </w:p>
  </w:footnote>
  <w:footnote w:id="28">
    <w:p w14:paraId="540FC0EE" w14:textId="77777777" w:rsidR="00844B17" w:rsidRDefault="00844B17" w:rsidP="00FD5EE2">
      <w:pPr>
        <w:pStyle w:val="FootnoteText"/>
        <w:spacing w:after="0" w:line="240" w:lineRule="auto"/>
      </w:pPr>
      <w:r>
        <w:rPr>
          <w:rStyle w:val="FootnoteReference"/>
        </w:rPr>
        <w:footnoteRef/>
      </w:r>
      <w:r>
        <w:t xml:space="preserve"> </w:t>
      </w:r>
      <w:hyperlink r:id="rId19" w:history="1">
        <w:r w:rsidRPr="00F7525B">
          <w:rPr>
            <w:rStyle w:val="Hyperlink"/>
          </w:rPr>
          <w:t>https://www.amnesty.org/en/get-involved/take-action/poland-protect-rights-activists/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99D1" w14:textId="77777777" w:rsidR="00E947A9" w:rsidRDefault="00E94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643"/>
      <w:gridCol w:w="2643"/>
      <w:gridCol w:w="2643"/>
    </w:tblGrid>
    <w:tr w:rsidR="00844B17" w14:paraId="08F0FF54" w14:textId="77777777" w:rsidTr="509A14F5">
      <w:tc>
        <w:tcPr>
          <w:tcW w:w="2643" w:type="dxa"/>
        </w:tcPr>
        <w:p w14:paraId="00C42C74" w14:textId="542EBC49" w:rsidR="00844B17" w:rsidRDefault="00844B17" w:rsidP="509A14F5">
          <w:pPr>
            <w:pStyle w:val="Header"/>
            <w:ind w:left="-115"/>
          </w:pPr>
        </w:p>
      </w:tc>
      <w:tc>
        <w:tcPr>
          <w:tcW w:w="2643" w:type="dxa"/>
        </w:tcPr>
        <w:p w14:paraId="75F49BF1" w14:textId="7BB6A6F9" w:rsidR="00844B17" w:rsidRDefault="00844B17" w:rsidP="509A14F5">
          <w:pPr>
            <w:pStyle w:val="Header"/>
            <w:jc w:val="center"/>
          </w:pPr>
          <w:r>
            <w:rPr>
              <w:noProof/>
              <w:lang w:val="en-US" w:eastAsia="en-US"/>
            </w:rPr>
            <w:drawing>
              <wp:anchor distT="0" distB="0" distL="114300" distR="114300" simplePos="0" relativeHeight="251659264" behindDoc="1" locked="1" layoutInCell="1" allowOverlap="1" wp14:anchorId="2930973E" wp14:editId="27CBC486">
                <wp:simplePos x="0" y="0"/>
                <wp:positionH relativeFrom="page">
                  <wp:posOffset>-2392045</wp:posOffset>
                </wp:positionH>
                <wp:positionV relativeFrom="page">
                  <wp:posOffset>-431165</wp:posOffset>
                </wp:positionV>
                <wp:extent cx="7586980" cy="1162050"/>
                <wp:effectExtent l="0" t="0" r="0" b="0"/>
                <wp:wrapNone/>
                <wp:docPr id="2" name="Picture 2" descr="A4 ENG colou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ENG colour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162050"/>
                        </a:xfrm>
                        <a:prstGeom prst="rect">
                          <a:avLst/>
                        </a:prstGeom>
                        <a:noFill/>
                      </pic:spPr>
                    </pic:pic>
                  </a:graphicData>
                </a:graphic>
                <wp14:sizeRelH relativeFrom="page">
                  <wp14:pctWidth>0</wp14:pctWidth>
                </wp14:sizeRelH>
                <wp14:sizeRelV relativeFrom="page">
                  <wp14:pctHeight>0</wp14:pctHeight>
                </wp14:sizeRelV>
              </wp:anchor>
            </w:drawing>
          </w:r>
        </w:p>
      </w:tc>
      <w:tc>
        <w:tcPr>
          <w:tcW w:w="2643" w:type="dxa"/>
        </w:tcPr>
        <w:p w14:paraId="7A27BF2F" w14:textId="47B90979" w:rsidR="00844B17" w:rsidRDefault="00844B17" w:rsidP="509A14F5">
          <w:pPr>
            <w:pStyle w:val="Header"/>
            <w:ind w:right="-115"/>
            <w:jc w:val="right"/>
          </w:pPr>
        </w:p>
      </w:tc>
    </w:tr>
    <w:tr w:rsidR="00844B17" w14:paraId="1C432BA3" w14:textId="77777777" w:rsidTr="509A14F5">
      <w:tc>
        <w:tcPr>
          <w:tcW w:w="2643" w:type="dxa"/>
        </w:tcPr>
        <w:p w14:paraId="06E69B11" w14:textId="77777777" w:rsidR="00844B17" w:rsidRDefault="00844B17" w:rsidP="509A14F5">
          <w:pPr>
            <w:pStyle w:val="Header"/>
            <w:ind w:left="-115"/>
          </w:pPr>
        </w:p>
      </w:tc>
      <w:tc>
        <w:tcPr>
          <w:tcW w:w="2643" w:type="dxa"/>
        </w:tcPr>
        <w:p w14:paraId="57D788BB" w14:textId="77777777" w:rsidR="00844B17" w:rsidRDefault="00844B17" w:rsidP="509A14F5">
          <w:pPr>
            <w:pStyle w:val="Header"/>
            <w:jc w:val="center"/>
            <w:rPr>
              <w:noProof/>
            </w:rPr>
          </w:pPr>
        </w:p>
      </w:tc>
      <w:tc>
        <w:tcPr>
          <w:tcW w:w="2643" w:type="dxa"/>
        </w:tcPr>
        <w:p w14:paraId="02A55890" w14:textId="77777777" w:rsidR="00844B17" w:rsidRDefault="00844B17" w:rsidP="509A14F5">
          <w:pPr>
            <w:pStyle w:val="Header"/>
            <w:ind w:right="-115"/>
            <w:jc w:val="right"/>
          </w:pPr>
        </w:p>
      </w:tc>
    </w:tr>
  </w:tbl>
  <w:p w14:paraId="61BE7B21" w14:textId="335EBC30" w:rsidR="00844B17" w:rsidRDefault="00844B17" w:rsidP="509A1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B61A" w14:textId="77777777" w:rsidR="00E947A9" w:rsidRDefault="00E94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B76D81"/>
    <w:multiLevelType w:val="hybridMultilevel"/>
    <w:tmpl w:val="28E355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7C0916"/>
    <w:multiLevelType w:val="hybridMultilevel"/>
    <w:tmpl w:val="4D1A6892"/>
    <w:lvl w:ilvl="0" w:tplc="BC6E4158">
      <w:start w:val="1"/>
      <w:numFmt w:val="decimal"/>
      <w:lvlText w:val="%1."/>
      <w:lvlJc w:val="left"/>
      <w:rPr>
        <w:rFonts w:ascii="Amnesty Trade Gothic" w:eastAsia="Times New Roman" w:hAnsi="Amnesty Trade Gothic" w:cs="Amnesty Trade Gothic"/>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49E35C"/>
    <w:multiLevelType w:val="hybridMultilevel"/>
    <w:tmpl w:val="887153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C7F722"/>
    <w:multiLevelType w:val="hybridMultilevel"/>
    <w:tmpl w:val="C6F6FD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5" w15:restartNumberingAfterBreak="0">
    <w:nsid w:val="029B2390"/>
    <w:multiLevelType w:val="hybridMultilevel"/>
    <w:tmpl w:val="4064BE94"/>
    <w:lvl w:ilvl="0" w:tplc="786C4018">
      <w:numFmt w:val="bullet"/>
      <w:lvlText w:val=""/>
      <w:lvlJc w:val="left"/>
      <w:pPr>
        <w:ind w:left="720" w:hanging="360"/>
      </w:pPr>
      <w:rPr>
        <w:rFonts w:ascii="Symbol" w:eastAsia="Times New Roman" w:hAnsi="Symbol" w:cs="Amnesty Trade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71CCB"/>
    <w:multiLevelType w:val="hybridMultilevel"/>
    <w:tmpl w:val="A7A6F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1D579"/>
    <w:multiLevelType w:val="hybridMultilevel"/>
    <w:tmpl w:val="19A3B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4E65ED"/>
    <w:multiLevelType w:val="hybridMultilevel"/>
    <w:tmpl w:val="6DD4B62E"/>
    <w:lvl w:ilvl="0" w:tplc="AB14B78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D61BBB"/>
    <w:multiLevelType w:val="hybridMultilevel"/>
    <w:tmpl w:val="B0DEA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A53F2"/>
    <w:multiLevelType w:val="hybridMultilevel"/>
    <w:tmpl w:val="7DBACC52"/>
    <w:lvl w:ilvl="0" w:tplc="9A74DA26">
      <w:start w:val="2"/>
      <w:numFmt w:val="decimal"/>
      <w:lvlText w:val="%1."/>
      <w:lvlJc w:val="left"/>
      <w:pPr>
        <w:ind w:left="720" w:hanging="360"/>
      </w:pPr>
      <w:rPr>
        <w:rFonts w:ascii="Amnesty Trade Gothic Light" w:hAnsi="Amnesty Trade Gothic Light"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163B8"/>
    <w:multiLevelType w:val="hybridMultilevel"/>
    <w:tmpl w:val="93AA6E30"/>
    <w:lvl w:ilvl="0" w:tplc="A84AABB8">
      <w:start w:val="2"/>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503518"/>
    <w:multiLevelType w:val="hybridMultilevel"/>
    <w:tmpl w:val="1190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F5200"/>
    <w:multiLevelType w:val="hybridMultilevel"/>
    <w:tmpl w:val="1B7CD0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57BB6"/>
    <w:multiLevelType w:val="hybridMultilevel"/>
    <w:tmpl w:val="D9785C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601A2"/>
    <w:multiLevelType w:val="multilevel"/>
    <w:tmpl w:val="C36EE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0FB0E8"/>
    <w:multiLevelType w:val="hybridMultilevel"/>
    <w:tmpl w:val="AC70D8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810594"/>
    <w:multiLevelType w:val="hybridMultilevel"/>
    <w:tmpl w:val="36D26AEA"/>
    <w:lvl w:ilvl="0" w:tplc="6D2219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C370EC"/>
    <w:multiLevelType w:val="hybridMultilevel"/>
    <w:tmpl w:val="9AF07208"/>
    <w:name w:val="WW8Num52"/>
    <w:lvl w:ilvl="0" w:tplc="ABE03712">
      <w:start w:val="1"/>
      <w:numFmt w:val="bullet"/>
      <w:lvlText w:val=""/>
      <w:lvlJc w:val="left"/>
      <w:pPr>
        <w:tabs>
          <w:tab w:val="num" w:pos="714"/>
        </w:tabs>
        <w:ind w:left="714"/>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2BCA12F4"/>
    <w:multiLevelType w:val="hybridMultilevel"/>
    <w:tmpl w:val="A2123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E4125B"/>
    <w:multiLevelType w:val="multilevel"/>
    <w:tmpl w:val="A24844D4"/>
    <w:lvl w:ilvl="0">
      <w:start w:val="1"/>
      <w:numFmt w:val="decimal"/>
      <w:lvlText w:val="%1."/>
      <w:lvlJc w:val="left"/>
      <w:pPr>
        <w:ind w:left="720" w:hanging="360"/>
      </w:pPr>
      <w:rPr>
        <w:rFonts w:hint="default"/>
      </w:rPr>
    </w:lvl>
    <w:lvl w:ilvl="1">
      <w:start w:val="1"/>
      <w:numFmt w:val="decimal"/>
      <w:lvlText w:val="%1.%2"/>
      <w:lvlJc w:val="left"/>
      <w:pPr>
        <w:ind w:left="720" w:hanging="360"/>
      </w:pPr>
      <w:rPr>
        <w:sz w:val="22"/>
      </w:rPr>
    </w:lvl>
    <w:lvl w:ilvl="2">
      <w:start w:val="1"/>
      <w:numFmt w:val="decimal"/>
      <w:lvlText w:val="%1.%2.%3"/>
      <w:lvlJc w:val="left"/>
      <w:pPr>
        <w:ind w:left="1080" w:hanging="720"/>
      </w:pPr>
      <w:rPr>
        <w:sz w:val="22"/>
      </w:rPr>
    </w:lvl>
    <w:lvl w:ilvl="3">
      <w:start w:val="1"/>
      <w:numFmt w:val="decimal"/>
      <w:lvlText w:val="%1.%2.%3.%4"/>
      <w:lvlJc w:val="left"/>
      <w:pPr>
        <w:ind w:left="1080" w:hanging="720"/>
      </w:pPr>
      <w:rPr>
        <w:sz w:val="22"/>
      </w:rPr>
    </w:lvl>
    <w:lvl w:ilvl="4">
      <w:start w:val="1"/>
      <w:numFmt w:val="decimal"/>
      <w:lvlText w:val="%1.%2.%3.%4.%5"/>
      <w:lvlJc w:val="left"/>
      <w:pPr>
        <w:ind w:left="1440" w:hanging="1080"/>
      </w:pPr>
      <w:rPr>
        <w:sz w:val="22"/>
      </w:rPr>
    </w:lvl>
    <w:lvl w:ilvl="5">
      <w:start w:val="1"/>
      <w:numFmt w:val="decimal"/>
      <w:lvlText w:val="%1.%2.%3.%4.%5.%6"/>
      <w:lvlJc w:val="left"/>
      <w:pPr>
        <w:ind w:left="1440" w:hanging="1080"/>
      </w:pPr>
      <w:rPr>
        <w:sz w:val="22"/>
      </w:rPr>
    </w:lvl>
    <w:lvl w:ilvl="6">
      <w:start w:val="1"/>
      <w:numFmt w:val="decimal"/>
      <w:lvlText w:val="%1.%2.%3.%4.%5.%6.%7"/>
      <w:lvlJc w:val="left"/>
      <w:pPr>
        <w:ind w:left="1800" w:hanging="1440"/>
      </w:pPr>
      <w:rPr>
        <w:sz w:val="22"/>
      </w:rPr>
    </w:lvl>
    <w:lvl w:ilvl="7">
      <w:start w:val="1"/>
      <w:numFmt w:val="decimal"/>
      <w:lvlText w:val="%1.%2.%3.%4.%5.%6.%7.%8"/>
      <w:lvlJc w:val="left"/>
      <w:pPr>
        <w:ind w:left="1800" w:hanging="1440"/>
      </w:pPr>
      <w:rPr>
        <w:sz w:val="22"/>
      </w:rPr>
    </w:lvl>
    <w:lvl w:ilvl="8">
      <w:start w:val="1"/>
      <w:numFmt w:val="decimal"/>
      <w:lvlText w:val="%1.%2.%3.%4.%5.%6.%7.%8.%9"/>
      <w:lvlJc w:val="left"/>
      <w:pPr>
        <w:ind w:left="1800" w:hanging="1440"/>
      </w:pPr>
      <w:rPr>
        <w:sz w:val="22"/>
      </w:rPr>
    </w:lvl>
  </w:abstractNum>
  <w:abstractNum w:abstractNumId="21" w15:restartNumberingAfterBreak="0">
    <w:nsid w:val="2BEA6BA1"/>
    <w:multiLevelType w:val="hybridMultilevel"/>
    <w:tmpl w:val="AF5E49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223463"/>
    <w:multiLevelType w:val="hybridMultilevel"/>
    <w:tmpl w:val="23A6EA5A"/>
    <w:lvl w:ilvl="0" w:tplc="2852297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DF70AA7"/>
    <w:multiLevelType w:val="hybridMultilevel"/>
    <w:tmpl w:val="178032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406F35"/>
    <w:multiLevelType w:val="hybridMultilevel"/>
    <w:tmpl w:val="20301D44"/>
    <w:lvl w:ilvl="0" w:tplc="6B72718A">
      <w:start w:val="4"/>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F93615"/>
    <w:multiLevelType w:val="hybridMultilevel"/>
    <w:tmpl w:val="EAA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002D4"/>
    <w:multiLevelType w:val="hybridMultilevel"/>
    <w:tmpl w:val="6054D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500A2F"/>
    <w:multiLevelType w:val="hybridMultilevel"/>
    <w:tmpl w:val="C83AE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49AAA3"/>
    <w:multiLevelType w:val="hybridMultilevel"/>
    <w:tmpl w:val="62424D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3A3EE3"/>
    <w:multiLevelType w:val="multilevel"/>
    <w:tmpl w:val="5F140802"/>
    <w:lvl w:ilvl="0">
      <w:start w:val="1"/>
      <w:numFmt w:val="decimal"/>
      <w:lvlText w:val="%1."/>
      <w:lvlJc w:val="left"/>
      <w:pPr>
        <w:ind w:left="360" w:hanging="360"/>
      </w:pPr>
      <w:rPr>
        <w:rFonts w:hint="default"/>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B787EAB"/>
    <w:multiLevelType w:val="hybridMultilevel"/>
    <w:tmpl w:val="2EFE3836"/>
    <w:lvl w:ilvl="0" w:tplc="D9307FB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BB35AE"/>
    <w:multiLevelType w:val="hybridMultilevel"/>
    <w:tmpl w:val="0D1E8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616A02"/>
    <w:multiLevelType w:val="hybridMultilevel"/>
    <w:tmpl w:val="512EB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262EEC"/>
    <w:multiLevelType w:val="hybridMultilevel"/>
    <w:tmpl w:val="3A6AE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113960"/>
    <w:multiLevelType w:val="multilevel"/>
    <w:tmpl w:val="9C92F846"/>
    <w:lvl w:ilvl="0">
      <w:start w:val="1"/>
      <w:numFmt w:val="bullet"/>
      <w:lvlText w:val=""/>
      <w:lvlJc w:val="left"/>
      <w:pPr>
        <w:ind w:left="284" w:hanging="284"/>
      </w:pPr>
      <w:rPr>
        <w:rFonts w:ascii="Symbol" w:hAnsi="Symbol" w:hint="default"/>
      </w:rPr>
    </w:lvl>
    <w:lvl w:ilvl="1">
      <w:start w:val="1"/>
      <w:numFmt w:val="bullet"/>
      <w:pStyle w:val="RTBulletText"/>
      <w:lvlText w:val=""/>
      <w:lvlJc w:val="left"/>
      <w:pPr>
        <w:tabs>
          <w:tab w:val="num" w:pos="567"/>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F55C12"/>
    <w:multiLevelType w:val="hybridMultilevel"/>
    <w:tmpl w:val="42F4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3420E"/>
    <w:multiLevelType w:val="hybridMultilevel"/>
    <w:tmpl w:val="A4F0AE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0F65C7"/>
    <w:multiLevelType w:val="hybridMultilevel"/>
    <w:tmpl w:val="E520AD98"/>
    <w:lvl w:ilvl="0" w:tplc="4934BAD4">
      <w:numFmt w:val="bullet"/>
      <w:lvlText w:val="-"/>
      <w:lvlJc w:val="left"/>
      <w:pPr>
        <w:ind w:left="720" w:hanging="360"/>
      </w:pPr>
      <w:rPr>
        <w:rFonts w:ascii="Amnesty Trade Gothic Light" w:eastAsia="Times New Roman" w:hAnsi="Amnesty Trade Gothic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D5928"/>
    <w:multiLevelType w:val="hybridMultilevel"/>
    <w:tmpl w:val="340C2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F81988"/>
    <w:multiLevelType w:val="hybridMultilevel"/>
    <w:tmpl w:val="6CE05540"/>
    <w:lvl w:ilvl="0" w:tplc="08B433B8">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71967"/>
    <w:multiLevelType w:val="multilevel"/>
    <w:tmpl w:val="95869B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6A97347"/>
    <w:multiLevelType w:val="multilevel"/>
    <w:tmpl w:val="79787F56"/>
    <w:styleLink w:val="AINumberedList"/>
    <w:lvl w:ilvl="0">
      <w:start w:val="1"/>
      <w:numFmt w:val="decimal"/>
      <w:lvlText w:val="%1."/>
      <w:lvlJc w:val="left"/>
      <w:pPr>
        <w:tabs>
          <w:tab w:val="num" w:pos="357"/>
        </w:tabs>
      </w:pPr>
      <w:rPr>
        <w:rFonts w:ascii="Amnesty Trade Gothic Cn" w:hAnsi="Amnesty Trade Gothic Cn" w:cs="Times New Roman" w:hint="default"/>
        <w:b/>
        <w:i w:val="0"/>
        <w:color w:val="000000"/>
        <w:sz w:val="24"/>
        <w:szCs w:val="24"/>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42" w15:restartNumberingAfterBreak="0">
    <w:nsid w:val="78633FE7"/>
    <w:multiLevelType w:val="hybridMultilevel"/>
    <w:tmpl w:val="741603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C2418"/>
    <w:multiLevelType w:val="multilevel"/>
    <w:tmpl w:val="5B58B218"/>
    <w:styleLink w:val="AIBulletList"/>
    <w:lvl w:ilvl="0">
      <w:start w:val="1"/>
      <w:numFmt w:val="bullet"/>
      <w:lvlText w:val=""/>
      <w:lvlJc w:val="left"/>
      <w:pPr>
        <w:tabs>
          <w:tab w:val="num" w:pos="357"/>
        </w:tabs>
      </w:pPr>
      <w:rPr>
        <w:rFonts w:ascii="Wingdings" w:hAnsi="Wingdings" w:hint="default"/>
        <w:b/>
        <w:color w:val="999999"/>
        <w:sz w:val="14"/>
      </w:rPr>
    </w:lvl>
    <w:lvl w:ilvl="1">
      <w:start w:val="1"/>
      <w:numFmt w:val="bullet"/>
      <w:lvlText w:val=""/>
      <w:lvlJc w:val="left"/>
      <w:pPr>
        <w:tabs>
          <w:tab w:val="num" w:pos="357"/>
        </w:tabs>
        <w:ind w:left="357" w:firstLine="3"/>
      </w:pPr>
      <w:rPr>
        <w:rFonts w:ascii="Wingdings" w:hAnsi="Wingdings" w:hint="default"/>
        <w:b/>
        <w:i w:val="0"/>
        <w:color w:val="999999"/>
        <w:sz w:val="14"/>
      </w:rPr>
    </w:lvl>
    <w:lvl w:ilvl="2">
      <w:start w:val="1"/>
      <w:numFmt w:val="bullet"/>
      <w:lvlText w:val=""/>
      <w:lvlJc w:val="left"/>
      <w:pPr>
        <w:tabs>
          <w:tab w:val="num" w:pos="357"/>
        </w:tabs>
        <w:ind w:left="714"/>
      </w:pPr>
      <w:rPr>
        <w:rFonts w:ascii="Wingdings" w:hAnsi="Wingdings" w:hint="default"/>
        <w:b/>
        <w:i w:val="0"/>
        <w:color w:val="999999"/>
        <w:sz w:val="14"/>
      </w:rPr>
    </w:lvl>
    <w:lvl w:ilvl="3">
      <w:start w:val="1"/>
      <w:numFmt w:val="bullet"/>
      <w:lvlText w:val=""/>
      <w:lvlJc w:val="left"/>
      <w:pPr>
        <w:tabs>
          <w:tab w:val="num" w:pos="357"/>
        </w:tabs>
        <w:ind w:left="714"/>
      </w:pPr>
      <w:rPr>
        <w:rFonts w:ascii="Wingdings" w:hAnsi="Wingdings" w:hint="default"/>
        <w:b/>
        <w:i w:val="0"/>
        <w:color w:val="999999"/>
        <w:sz w:val="14"/>
      </w:rPr>
    </w:lvl>
    <w:lvl w:ilvl="4">
      <w:start w:val="1"/>
      <w:numFmt w:val="bullet"/>
      <w:lvlText w:val=""/>
      <w:lvlJc w:val="left"/>
      <w:pPr>
        <w:tabs>
          <w:tab w:val="num" w:pos="357"/>
        </w:tabs>
        <w:ind w:left="714"/>
      </w:pPr>
      <w:rPr>
        <w:rFonts w:ascii="Wingdings" w:hAnsi="Wingdings" w:hint="default"/>
        <w:b/>
        <w:i w:val="0"/>
        <w:color w:val="999999"/>
        <w:sz w:val="14"/>
      </w:rPr>
    </w:lvl>
    <w:lvl w:ilvl="5">
      <w:start w:val="1"/>
      <w:numFmt w:val="bullet"/>
      <w:lvlText w:val=""/>
      <w:lvlJc w:val="left"/>
      <w:pPr>
        <w:tabs>
          <w:tab w:val="num" w:pos="357"/>
        </w:tabs>
        <w:ind w:left="714"/>
      </w:pPr>
      <w:rPr>
        <w:rFonts w:ascii="Wingdings" w:hAnsi="Wingdings" w:hint="default"/>
        <w:b/>
        <w:i w:val="0"/>
        <w:color w:val="999999"/>
        <w:sz w:val="14"/>
      </w:rPr>
    </w:lvl>
    <w:lvl w:ilvl="6">
      <w:start w:val="1"/>
      <w:numFmt w:val="bullet"/>
      <w:lvlText w:val=""/>
      <w:lvlJc w:val="left"/>
      <w:pPr>
        <w:tabs>
          <w:tab w:val="num" w:pos="357"/>
        </w:tabs>
        <w:ind w:left="714"/>
      </w:pPr>
      <w:rPr>
        <w:rFonts w:ascii="Wingdings" w:hAnsi="Wingdings" w:hint="default"/>
        <w:b/>
        <w:i w:val="0"/>
        <w:color w:val="999999"/>
        <w:sz w:val="14"/>
      </w:rPr>
    </w:lvl>
    <w:lvl w:ilvl="7">
      <w:start w:val="1"/>
      <w:numFmt w:val="bullet"/>
      <w:lvlText w:val=""/>
      <w:lvlJc w:val="left"/>
      <w:pPr>
        <w:tabs>
          <w:tab w:val="num" w:pos="357"/>
        </w:tabs>
        <w:ind w:left="714"/>
      </w:pPr>
      <w:rPr>
        <w:rFonts w:ascii="Wingdings" w:hAnsi="Wingdings" w:hint="default"/>
        <w:b/>
        <w:i w:val="0"/>
        <w:color w:val="999999"/>
        <w:sz w:val="14"/>
      </w:rPr>
    </w:lvl>
    <w:lvl w:ilvl="8">
      <w:start w:val="1"/>
      <w:numFmt w:val="bullet"/>
      <w:lvlText w:val=""/>
      <w:lvlJc w:val="left"/>
      <w:pPr>
        <w:tabs>
          <w:tab w:val="num" w:pos="357"/>
        </w:tabs>
        <w:ind w:left="714"/>
      </w:pPr>
      <w:rPr>
        <w:rFonts w:ascii="Wingdings" w:hAnsi="Wingdings" w:hint="default"/>
        <w:b/>
        <w:i w:val="0"/>
        <w:color w:val="999999"/>
        <w:sz w:val="14"/>
      </w:rPr>
    </w:lvl>
  </w:abstractNum>
  <w:abstractNum w:abstractNumId="44" w15:restartNumberingAfterBreak="0">
    <w:nsid w:val="7C773E26"/>
    <w:multiLevelType w:val="hybridMultilevel"/>
    <w:tmpl w:val="E0223B22"/>
    <w:lvl w:ilvl="0" w:tplc="8AE2983C">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7"/>
  </w:num>
  <w:num w:numId="5">
    <w:abstractNumId w:val="38"/>
  </w:num>
  <w:num w:numId="6">
    <w:abstractNumId w:val="32"/>
  </w:num>
  <w:num w:numId="7">
    <w:abstractNumId w:val="31"/>
  </w:num>
  <w:num w:numId="8">
    <w:abstractNumId w:val="19"/>
  </w:num>
  <w:num w:numId="9">
    <w:abstractNumId w:val="37"/>
  </w:num>
  <w:num w:numId="10">
    <w:abstractNumId w:val="35"/>
  </w:num>
  <w:num w:numId="11">
    <w:abstractNumId w:val="29"/>
  </w:num>
  <w:num w:numId="12">
    <w:abstractNumId w:val="15"/>
  </w:num>
  <w:num w:numId="13">
    <w:abstractNumId w:val="10"/>
  </w:num>
  <w:num w:numId="14">
    <w:abstractNumId w:val="40"/>
  </w:num>
  <w:num w:numId="15">
    <w:abstractNumId w:val="20"/>
  </w:num>
  <w:num w:numId="16">
    <w:abstractNumId w:val="26"/>
  </w:num>
  <w:num w:numId="17">
    <w:abstractNumId w:val="11"/>
  </w:num>
  <w:num w:numId="18">
    <w:abstractNumId w:val="30"/>
  </w:num>
  <w:num w:numId="19">
    <w:abstractNumId w:val="1"/>
  </w:num>
  <w:num w:numId="20">
    <w:abstractNumId w:val="7"/>
  </w:num>
  <w:num w:numId="21">
    <w:abstractNumId w:val="0"/>
  </w:num>
  <w:num w:numId="22">
    <w:abstractNumId w:val="18"/>
  </w:num>
  <w:num w:numId="23">
    <w:abstractNumId w:val="8"/>
  </w:num>
  <w:num w:numId="24">
    <w:abstractNumId w:val="22"/>
  </w:num>
  <w:num w:numId="25">
    <w:abstractNumId w:val="24"/>
  </w:num>
  <w:num w:numId="26">
    <w:abstractNumId w:val="17"/>
  </w:num>
  <w:num w:numId="27">
    <w:abstractNumId w:val="23"/>
  </w:num>
  <w:num w:numId="28">
    <w:abstractNumId w:val="28"/>
  </w:num>
  <w:num w:numId="29">
    <w:abstractNumId w:val="36"/>
  </w:num>
  <w:num w:numId="30">
    <w:abstractNumId w:val="2"/>
  </w:num>
  <w:num w:numId="31">
    <w:abstractNumId w:val="3"/>
  </w:num>
  <w:num w:numId="32">
    <w:abstractNumId w:val="33"/>
  </w:num>
  <w:num w:numId="33">
    <w:abstractNumId w:val="16"/>
  </w:num>
  <w:num w:numId="34">
    <w:abstractNumId w:val="39"/>
  </w:num>
  <w:num w:numId="35">
    <w:abstractNumId w:val="44"/>
  </w:num>
  <w:num w:numId="36">
    <w:abstractNumId w:val="9"/>
  </w:num>
  <w:num w:numId="37">
    <w:abstractNumId w:val="12"/>
  </w:num>
  <w:num w:numId="38">
    <w:abstractNumId w:val="5"/>
  </w:num>
  <w:num w:numId="39">
    <w:abstractNumId w:val="21"/>
  </w:num>
  <w:num w:numId="40">
    <w:abstractNumId w:val="42"/>
  </w:num>
  <w:num w:numId="41">
    <w:abstractNumId w:val="34"/>
  </w:num>
  <w:num w:numId="42">
    <w:abstractNumId w:val="25"/>
  </w:num>
  <w:num w:numId="43">
    <w:abstractNumId w:val="6"/>
  </w:num>
  <w:num w:numId="44">
    <w:abstractNumId w:val="13"/>
  </w:num>
  <w:num w:numId="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35"/>
    <w:rsid w:val="00004D49"/>
    <w:rsid w:val="00004D9D"/>
    <w:rsid w:val="0000500A"/>
    <w:rsid w:val="0001296D"/>
    <w:rsid w:val="000136A6"/>
    <w:rsid w:val="00013F07"/>
    <w:rsid w:val="0001718C"/>
    <w:rsid w:val="00022540"/>
    <w:rsid w:val="00025B55"/>
    <w:rsid w:val="00032461"/>
    <w:rsid w:val="00034512"/>
    <w:rsid w:val="000375D6"/>
    <w:rsid w:val="00047CAC"/>
    <w:rsid w:val="00050DCB"/>
    <w:rsid w:val="00054FA5"/>
    <w:rsid w:val="000552BD"/>
    <w:rsid w:val="00056A5C"/>
    <w:rsid w:val="00062A30"/>
    <w:rsid w:val="00064AA5"/>
    <w:rsid w:val="00071432"/>
    <w:rsid w:val="00092096"/>
    <w:rsid w:val="000920EA"/>
    <w:rsid w:val="000955AC"/>
    <w:rsid w:val="000A1A61"/>
    <w:rsid w:val="000A1AB5"/>
    <w:rsid w:val="000A1AB9"/>
    <w:rsid w:val="000A2B59"/>
    <w:rsid w:val="000A694B"/>
    <w:rsid w:val="000A6C80"/>
    <w:rsid w:val="000B0E17"/>
    <w:rsid w:val="000B1820"/>
    <w:rsid w:val="000B28F3"/>
    <w:rsid w:val="000B5C8B"/>
    <w:rsid w:val="000C6C1C"/>
    <w:rsid w:val="000D0BB3"/>
    <w:rsid w:val="000D1D9A"/>
    <w:rsid w:val="000D69A2"/>
    <w:rsid w:val="000D6B46"/>
    <w:rsid w:val="000E0021"/>
    <w:rsid w:val="000E2FE2"/>
    <w:rsid w:val="000F0007"/>
    <w:rsid w:val="000F0116"/>
    <w:rsid w:val="000F44E8"/>
    <w:rsid w:val="000F4E76"/>
    <w:rsid w:val="001011BA"/>
    <w:rsid w:val="00106269"/>
    <w:rsid w:val="001151EC"/>
    <w:rsid w:val="0011579A"/>
    <w:rsid w:val="00115BF3"/>
    <w:rsid w:val="0013616B"/>
    <w:rsid w:val="001469BB"/>
    <w:rsid w:val="00152A4D"/>
    <w:rsid w:val="0015471A"/>
    <w:rsid w:val="00154771"/>
    <w:rsid w:val="00162298"/>
    <w:rsid w:val="001708FB"/>
    <w:rsid w:val="00171FAA"/>
    <w:rsid w:val="00173B69"/>
    <w:rsid w:val="00180B32"/>
    <w:rsid w:val="00181AC8"/>
    <w:rsid w:val="001935D9"/>
    <w:rsid w:val="00196AA2"/>
    <w:rsid w:val="001A1321"/>
    <w:rsid w:val="001B6144"/>
    <w:rsid w:val="001C51CA"/>
    <w:rsid w:val="001D117A"/>
    <w:rsid w:val="001D3BBF"/>
    <w:rsid w:val="001E69CD"/>
    <w:rsid w:val="001F6566"/>
    <w:rsid w:val="00207EDA"/>
    <w:rsid w:val="00221079"/>
    <w:rsid w:val="00221E11"/>
    <w:rsid w:val="00225E76"/>
    <w:rsid w:val="00226986"/>
    <w:rsid w:val="0023481D"/>
    <w:rsid w:val="00243BE1"/>
    <w:rsid w:val="002451ED"/>
    <w:rsid w:val="00245655"/>
    <w:rsid w:val="00253532"/>
    <w:rsid w:val="002537E0"/>
    <w:rsid w:val="00260852"/>
    <w:rsid w:val="002639C3"/>
    <w:rsid w:val="002642E2"/>
    <w:rsid w:val="0026771C"/>
    <w:rsid w:val="00275F3A"/>
    <w:rsid w:val="00282600"/>
    <w:rsid w:val="0028386A"/>
    <w:rsid w:val="00284D97"/>
    <w:rsid w:val="00293033"/>
    <w:rsid w:val="002A127E"/>
    <w:rsid w:val="002A2FF6"/>
    <w:rsid w:val="002A4C7D"/>
    <w:rsid w:val="002A4E49"/>
    <w:rsid w:val="002A5157"/>
    <w:rsid w:val="002A773A"/>
    <w:rsid w:val="002A78CA"/>
    <w:rsid w:val="002B137E"/>
    <w:rsid w:val="002B3861"/>
    <w:rsid w:val="002C022E"/>
    <w:rsid w:val="002C37B4"/>
    <w:rsid w:val="002D323D"/>
    <w:rsid w:val="002D5135"/>
    <w:rsid w:val="002F3E05"/>
    <w:rsid w:val="00304C74"/>
    <w:rsid w:val="003070EF"/>
    <w:rsid w:val="00315A23"/>
    <w:rsid w:val="00315CAB"/>
    <w:rsid w:val="00322D07"/>
    <w:rsid w:val="003308B2"/>
    <w:rsid w:val="00330CB6"/>
    <w:rsid w:val="00331B2F"/>
    <w:rsid w:val="0034186D"/>
    <w:rsid w:val="003521FA"/>
    <w:rsid w:val="0035327E"/>
    <w:rsid w:val="0035563B"/>
    <w:rsid w:val="00362CFD"/>
    <w:rsid w:val="00365AD1"/>
    <w:rsid w:val="00367548"/>
    <w:rsid w:val="00372218"/>
    <w:rsid w:val="00372381"/>
    <w:rsid w:val="00372945"/>
    <w:rsid w:val="00372DF6"/>
    <w:rsid w:val="00374301"/>
    <w:rsid w:val="00375A7A"/>
    <w:rsid w:val="003810FF"/>
    <w:rsid w:val="00397162"/>
    <w:rsid w:val="003A22E7"/>
    <w:rsid w:val="003B38CC"/>
    <w:rsid w:val="003B4588"/>
    <w:rsid w:val="003B6E5A"/>
    <w:rsid w:val="003D29AF"/>
    <w:rsid w:val="003D4EAF"/>
    <w:rsid w:val="003E4465"/>
    <w:rsid w:val="003E781B"/>
    <w:rsid w:val="003F0D95"/>
    <w:rsid w:val="003F5ABB"/>
    <w:rsid w:val="00401958"/>
    <w:rsid w:val="004027CF"/>
    <w:rsid w:val="00420B9E"/>
    <w:rsid w:val="0042795F"/>
    <w:rsid w:val="00455B5E"/>
    <w:rsid w:val="00464128"/>
    <w:rsid w:val="00466605"/>
    <w:rsid w:val="0047076A"/>
    <w:rsid w:val="00470A72"/>
    <w:rsid w:val="004717A9"/>
    <w:rsid w:val="004819C9"/>
    <w:rsid w:val="0048669A"/>
    <w:rsid w:val="00496B3E"/>
    <w:rsid w:val="004A1A8B"/>
    <w:rsid w:val="004A1C05"/>
    <w:rsid w:val="004A2E46"/>
    <w:rsid w:val="004B0DAF"/>
    <w:rsid w:val="004B177A"/>
    <w:rsid w:val="004B1B46"/>
    <w:rsid w:val="004B4BA0"/>
    <w:rsid w:val="004B7A6C"/>
    <w:rsid w:val="004C0661"/>
    <w:rsid w:val="004C21D6"/>
    <w:rsid w:val="004D1AAA"/>
    <w:rsid w:val="004D3C1E"/>
    <w:rsid w:val="004E169F"/>
    <w:rsid w:val="004E2441"/>
    <w:rsid w:val="004F0931"/>
    <w:rsid w:val="00504061"/>
    <w:rsid w:val="0051444C"/>
    <w:rsid w:val="0052511E"/>
    <w:rsid w:val="005260B6"/>
    <w:rsid w:val="005335D8"/>
    <w:rsid w:val="005336BC"/>
    <w:rsid w:val="00533EE6"/>
    <w:rsid w:val="00535B1B"/>
    <w:rsid w:val="005407DE"/>
    <w:rsid w:val="00542044"/>
    <w:rsid w:val="005442F2"/>
    <w:rsid w:val="00557EB7"/>
    <w:rsid w:val="0057249E"/>
    <w:rsid w:val="005726F3"/>
    <w:rsid w:val="00574CC8"/>
    <w:rsid w:val="00577060"/>
    <w:rsid w:val="00580EE5"/>
    <w:rsid w:val="0059554B"/>
    <w:rsid w:val="005A68E3"/>
    <w:rsid w:val="005A74D3"/>
    <w:rsid w:val="005B4A41"/>
    <w:rsid w:val="005B5EBB"/>
    <w:rsid w:val="005B60C5"/>
    <w:rsid w:val="005C0326"/>
    <w:rsid w:val="005C1212"/>
    <w:rsid w:val="005C3139"/>
    <w:rsid w:val="005D1A79"/>
    <w:rsid w:val="005E04B7"/>
    <w:rsid w:val="005E08D1"/>
    <w:rsid w:val="005E12B9"/>
    <w:rsid w:val="005E1F47"/>
    <w:rsid w:val="005E50F1"/>
    <w:rsid w:val="005E5D20"/>
    <w:rsid w:val="005E7207"/>
    <w:rsid w:val="005F3606"/>
    <w:rsid w:val="00602F51"/>
    <w:rsid w:val="0060321B"/>
    <w:rsid w:val="0060577E"/>
    <w:rsid w:val="00611170"/>
    <w:rsid w:val="00611DA9"/>
    <w:rsid w:val="00613510"/>
    <w:rsid w:val="00613A4A"/>
    <w:rsid w:val="00620D05"/>
    <w:rsid w:val="006210CE"/>
    <w:rsid w:val="0062310A"/>
    <w:rsid w:val="00632AD2"/>
    <w:rsid w:val="006360C2"/>
    <w:rsid w:val="00640D32"/>
    <w:rsid w:val="00655A0A"/>
    <w:rsid w:val="0066172F"/>
    <w:rsid w:val="00663518"/>
    <w:rsid w:val="006636AF"/>
    <w:rsid w:val="006655B8"/>
    <w:rsid w:val="00670965"/>
    <w:rsid w:val="006716B3"/>
    <w:rsid w:val="00671A43"/>
    <w:rsid w:val="006768BF"/>
    <w:rsid w:val="00691ACB"/>
    <w:rsid w:val="00691C2A"/>
    <w:rsid w:val="00695D97"/>
    <w:rsid w:val="006A0C34"/>
    <w:rsid w:val="006B1EBF"/>
    <w:rsid w:val="006B27F1"/>
    <w:rsid w:val="006B2B70"/>
    <w:rsid w:val="006B2EA1"/>
    <w:rsid w:val="006B3C62"/>
    <w:rsid w:val="006B501D"/>
    <w:rsid w:val="006C16CE"/>
    <w:rsid w:val="006D3D58"/>
    <w:rsid w:val="006E05BE"/>
    <w:rsid w:val="006E0891"/>
    <w:rsid w:val="006F1733"/>
    <w:rsid w:val="006F3833"/>
    <w:rsid w:val="006F7491"/>
    <w:rsid w:val="00705E57"/>
    <w:rsid w:val="007165AA"/>
    <w:rsid w:val="00723001"/>
    <w:rsid w:val="007252BA"/>
    <w:rsid w:val="00726498"/>
    <w:rsid w:val="00726F39"/>
    <w:rsid w:val="00727A99"/>
    <w:rsid w:val="007321BD"/>
    <w:rsid w:val="007462CF"/>
    <w:rsid w:val="00752A94"/>
    <w:rsid w:val="007561F8"/>
    <w:rsid w:val="0075634D"/>
    <w:rsid w:val="007609D6"/>
    <w:rsid w:val="00762942"/>
    <w:rsid w:val="0077060D"/>
    <w:rsid w:val="0077125B"/>
    <w:rsid w:val="00771940"/>
    <w:rsid w:val="0078045D"/>
    <w:rsid w:val="00786F3A"/>
    <w:rsid w:val="007913AF"/>
    <w:rsid w:val="007974B2"/>
    <w:rsid w:val="007A5A65"/>
    <w:rsid w:val="007A6143"/>
    <w:rsid w:val="007B5154"/>
    <w:rsid w:val="007C10F5"/>
    <w:rsid w:val="007C7F1F"/>
    <w:rsid w:val="007E0910"/>
    <w:rsid w:val="007E188D"/>
    <w:rsid w:val="007E18D8"/>
    <w:rsid w:val="007E576C"/>
    <w:rsid w:val="007E7456"/>
    <w:rsid w:val="007F04EF"/>
    <w:rsid w:val="007F0CCF"/>
    <w:rsid w:val="007F2AB5"/>
    <w:rsid w:val="007F3EF6"/>
    <w:rsid w:val="0080103C"/>
    <w:rsid w:val="00814F29"/>
    <w:rsid w:val="008241BA"/>
    <w:rsid w:val="00826312"/>
    <w:rsid w:val="008443EB"/>
    <w:rsid w:val="0084470D"/>
    <w:rsid w:val="00844B17"/>
    <w:rsid w:val="00847A53"/>
    <w:rsid w:val="00851D66"/>
    <w:rsid w:val="008551F1"/>
    <w:rsid w:val="0085757C"/>
    <w:rsid w:val="00857BB3"/>
    <w:rsid w:val="0086333C"/>
    <w:rsid w:val="00865824"/>
    <w:rsid w:val="0087095B"/>
    <w:rsid w:val="0087276D"/>
    <w:rsid w:val="0088077D"/>
    <w:rsid w:val="0088414B"/>
    <w:rsid w:val="00884DBC"/>
    <w:rsid w:val="008861F9"/>
    <w:rsid w:val="00887FAA"/>
    <w:rsid w:val="0089659F"/>
    <w:rsid w:val="00896692"/>
    <w:rsid w:val="008A2182"/>
    <w:rsid w:val="008A3EDA"/>
    <w:rsid w:val="008B08BC"/>
    <w:rsid w:val="008B1753"/>
    <w:rsid w:val="008B584E"/>
    <w:rsid w:val="008C407E"/>
    <w:rsid w:val="008C4450"/>
    <w:rsid w:val="008C6469"/>
    <w:rsid w:val="008C6D96"/>
    <w:rsid w:val="008C7A86"/>
    <w:rsid w:val="008D4BC4"/>
    <w:rsid w:val="008D5528"/>
    <w:rsid w:val="00906A64"/>
    <w:rsid w:val="0091134F"/>
    <w:rsid w:val="00925289"/>
    <w:rsid w:val="009262AD"/>
    <w:rsid w:val="00930683"/>
    <w:rsid w:val="00933397"/>
    <w:rsid w:val="0093358C"/>
    <w:rsid w:val="00943016"/>
    <w:rsid w:val="009432C8"/>
    <w:rsid w:val="00946570"/>
    <w:rsid w:val="00947A19"/>
    <w:rsid w:val="009548C9"/>
    <w:rsid w:val="0095740A"/>
    <w:rsid w:val="009624C7"/>
    <w:rsid w:val="00962647"/>
    <w:rsid w:val="00982544"/>
    <w:rsid w:val="00992C76"/>
    <w:rsid w:val="009A3DD0"/>
    <w:rsid w:val="009A646A"/>
    <w:rsid w:val="009A77D4"/>
    <w:rsid w:val="009B306E"/>
    <w:rsid w:val="009B5F9F"/>
    <w:rsid w:val="009C200D"/>
    <w:rsid w:val="009D24F5"/>
    <w:rsid w:val="009D4E45"/>
    <w:rsid w:val="009D50A9"/>
    <w:rsid w:val="009E041C"/>
    <w:rsid w:val="009E6446"/>
    <w:rsid w:val="009F17A7"/>
    <w:rsid w:val="009F40CA"/>
    <w:rsid w:val="00A06B14"/>
    <w:rsid w:val="00A06D33"/>
    <w:rsid w:val="00A219E8"/>
    <w:rsid w:val="00A2699E"/>
    <w:rsid w:val="00A42318"/>
    <w:rsid w:val="00A53111"/>
    <w:rsid w:val="00A62A67"/>
    <w:rsid w:val="00A65A98"/>
    <w:rsid w:val="00A75017"/>
    <w:rsid w:val="00A76881"/>
    <w:rsid w:val="00A76A16"/>
    <w:rsid w:val="00A83BC4"/>
    <w:rsid w:val="00A85B7F"/>
    <w:rsid w:val="00A90C58"/>
    <w:rsid w:val="00A9431E"/>
    <w:rsid w:val="00A96E32"/>
    <w:rsid w:val="00AA189C"/>
    <w:rsid w:val="00AA2E35"/>
    <w:rsid w:val="00AA7EC6"/>
    <w:rsid w:val="00AB3321"/>
    <w:rsid w:val="00AC024B"/>
    <w:rsid w:val="00AD027B"/>
    <w:rsid w:val="00AD0BC0"/>
    <w:rsid w:val="00AD1315"/>
    <w:rsid w:val="00AD49EF"/>
    <w:rsid w:val="00AE0157"/>
    <w:rsid w:val="00AF2C3F"/>
    <w:rsid w:val="00AF3819"/>
    <w:rsid w:val="00AF5BE3"/>
    <w:rsid w:val="00AF7BD2"/>
    <w:rsid w:val="00B010EF"/>
    <w:rsid w:val="00B072A2"/>
    <w:rsid w:val="00B101CF"/>
    <w:rsid w:val="00B10271"/>
    <w:rsid w:val="00B1468F"/>
    <w:rsid w:val="00B329F3"/>
    <w:rsid w:val="00B33FD8"/>
    <w:rsid w:val="00B3551B"/>
    <w:rsid w:val="00B512C4"/>
    <w:rsid w:val="00B51319"/>
    <w:rsid w:val="00B51C52"/>
    <w:rsid w:val="00B525A6"/>
    <w:rsid w:val="00B52929"/>
    <w:rsid w:val="00B64C64"/>
    <w:rsid w:val="00B6765C"/>
    <w:rsid w:val="00B75D02"/>
    <w:rsid w:val="00B75FBA"/>
    <w:rsid w:val="00B77EDD"/>
    <w:rsid w:val="00B81C8C"/>
    <w:rsid w:val="00B87100"/>
    <w:rsid w:val="00B9011F"/>
    <w:rsid w:val="00B97263"/>
    <w:rsid w:val="00BA0DB8"/>
    <w:rsid w:val="00BA204D"/>
    <w:rsid w:val="00BA69EA"/>
    <w:rsid w:val="00BB1066"/>
    <w:rsid w:val="00BB1696"/>
    <w:rsid w:val="00BB586B"/>
    <w:rsid w:val="00BC4C43"/>
    <w:rsid w:val="00BC56B7"/>
    <w:rsid w:val="00BD3405"/>
    <w:rsid w:val="00BD5B66"/>
    <w:rsid w:val="00BE1F83"/>
    <w:rsid w:val="00BE6420"/>
    <w:rsid w:val="00BE797E"/>
    <w:rsid w:val="00BE7FD6"/>
    <w:rsid w:val="00BF49AE"/>
    <w:rsid w:val="00BF51C3"/>
    <w:rsid w:val="00BF7666"/>
    <w:rsid w:val="00C011FC"/>
    <w:rsid w:val="00C0612E"/>
    <w:rsid w:val="00C20293"/>
    <w:rsid w:val="00C30434"/>
    <w:rsid w:val="00C31F05"/>
    <w:rsid w:val="00C34064"/>
    <w:rsid w:val="00C34C1F"/>
    <w:rsid w:val="00C42DAB"/>
    <w:rsid w:val="00C444F6"/>
    <w:rsid w:val="00C5605A"/>
    <w:rsid w:val="00C56C95"/>
    <w:rsid w:val="00C6673B"/>
    <w:rsid w:val="00C76CB0"/>
    <w:rsid w:val="00C91471"/>
    <w:rsid w:val="00C955D0"/>
    <w:rsid w:val="00CA1F6D"/>
    <w:rsid w:val="00CA4292"/>
    <w:rsid w:val="00CB053B"/>
    <w:rsid w:val="00CB352F"/>
    <w:rsid w:val="00CB3802"/>
    <w:rsid w:val="00CC1958"/>
    <w:rsid w:val="00CC7E9D"/>
    <w:rsid w:val="00CD0DD1"/>
    <w:rsid w:val="00CD2B6B"/>
    <w:rsid w:val="00CD3EFB"/>
    <w:rsid w:val="00CD5420"/>
    <w:rsid w:val="00CE2FFD"/>
    <w:rsid w:val="00D02D78"/>
    <w:rsid w:val="00D07C83"/>
    <w:rsid w:val="00D1400B"/>
    <w:rsid w:val="00D153A5"/>
    <w:rsid w:val="00D26B22"/>
    <w:rsid w:val="00D3431C"/>
    <w:rsid w:val="00D35685"/>
    <w:rsid w:val="00D45B4B"/>
    <w:rsid w:val="00D51949"/>
    <w:rsid w:val="00D54BCD"/>
    <w:rsid w:val="00D649F2"/>
    <w:rsid w:val="00D64F5A"/>
    <w:rsid w:val="00D85DA5"/>
    <w:rsid w:val="00D90DAF"/>
    <w:rsid w:val="00DA5366"/>
    <w:rsid w:val="00DA71BA"/>
    <w:rsid w:val="00DB3CFA"/>
    <w:rsid w:val="00DC1B16"/>
    <w:rsid w:val="00DC59D6"/>
    <w:rsid w:val="00DC6096"/>
    <w:rsid w:val="00DD139F"/>
    <w:rsid w:val="00DE6FAC"/>
    <w:rsid w:val="00DF0354"/>
    <w:rsid w:val="00DF1520"/>
    <w:rsid w:val="00DF1C95"/>
    <w:rsid w:val="00DF2D7B"/>
    <w:rsid w:val="00E01346"/>
    <w:rsid w:val="00E01D9B"/>
    <w:rsid w:val="00E052FB"/>
    <w:rsid w:val="00E1436F"/>
    <w:rsid w:val="00E143C0"/>
    <w:rsid w:val="00E1717C"/>
    <w:rsid w:val="00E25D16"/>
    <w:rsid w:val="00E2631F"/>
    <w:rsid w:val="00E35264"/>
    <w:rsid w:val="00E42145"/>
    <w:rsid w:val="00E4789E"/>
    <w:rsid w:val="00E47C2B"/>
    <w:rsid w:val="00E5133E"/>
    <w:rsid w:val="00E53F37"/>
    <w:rsid w:val="00E60C91"/>
    <w:rsid w:val="00E73078"/>
    <w:rsid w:val="00E826BA"/>
    <w:rsid w:val="00E91CDD"/>
    <w:rsid w:val="00E947A9"/>
    <w:rsid w:val="00E95424"/>
    <w:rsid w:val="00E9676D"/>
    <w:rsid w:val="00EA5F1B"/>
    <w:rsid w:val="00EA6178"/>
    <w:rsid w:val="00EB21A3"/>
    <w:rsid w:val="00EB2EF8"/>
    <w:rsid w:val="00EB5474"/>
    <w:rsid w:val="00EB6DC1"/>
    <w:rsid w:val="00EC31CE"/>
    <w:rsid w:val="00EC79EE"/>
    <w:rsid w:val="00ED0545"/>
    <w:rsid w:val="00ED0BC0"/>
    <w:rsid w:val="00ED1DC4"/>
    <w:rsid w:val="00ED29D0"/>
    <w:rsid w:val="00ED45A7"/>
    <w:rsid w:val="00ED48B1"/>
    <w:rsid w:val="00ED4D7C"/>
    <w:rsid w:val="00ED5C45"/>
    <w:rsid w:val="00EE443B"/>
    <w:rsid w:val="00EE5863"/>
    <w:rsid w:val="00EE66DA"/>
    <w:rsid w:val="00EE7C2E"/>
    <w:rsid w:val="00EF0FF2"/>
    <w:rsid w:val="00EF573E"/>
    <w:rsid w:val="00F00212"/>
    <w:rsid w:val="00F00A33"/>
    <w:rsid w:val="00F00C23"/>
    <w:rsid w:val="00F04078"/>
    <w:rsid w:val="00F10D98"/>
    <w:rsid w:val="00F11B66"/>
    <w:rsid w:val="00F1280D"/>
    <w:rsid w:val="00F15BD8"/>
    <w:rsid w:val="00F15D23"/>
    <w:rsid w:val="00F16E1B"/>
    <w:rsid w:val="00F16E58"/>
    <w:rsid w:val="00F219F0"/>
    <w:rsid w:val="00F23B93"/>
    <w:rsid w:val="00F24652"/>
    <w:rsid w:val="00F2790D"/>
    <w:rsid w:val="00F36F8C"/>
    <w:rsid w:val="00F421F3"/>
    <w:rsid w:val="00F44700"/>
    <w:rsid w:val="00F4514B"/>
    <w:rsid w:val="00F455D2"/>
    <w:rsid w:val="00F46AAC"/>
    <w:rsid w:val="00F528DB"/>
    <w:rsid w:val="00F54347"/>
    <w:rsid w:val="00F557FE"/>
    <w:rsid w:val="00F57091"/>
    <w:rsid w:val="00F6183D"/>
    <w:rsid w:val="00F65956"/>
    <w:rsid w:val="00F67B58"/>
    <w:rsid w:val="00F752A3"/>
    <w:rsid w:val="00F75E4E"/>
    <w:rsid w:val="00F835CB"/>
    <w:rsid w:val="00F83A89"/>
    <w:rsid w:val="00F84493"/>
    <w:rsid w:val="00F85AF9"/>
    <w:rsid w:val="00F86786"/>
    <w:rsid w:val="00FD5BBC"/>
    <w:rsid w:val="00FD5EE2"/>
    <w:rsid w:val="00FD7C10"/>
    <w:rsid w:val="00FE2856"/>
    <w:rsid w:val="00FE4653"/>
    <w:rsid w:val="00FF2A19"/>
    <w:rsid w:val="41DEB742"/>
    <w:rsid w:val="509A14F5"/>
    <w:rsid w:val="6283E2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EF5B1C"/>
  <w15:docId w15:val="{2CCCEC8E-5447-43D2-842E-52B574FB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uiPriority="9"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E35"/>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link w:val="Heading1Char"/>
    <w:qFormat/>
    <w:rsid w:val="00464128"/>
    <w:pPr>
      <w:keepNext/>
      <w:widowControl/>
      <w:numPr>
        <w:numId w:val="1"/>
      </w:numPr>
      <w:spacing w:line="560" w:lineRule="atLeast"/>
      <w:outlineLvl w:val="0"/>
    </w:pPr>
    <w:rPr>
      <w:rFonts w:ascii="Amnesty Trade Gothic Cn" w:hAnsi="Amnesty Trade Gothic Cn"/>
      <w:b/>
      <w:caps/>
      <w:kern w:val="1"/>
      <w:sz w:val="56"/>
      <w:szCs w:val="32"/>
    </w:rPr>
  </w:style>
  <w:style w:type="paragraph" w:styleId="Heading2">
    <w:name w:val="heading 2"/>
    <w:basedOn w:val="Normal"/>
    <w:next w:val="Normal"/>
    <w:link w:val="Heading2Char"/>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uiPriority w:val="9"/>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Normal"/>
    <w:next w:val="Normal"/>
    <w:link w:val="Heading4Char"/>
    <w:qFormat/>
    <w:rsid w:val="005C3139"/>
    <w:pPr>
      <w:numPr>
        <w:ilvl w:val="3"/>
        <w:numId w:val="1"/>
      </w:numPr>
      <w:outlineLvl w:val="3"/>
    </w:pPr>
  </w:style>
  <w:style w:type="paragraph" w:styleId="Heading5">
    <w:name w:val="heading 5"/>
    <w:basedOn w:val="Heading4"/>
    <w:next w:val="Normal"/>
    <w:link w:val="Heading5Char"/>
    <w:qFormat/>
    <w:rsid w:val="005C3139"/>
    <w:pPr>
      <w:numPr>
        <w:ilvl w:val="4"/>
      </w:numPr>
      <w:outlineLvl w:val="4"/>
    </w:pPr>
  </w:style>
  <w:style w:type="paragraph" w:styleId="Heading6">
    <w:name w:val="heading 6"/>
    <w:basedOn w:val="Heading5"/>
    <w:next w:val="Normal"/>
    <w:link w:val="Heading6Char"/>
    <w:qFormat/>
    <w:rsid w:val="005C3139"/>
    <w:pPr>
      <w:numPr>
        <w:ilvl w:val="5"/>
      </w:numPr>
      <w:outlineLvl w:val="5"/>
    </w:pPr>
  </w:style>
  <w:style w:type="paragraph" w:styleId="Heading7">
    <w:name w:val="heading 7"/>
    <w:basedOn w:val="Heading6"/>
    <w:next w:val="Normal"/>
    <w:link w:val="Heading7Char"/>
    <w:qFormat/>
    <w:rsid w:val="005C3139"/>
    <w:pPr>
      <w:numPr>
        <w:ilvl w:val="6"/>
      </w:numPr>
      <w:outlineLvl w:val="6"/>
    </w:pPr>
  </w:style>
  <w:style w:type="paragraph" w:styleId="Heading8">
    <w:name w:val="heading 8"/>
    <w:basedOn w:val="Heading7"/>
    <w:next w:val="Normal"/>
    <w:link w:val="Heading8Char"/>
    <w:qFormat/>
    <w:rsid w:val="005C3139"/>
    <w:pPr>
      <w:numPr>
        <w:ilvl w:val="7"/>
      </w:numPr>
      <w:outlineLvl w:val="7"/>
    </w:pPr>
  </w:style>
  <w:style w:type="paragraph" w:styleId="Heading9">
    <w:name w:val="heading 9"/>
    <w:basedOn w:val="Heading8"/>
    <w:next w:val="Normal"/>
    <w:link w:val="Heading9Char"/>
    <w:qFormat/>
    <w:rsid w:val="005C31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mnesty Trade Gothic Cn" w:hAnsi="Amnesty Trade Gothic Cn"/>
      <w:b/>
      <w:caps/>
      <w:color w:val="000000"/>
      <w:kern w:val="1"/>
      <w:sz w:val="56"/>
      <w:szCs w:val="32"/>
      <w:lang w:eastAsia="ar-SA"/>
    </w:rPr>
  </w:style>
  <w:style w:type="character" w:customStyle="1" w:styleId="Heading2Char">
    <w:name w:val="Heading 2 Char"/>
    <w:basedOn w:val="DefaultParagraphFont"/>
    <w:link w:val="Heading2"/>
    <w:locked/>
    <w:rPr>
      <w:rFonts w:ascii="Amnesty Trade Gothic Cn" w:hAnsi="Amnesty Trade Gothic Cn"/>
      <w:caps/>
      <w:color w:val="000000"/>
      <w:sz w:val="26"/>
      <w:szCs w:val="28"/>
      <w:lang w:eastAsia="ar-SA"/>
    </w:rPr>
  </w:style>
  <w:style w:type="character" w:customStyle="1" w:styleId="Heading3Char">
    <w:name w:val="Heading 3 Char"/>
    <w:basedOn w:val="DefaultParagraphFont"/>
    <w:link w:val="Heading3"/>
    <w:uiPriority w:val="9"/>
    <w:locked/>
    <w:rPr>
      <w:rFonts w:ascii="Amnesty Trade Gothic Cn" w:hAnsi="Amnesty Trade Gothic Cn"/>
      <w:caps/>
      <w:color w:val="000000"/>
      <w:szCs w:val="26"/>
      <w:lang w:eastAsia="ar-SA"/>
    </w:rPr>
  </w:style>
  <w:style w:type="character" w:customStyle="1" w:styleId="Heading4Char">
    <w:name w:val="Heading 4 Char"/>
    <w:basedOn w:val="DefaultParagraphFont"/>
    <w:link w:val="Heading4"/>
    <w:locked/>
    <w:rPr>
      <w:rFonts w:ascii="Amnesty Trade Gothic" w:hAnsi="Amnesty Trade Gothic"/>
      <w:color w:val="000000"/>
      <w:sz w:val="18"/>
      <w:szCs w:val="24"/>
      <w:lang w:eastAsia="ar-SA"/>
    </w:rPr>
  </w:style>
  <w:style w:type="character" w:customStyle="1" w:styleId="Heading5Char">
    <w:name w:val="Heading 5 Char"/>
    <w:basedOn w:val="DefaultParagraphFont"/>
    <w:link w:val="Heading5"/>
    <w:locked/>
    <w:rPr>
      <w:rFonts w:ascii="Amnesty Trade Gothic" w:hAnsi="Amnesty Trade Gothic"/>
      <w:color w:val="000000"/>
      <w:sz w:val="18"/>
      <w:szCs w:val="24"/>
      <w:lang w:eastAsia="ar-SA"/>
    </w:rPr>
  </w:style>
  <w:style w:type="character" w:customStyle="1" w:styleId="Heading6Char">
    <w:name w:val="Heading 6 Char"/>
    <w:basedOn w:val="DefaultParagraphFont"/>
    <w:link w:val="Heading6"/>
    <w:locked/>
    <w:rPr>
      <w:rFonts w:ascii="Amnesty Trade Gothic" w:hAnsi="Amnesty Trade Gothic"/>
      <w:color w:val="000000"/>
      <w:sz w:val="18"/>
      <w:szCs w:val="24"/>
      <w:lang w:eastAsia="ar-SA"/>
    </w:rPr>
  </w:style>
  <w:style w:type="character" w:customStyle="1" w:styleId="Heading7Char">
    <w:name w:val="Heading 7 Char"/>
    <w:basedOn w:val="DefaultParagraphFont"/>
    <w:link w:val="Heading7"/>
    <w:locked/>
    <w:rPr>
      <w:rFonts w:ascii="Amnesty Trade Gothic" w:hAnsi="Amnesty Trade Gothic"/>
      <w:color w:val="000000"/>
      <w:sz w:val="18"/>
      <w:szCs w:val="24"/>
      <w:lang w:eastAsia="ar-SA"/>
    </w:rPr>
  </w:style>
  <w:style w:type="character" w:customStyle="1" w:styleId="Heading8Char">
    <w:name w:val="Heading 8 Char"/>
    <w:basedOn w:val="DefaultParagraphFont"/>
    <w:link w:val="Heading8"/>
    <w:locked/>
    <w:rPr>
      <w:rFonts w:ascii="Amnesty Trade Gothic" w:hAnsi="Amnesty Trade Gothic"/>
      <w:color w:val="000000"/>
      <w:sz w:val="18"/>
      <w:szCs w:val="24"/>
      <w:lang w:eastAsia="ar-SA"/>
    </w:rPr>
  </w:style>
  <w:style w:type="character" w:customStyle="1" w:styleId="Heading9Char">
    <w:name w:val="Heading 9 Char"/>
    <w:basedOn w:val="DefaultParagraphFont"/>
    <w:link w:val="Heading9"/>
    <w:locked/>
    <w:rPr>
      <w:rFonts w:ascii="Amnesty Trade Gothic" w:hAnsi="Amnesty Trade Gothic"/>
      <w:color w:val="000000"/>
      <w:sz w:val="18"/>
      <w:szCs w:val="24"/>
      <w:lang w:eastAsia="ar-SA"/>
    </w:rPr>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character" w:customStyle="1" w:styleId="EndnoteCharacters">
    <w:name w:val="Endnote Characters"/>
    <w:rsid w:val="00B072A2"/>
    <w:rPr>
      <w:rFonts w:ascii="Amnesty Trade Gothic" w:hAnsi="Amnesty Trade Gothic"/>
      <w:vertAlign w:val="superscript"/>
    </w:rPr>
  </w:style>
  <w:style w:type="character" w:styleId="Hyperlink">
    <w:name w:val="Hyperlink"/>
    <w:basedOn w:val="DefaultParagraphFont"/>
    <w:uiPriority w:val="99"/>
    <w:rsid w:val="00727A99"/>
    <w:rPr>
      <w:rFonts w:cs="Times New Roman"/>
      <w:color w:val="0000FF"/>
      <w:u w:val="single"/>
    </w:rPr>
  </w:style>
  <w:style w:type="paragraph" w:styleId="Header">
    <w:name w:val="header"/>
    <w:basedOn w:val="Normal"/>
    <w:link w:val="HeaderChar"/>
    <w:rsid w:val="0011579A"/>
    <w:pPr>
      <w:tabs>
        <w:tab w:val="center" w:pos="4153"/>
        <w:tab w:val="right" w:pos="8306"/>
      </w:tabs>
    </w:pPr>
  </w:style>
  <w:style w:type="character" w:customStyle="1" w:styleId="HeaderChar">
    <w:name w:val="Header Char"/>
    <w:basedOn w:val="DefaultParagraphFont"/>
    <w:link w:val="Header"/>
    <w:semiHidden/>
    <w:locked/>
    <w:rPr>
      <w:rFonts w:ascii="Amnesty Trade Gothic" w:hAnsi="Amnesty Trade Gothic" w:cs="Times New Roman"/>
      <w:color w:val="000000"/>
      <w:sz w:val="24"/>
      <w:szCs w:val="24"/>
      <w:lang w:val="x-none" w:eastAsia="ar-SA" w:bidi="ar-SA"/>
    </w:rPr>
  </w:style>
  <w:style w:type="character" w:styleId="EndnoteReference">
    <w:name w:val="endnote reference"/>
    <w:basedOn w:val="DefaultParagraphFont"/>
    <w:semiHidden/>
    <w:rsid w:val="005C3139"/>
    <w:rPr>
      <w:rFonts w:cs="Times New Roman"/>
      <w:vertAlign w:val="superscript"/>
    </w:rPr>
  </w:style>
  <w:style w:type="paragraph" w:styleId="Footer">
    <w:name w:val="footer"/>
    <w:basedOn w:val="Normal"/>
    <w:link w:val="FooterChar"/>
    <w:uiPriority w:val="99"/>
    <w:rsid w:val="0011579A"/>
    <w:pPr>
      <w:tabs>
        <w:tab w:val="center" w:pos="4153"/>
        <w:tab w:val="right" w:pos="8306"/>
      </w:tabs>
    </w:pPr>
  </w:style>
  <w:style w:type="character" w:customStyle="1" w:styleId="FooterChar">
    <w:name w:val="Footer Char"/>
    <w:basedOn w:val="DefaultParagraphFont"/>
    <w:link w:val="Footer"/>
    <w:uiPriority w:val="99"/>
    <w:locked/>
    <w:rPr>
      <w:rFonts w:ascii="Amnesty Trade Gothic" w:hAnsi="Amnesty Trade Gothic" w:cs="Times New Roman"/>
      <w:color w:val="000000"/>
      <w:sz w:val="24"/>
      <w:szCs w:val="24"/>
      <w:lang w:val="x-none" w:eastAsia="ar-SA" w:bidi="ar-SA"/>
    </w:rPr>
  </w:style>
  <w:style w:type="character" w:styleId="FootnoteReference">
    <w:name w:val="footnote reference"/>
    <w:aliases w:val="Footnote number,4_G,Footnotes refss,Footnote,Appel note de bas de page,Ref,de nota al pie,Texto de nota al pie,Footnote Reference Char3,Footnote Reference Char1 Char,Fago Fu?notenzeichen,Fago Fußnotenzeichen,ftref"/>
    <w:basedOn w:val="DefaultParagraphFont"/>
    <w:uiPriority w:val="99"/>
    <w:qFormat/>
    <w:rsid w:val="005C3139"/>
    <w:rPr>
      <w:rFonts w:cs="Times New Roman"/>
      <w:vertAlign w:val="superscript"/>
    </w:rPr>
  </w:style>
  <w:style w:type="paragraph" w:styleId="BodyText">
    <w:name w:val="Body Text"/>
    <w:basedOn w:val="Normal"/>
    <w:link w:val="BodyTextChar"/>
    <w:rsid w:val="005C3139"/>
    <w:pPr>
      <w:spacing w:after="120"/>
    </w:pPr>
  </w:style>
  <w:style w:type="character" w:customStyle="1" w:styleId="BodyTextChar">
    <w:name w:val="Body Text Char"/>
    <w:basedOn w:val="DefaultParagraphFont"/>
    <w:link w:val="BodyText"/>
    <w:semiHidden/>
    <w:locked/>
    <w:rPr>
      <w:rFonts w:ascii="Amnesty Trade Gothic" w:hAnsi="Amnesty Trade Gothic" w:cs="Times New Roman"/>
      <w:color w:val="000000"/>
      <w:sz w:val="24"/>
      <w:szCs w:val="24"/>
      <w:lang w:val="x-none" w:eastAsia="ar-SA" w:bidi="ar-SA"/>
    </w:rPr>
  </w:style>
  <w:style w:type="paragraph" w:customStyle="1" w:styleId="AILeadQuote">
    <w:name w:val="AI Lead Quote"/>
    <w:basedOn w:val="Normal"/>
    <w:rsid w:val="005C3139"/>
    <w:pPr>
      <w:spacing w:before="1200" w:after="0"/>
    </w:pPr>
    <w:rPr>
      <w:rFonts w:ascii="Amnesty Trade Gothic Cn" w:hAnsi="Amnesty Trade Gothic Cn"/>
      <w:b/>
      <w:color w:val="999999"/>
      <w:sz w:val="40"/>
    </w:rPr>
  </w:style>
  <w:style w:type="paragraph" w:customStyle="1" w:styleId="AIPullquote">
    <w:name w:val="AI Pullquote"/>
    <w:basedOn w:val="Normal"/>
    <w:rsid w:val="00574CC8"/>
    <w:pPr>
      <w:keepNext/>
      <w:widowControl/>
      <w:shd w:val="clear" w:color="auto" w:fill="FFFF00"/>
      <w:suppressAutoHyphens w:val="0"/>
      <w:spacing w:after="0"/>
    </w:pPr>
    <w:rPr>
      <w:rFonts w:ascii="Amnesty Trade Gothic Cn" w:hAnsi="Amnesty Trade Gothic Cn"/>
      <w:b/>
      <w:color w:val="auto"/>
      <w:sz w:val="20"/>
    </w:rPr>
  </w:style>
  <w:style w:type="paragraph" w:customStyle="1" w:styleId="AIBoxintro">
    <w:name w:val="AI Box intro"/>
    <w:basedOn w:val="Normal"/>
    <w:rsid w:val="0000500A"/>
    <w:pPr>
      <w:shd w:val="clear" w:color="auto" w:fill="D9D9D9"/>
      <w:spacing w:line="246" w:lineRule="atLeast"/>
    </w:pPr>
    <w:rPr>
      <w:rFonts w:ascii="Amnesty Trade Gothic Cn" w:hAnsi="Amnesty Trade Gothic Cn"/>
      <w:b/>
      <w:sz w:val="20"/>
    </w:rPr>
  </w:style>
  <w:style w:type="paragraph" w:customStyle="1" w:styleId="AIBodyText">
    <w:name w:val="AI Body Text"/>
    <w:basedOn w:val="Normal"/>
    <w:rsid w:val="0086333C"/>
  </w:style>
  <w:style w:type="paragraph" w:styleId="EndnoteText">
    <w:name w:val="endnote text"/>
    <w:basedOn w:val="Normal"/>
    <w:link w:val="EndnoteTextChar"/>
    <w:semiHidden/>
    <w:rsid w:val="005B4A41"/>
    <w:pPr>
      <w:spacing w:after="120"/>
    </w:pPr>
    <w:rPr>
      <w:sz w:val="16"/>
    </w:rPr>
  </w:style>
  <w:style w:type="character" w:customStyle="1" w:styleId="EndnoteTextChar">
    <w:name w:val="Endnote Text Char"/>
    <w:basedOn w:val="DefaultParagraphFont"/>
    <w:link w:val="EndnoteText"/>
    <w:semiHidden/>
    <w:locked/>
    <w:rPr>
      <w:rFonts w:ascii="Amnesty Trade Gothic" w:hAnsi="Amnesty Trade Gothic" w:cs="Times New Roman"/>
      <w:color w:val="000000"/>
      <w:sz w:val="20"/>
      <w:szCs w:val="20"/>
      <w:lang w:val="x-none" w:eastAsia="ar-SA" w:bidi="ar-SA"/>
    </w:rPr>
  </w:style>
  <w:style w:type="paragraph" w:customStyle="1" w:styleId="AISUBTITLE">
    <w:name w:val="AI SUBTITLE"/>
    <w:basedOn w:val="Normal"/>
    <w:rsid w:val="005C3139"/>
    <w:pPr>
      <w:spacing w:before="300"/>
    </w:pPr>
    <w:rPr>
      <w:rFonts w:ascii="Amnesty Trade Gothic Cn" w:hAnsi="Amnesty Trade Gothic Cn"/>
      <w:caps/>
      <w:sz w:val="48"/>
    </w:rPr>
  </w:style>
  <w:style w:type="paragraph" w:customStyle="1" w:styleId="AIFlyleafText">
    <w:name w:val="AI Flyleaf Text"/>
    <w:basedOn w:val="Normal"/>
    <w:rsid w:val="005C3139"/>
    <w:pPr>
      <w:spacing w:after="0" w:line="210" w:lineRule="exact"/>
    </w:pPr>
    <w:rPr>
      <w:rFonts w:ascii="Amnesty Trade Gothic Cn" w:hAnsi="Amnesty Trade Gothic Cn"/>
      <w:b/>
      <w:sz w:val="16"/>
    </w:rPr>
  </w:style>
  <w:style w:type="paragraph" w:customStyle="1" w:styleId="AIBoxHeading">
    <w:name w:val="AI Box Heading"/>
    <w:basedOn w:val="Normal"/>
    <w:rsid w:val="0000500A"/>
    <w:pPr>
      <w:shd w:val="clear" w:color="auto" w:fill="D9D9D9"/>
      <w:spacing w:after="0"/>
    </w:pPr>
    <w:rPr>
      <w:rFonts w:ascii="Amnesty Trade Gothic Cn" w:hAnsi="Amnesty Trade Gothic Cn"/>
      <w:b/>
      <w:caps/>
      <w:sz w:val="32"/>
    </w:rPr>
  </w:style>
  <w:style w:type="paragraph" w:customStyle="1" w:styleId="AIBoxText">
    <w:name w:val="AI Box Text"/>
    <w:basedOn w:val="Normal"/>
    <w:rsid w:val="0000500A"/>
    <w:pPr>
      <w:shd w:val="clear" w:color="auto" w:fill="D9D9D9"/>
      <w:suppressAutoHyphens w:val="0"/>
      <w:spacing w:line="246" w:lineRule="atLeast"/>
    </w:pPr>
    <w:rPr>
      <w:rFonts w:ascii="Amnesty Trade Gothic Cn" w:hAnsi="Amnesty Trade Gothic Cn"/>
      <w:sz w:val="19"/>
    </w:rPr>
  </w:style>
  <w:style w:type="paragraph" w:styleId="FootnoteText">
    <w:name w:val="footnote text"/>
    <w:aliases w:val="Текст сноски Знак Знак,????? ?????? ????,Текст сноски Знак,Текст сноски Знак Знак Знак Знак Знак,Текст сноски Знак Знак Знак Знак1 Знак,Текст сноски Знак1,Текст сноски Знак Знак1,Текст сноски Знак Знак Знак Знак Знак Знак,5_G,FA"/>
    <w:basedOn w:val="Normal"/>
    <w:link w:val="FootnoteTextChar"/>
    <w:uiPriority w:val="99"/>
    <w:qFormat/>
    <w:rsid w:val="00E1436F"/>
    <w:pPr>
      <w:spacing w:after="120"/>
    </w:pPr>
    <w:rPr>
      <w:sz w:val="16"/>
    </w:rPr>
  </w:style>
  <w:style w:type="character" w:customStyle="1" w:styleId="FootnoteTextChar">
    <w:name w:val="Footnote Text Char"/>
    <w:aliases w:val="Текст сноски Знак Знак Char,????? ?????? ???? Char,Текст сноски Знак Char,Текст сноски Знак Знак Знак Знак Знак Char,Текст сноски Знак Знак Знак Знак1 Знак Char,Текст сноски Знак1 Char,Текст сноски Знак Знак1 Char,5_G Char,FA Char"/>
    <w:basedOn w:val="DefaultParagraphFont"/>
    <w:link w:val="FootnoteText"/>
    <w:uiPriority w:val="99"/>
    <w:qFormat/>
    <w:locked/>
    <w:rPr>
      <w:rFonts w:ascii="Amnesty Trade Gothic" w:hAnsi="Amnesty Trade Gothic" w:cs="Times New Roman"/>
      <w:color w:val="000000"/>
      <w:sz w:val="20"/>
      <w:szCs w:val="20"/>
      <w:lang w:val="x-none" w:eastAsia="ar-SA" w:bidi="ar-SA"/>
    </w:rPr>
  </w:style>
  <w:style w:type="paragraph" w:customStyle="1" w:styleId="AITextquote">
    <w:name w:val="AI Text quote"/>
    <w:basedOn w:val="Normal"/>
    <w:rsid w:val="005C3139"/>
    <w:pPr>
      <w:spacing w:after="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rsid w:val="005C3139"/>
    <w:pPr>
      <w:ind w:left="180"/>
    </w:pPr>
  </w:style>
  <w:style w:type="paragraph" w:styleId="TOC1">
    <w:name w:val="toc 1"/>
    <w:basedOn w:val="Normal"/>
    <w:next w:val="Normal"/>
    <w:semiHidden/>
    <w:rsid w:val="005C3139"/>
  </w:style>
  <w:style w:type="paragraph" w:styleId="TOC3">
    <w:name w:val="toc 3"/>
    <w:basedOn w:val="Normal"/>
    <w:next w:val="Normal"/>
    <w:semiHidden/>
    <w:rsid w:val="005C3139"/>
    <w:pPr>
      <w:ind w:left="360"/>
    </w:pPr>
  </w:style>
  <w:style w:type="paragraph" w:styleId="TOC4">
    <w:name w:val="toc 4"/>
    <w:basedOn w:val="Normal"/>
    <w:next w:val="Normal"/>
    <w:semiHidden/>
    <w:rsid w:val="005C3139"/>
    <w:pPr>
      <w:ind w:left="540"/>
    </w:pPr>
  </w:style>
  <w:style w:type="paragraph" w:styleId="TOC5">
    <w:name w:val="toc 5"/>
    <w:basedOn w:val="Normal"/>
    <w:next w:val="Normal"/>
    <w:semiHidden/>
    <w:rsid w:val="005C3139"/>
    <w:pPr>
      <w:ind w:left="720"/>
    </w:pPr>
  </w:style>
  <w:style w:type="paragraph" w:styleId="TOC6">
    <w:name w:val="toc 6"/>
    <w:basedOn w:val="Normal"/>
    <w:next w:val="Normal"/>
    <w:semiHidden/>
    <w:rsid w:val="005C3139"/>
    <w:pPr>
      <w:ind w:left="900"/>
    </w:pPr>
  </w:style>
  <w:style w:type="paragraph" w:styleId="TOC7">
    <w:name w:val="toc 7"/>
    <w:basedOn w:val="Normal"/>
    <w:next w:val="Normal"/>
    <w:semiHidden/>
    <w:rsid w:val="005C3139"/>
    <w:pPr>
      <w:ind w:left="1080"/>
    </w:pPr>
  </w:style>
  <w:style w:type="paragraph" w:styleId="TOC8">
    <w:name w:val="toc 8"/>
    <w:basedOn w:val="Normal"/>
    <w:next w:val="Normal"/>
    <w:semiHidden/>
    <w:rsid w:val="005C3139"/>
    <w:pPr>
      <w:ind w:left="1260"/>
    </w:pPr>
  </w:style>
  <w:style w:type="paragraph" w:styleId="TOC9">
    <w:name w:val="toc 9"/>
    <w:basedOn w:val="Normal"/>
    <w:next w:val="Normal"/>
    <w:semiHidden/>
    <w:rsid w:val="005C3139"/>
    <w:pPr>
      <w:ind w:left="1440"/>
    </w:pPr>
  </w:style>
  <w:style w:type="paragraph" w:customStyle="1" w:styleId="AIPageHeader">
    <w:name w:val="AI Page Header"/>
    <w:basedOn w:val="Normal"/>
    <w:rsid w:val="00D26B22"/>
    <w:pPr>
      <w:tabs>
        <w:tab w:val="center" w:pos="4320"/>
        <w:tab w:val="right" w:pos="8640"/>
      </w:tabs>
      <w:spacing w:after="0" w:line="200" w:lineRule="atLeast"/>
      <w:ind w:right="357"/>
      <w:jc w:val="center"/>
    </w:pPr>
    <w:rPr>
      <w:rFonts w:ascii="Amnesty Trade Gothic Cn" w:hAnsi="Amnesty Trade Gothic Cn"/>
      <w:sz w:val="16"/>
      <w:szCs w:val="20"/>
    </w:rPr>
  </w:style>
  <w:style w:type="paragraph" w:customStyle="1" w:styleId="AITITLE">
    <w:name w:val="AI TITLE"/>
    <w:basedOn w:val="Normal"/>
    <w:rsid w:val="005C3139"/>
    <w:rPr>
      <w:rFonts w:ascii="Amnesty Trade Gothic Cn" w:hAnsi="Amnesty Trade Gothic Cn"/>
      <w:b/>
      <w:caps/>
      <w:kern w:val="1"/>
      <w:sz w:val="80"/>
      <w:szCs w:val="32"/>
    </w:rPr>
  </w:style>
  <w:style w:type="paragraph" w:customStyle="1" w:styleId="AIPageFooter">
    <w:name w:val="AI Page Footer"/>
    <w:basedOn w:val="Normal"/>
    <w:rsid w:val="00D26B22"/>
    <w:pPr>
      <w:tabs>
        <w:tab w:val="left" w:pos="3402"/>
      </w:tabs>
      <w:jc w:val="center"/>
    </w:pPr>
    <w:rPr>
      <w:rFonts w:ascii="Amnesty Trade Gothic Cn" w:hAnsi="Amnesty Trade Gothic Cn"/>
      <w:bCs/>
    </w:rPr>
  </w:style>
  <w:style w:type="paragraph" w:customStyle="1" w:styleId="AIContentsHeading">
    <w:name w:val="AI Contents Heading"/>
    <w:basedOn w:val="Normal"/>
    <w:rsid w:val="00557EB7"/>
    <w:rPr>
      <w:rFonts w:ascii="Amnesty Trade Gothic Cn" w:hAnsi="Amnesty Trade Gothic Cn"/>
      <w:b/>
      <w:bCs/>
      <w:caps/>
      <w:sz w:val="56"/>
      <w:szCs w:val="56"/>
    </w:rPr>
  </w:style>
  <w:style w:type="numbering" w:customStyle="1" w:styleId="AINumberedList">
    <w:name w:val="AI Numbered List"/>
    <w:rsid w:val="001539E1"/>
    <w:pPr>
      <w:numPr>
        <w:numId w:val="3"/>
      </w:numPr>
    </w:pPr>
  </w:style>
  <w:style w:type="numbering" w:customStyle="1" w:styleId="AIBulletList">
    <w:name w:val="AI Bullet List"/>
    <w:rsid w:val="001539E1"/>
    <w:pPr>
      <w:numPr>
        <w:numId w:val="2"/>
      </w:numPr>
    </w:pPr>
  </w:style>
  <w:style w:type="paragraph" w:styleId="ListParagraph">
    <w:name w:val="List Paragraph"/>
    <w:basedOn w:val="Normal"/>
    <w:uiPriority w:val="34"/>
    <w:qFormat/>
    <w:rsid w:val="00ED45A7"/>
    <w:pPr>
      <w:ind w:left="720"/>
      <w:contextualSpacing/>
    </w:pPr>
  </w:style>
  <w:style w:type="character" w:styleId="CommentReference">
    <w:name w:val="annotation reference"/>
    <w:basedOn w:val="DefaultParagraphFont"/>
    <w:uiPriority w:val="99"/>
    <w:rsid w:val="009D50A9"/>
    <w:rPr>
      <w:sz w:val="16"/>
      <w:szCs w:val="16"/>
    </w:rPr>
  </w:style>
  <w:style w:type="paragraph" w:styleId="CommentText">
    <w:name w:val="annotation text"/>
    <w:basedOn w:val="Normal"/>
    <w:link w:val="CommentTextChar"/>
    <w:uiPriority w:val="99"/>
    <w:rsid w:val="009D50A9"/>
    <w:pPr>
      <w:spacing w:line="240" w:lineRule="auto"/>
    </w:pPr>
    <w:rPr>
      <w:sz w:val="20"/>
      <w:szCs w:val="20"/>
    </w:rPr>
  </w:style>
  <w:style w:type="character" w:customStyle="1" w:styleId="CommentTextChar">
    <w:name w:val="Comment Text Char"/>
    <w:basedOn w:val="DefaultParagraphFont"/>
    <w:link w:val="CommentText"/>
    <w:uiPriority w:val="99"/>
    <w:rsid w:val="009D50A9"/>
    <w:rPr>
      <w:rFonts w:ascii="Amnesty Trade Gothic" w:hAnsi="Amnesty Trade Gothic"/>
      <w:color w:val="000000"/>
      <w:lang w:eastAsia="ar-SA"/>
    </w:rPr>
  </w:style>
  <w:style w:type="paragraph" w:styleId="CommentSubject">
    <w:name w:val="annotation subject"/>
    <w:basedOn w:val="CommentText"/>
    <w:next w:val="CommentText"/>
    <w:link w:val="CommentSubjectChar"/>
    <w:rsid w:val="009D50A9"/>
    <w:rPr>
      <w:b/>
      <w:bCs/>
    </w:rPr>
  </w:style>
  <w:style w:type="character" w:customStyle="1" w:styleId="CommentSubjectChar">
    <w:name w:val="Comment Subject Char"/>
    <w:basedOn w:val="CommentTextChar"/>
    <w:link w:val="CommentSubject"/>
    <w:rsid w:val="009D50A9"/>
    <w:rPr>
      <w:rFonts w:ascii="Amnesty Trade Gothic" w:hAnsi="Amnesty Trade Gothic"/>
      <w:b/>
      <w:bCs/>
      <w:color w:val="000000"/>
      <w:lang w:eastAsia="ar-SA"/>
    </w:rPr>
  </w:style>
  <w:style w:type="paragraph" w:styleId="BalloonText">
    <w:name w:val="Balloon Text"/>
    <w:basedOn w:val="Normal"/>
    <w:link w:val="BalloonTextChar"/>
    <w:rsid w:val="009D50A9"/>
    <w:pPr>
      <w:spacing w:after="0" w:line="240" w:lineRule="auto"/>
    </w:pPr>
    <w:rPr>
      <w:rFonts w:ascii="Segoe UI" w:hAnsi="Segoe UI" w:cs="Segoe UI"/>
      <w:szCs w:val="18"/>
    </w:rPr>
  </w:style>
  <w:style w:type="character" w:customStyle="1" w:styleId="BalloonTextChar">
    <w:name w:val="Balloon Text Char"/>
    <w:basedOn w:val="DefaultParagraphFont"/>
    <w:link w:val="BalloonText"/>
    <w:rsid w:val="009D50A9"/>
    <w:rPr>
      <w:rFonts w:ascii="Segoe UI" w:hAnsi="Segoe UI" w:cs="Segoe UI"/>
      <w:color w:val="000000"/>
      <w:sz w:val="18"/>
      <w:szCs w:val="18"/>
      <w:lang w:eastAsia="ar-SA"/>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330CB6"/>
    <w:rPr>
      <w:color w:val="808080"/>
      <w:shd w:val="clear" w:color="auto" w:fill="E6E6E6"/>
    </w:rPr>
  </w:style>
  <w:style w:type="paragraph" w:customStyle="1" w:styleId="paragraph">
    <w:name w:val="paragraph"/>
    <w:basedOn w:val="Normal"/>
    <w:rsid w:val="00C34C1F"/>
    <w:pPr>
      <w:widowControl/>
      <w:suppressAutoHyphens w:val="0"/>
      <w:spacing w:after="0" w:line="240" w:lineRule="auto"/>
    </w:pPr>
    <w:rPr>
      <w:rFonts w:ascii="Times New Roman" w:hAnsi="Times New Roman"/>
      <w:color w:val="auto"/>
      <w:sz w:val="24"/>
      <w:lang w:eastAsia="en-GB"/>
    </w:rPr>
  </w:style>
  <w:style w:type="character" w:customStyle="1" w:styleId="contextualspellingandgrammarerror">
    <w:name w:val="contextualspellingandgrammarerror"/>
    <w:basedOn w:val="DefaultParagraphFont"/>
    <w:rsid w:val="00C34C1F"/>
  </w:style>
  <w:style w:type="character" w:customStyle="1" w:styleId="normaltextrun1">
    <w:name w:val="normaltextrun1"/>
    <w:basedOn w:val="DefaultParagraphFont"/>
    <w:rsid w:val="00C34C1F"/>
  </w:style>
  <w:style w:type="character" w:customStyle="1" w:styleId="eop">
    <w:name w:val="eop"/>
    <w:basedOn w:val="DefaultParagraphFont"/>
    <w:rsid w:val="00C34C1F"/>
  </w:style>
  <w:style w:type="paragraph" w:customStyle="1" w:styleId="Default">
    <w:name w:val="Default"/>
    <w:rsid w:val="00F557FE"/>
    <w:pPr>
      <w:autoSpaceDE w:val="0"/>
      <w:autoSpaceDN w:val="0"/>
      <w:adjustRightInd w:val="0"/>
    </w:pPr>
    <w:rPr>
      <w:rFonts w:ascii="Amnesty Trade Gothic" w:hAnsi="Amnesty Trade Gothic" w:cs="Amnesty Trade Gothic"/>
      <w:color w:val="000000"/>
      <w:sz w:val="24"/>
      <w:szCs w:val="24"/>
    </w:rPr>
  </w:style>
  <w:style w:type="character" w:styleId="FollowedHyperlink">
    <w:name w:val="FollowedHyperlink"/>
    <w:basedOn w:val="DefaultParagraphFont"/>
    <w:rsid w:val="00365AD1"/>
    <w:rPr>
      <w:color w:val="954F72" w:themeColor="followedHyperlink"/>
      <w:u w:val="single"/>
    </w:rPr>
  </w:style>
  <w:style w:type="paragraph" w:styleId="NormalWeb">
    <w:name w:val="Normal (Web)"/>
    <w:basedOn w:val="Normal"/>
    <w:uiPriority w:val="99"/>
    <w:unhideWhenUsed/>
    <w:rsid w:val="00054FA5"/>
    <w:pPr>
      <w:widowControl/>
      <w:suppressAutoHyphens w:val="0"/>
      <w:spacing w:before="100" w:beforeAutospacing="1" w:after="100" w:afterAutospacing="1" w:line="240" w:lineRule="auto"/>
    </w:pPr>
    <w:rPr>
      <w:rFonts w:ascii="Times New Roman" w:hAnsi="Times New Roman"/>
      <w:color w:val="auto"/>
      <w:sz w:val="24"/>
      <w:lang w:eastAsia="en-GB"/>
    </w:rPr>
  </w:style>
  <w:style w:type="character" w:customStyle="1" w:styleId="UnresolvedMention2">
    <w:name w:val="Unresolved Mention2"/>
    <w:basedOn w:val="DefaultParagraphFont"/>
    <w:uiPriority w:val="99"/>
    <w:semiHidden/>
    <w:unhideWhenUsed/>
    <w:rsid w:val="00293033"/>
    <w:rPr>
      <w:color w:val="808080"/>
      <w:shd w:val="clear" w:color="auto" w:fill="E6E6E6"/>
    </w:rPr>
  </w:style>
  <w:style w:type="paragraph" w:customStyle="1" w:styleId="RTBodyText">
    <w:name w:val="RT Body Text"/>
    <w:basedOn w:val="Normal"/>
    <w:uiPriority w:val="9"/>
    <w:qFormat/>
    <w:rsid w:val="00173B69"/>
    <w:pPr>
      <w:widowControl/>
      <w:spacing w:after="120" w:line="240" w:lineRule="auto"/>
    </w:pPr>
    <w:rPr>
      <w:rFonts w:asciiTheme="minorHAnsi" w:eastAsiaTheme="minorEastAsia" w:hAnsiTheme="minorHAnsi" w:cs="Arial"/>
      <w:color w:val="000000" w:themeColor="text1"/>
      <w:lang w:eastAsia="en-US"/>
    </w:rPr>
  </w:style>
  <w:style w:type="paragraph" w:customStyle="1" w:styleId="RTBulletText">
    <w:name w:val="RT Bullet Text"/>
    <w:basedOn w:val="RTBodyText"/>
    <w:next w:val="RTBodyText"/>
    <w:uiPriority w:val="10"/>
    <w:qFormat/>
    <w:rsid w:val="00173B69"/>
    <w:pPr>
      <w:numPr>
        <w:ilvl w:val="1"/>
        <w:numId w:val="41"/>
      </w:numPr>
    </w:pPr>
  </w:style>
  <w:style w:type="character" w:customStyle="1" w:styleId="f">
    <w:name w:val="f"/>
    <w:basedOn w:val="DefaultParagraphFont"/>
    <w:rsid w:val="00173B69"/>
  </w:style>
  <w:style w:type="paragraph" w:styleId="DocumentMap">
    <w:name w:val="Document Map"/>
    <w:basedOn w:val="Normal"/>
    <w:link w:val="DocumentMapChar"/>
    <w:semiHidden/>
    <w:unhideWhenUsed/>
    <w:rsid w:val="00611DA9"/>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611DA9"/>
    <w:rPr>
      <w:rFonts w:ascii="Lucida Grande" w:hAnsi="Lucida Grande" w:cs="Lucida Grande"/>
      <w:color w:val="000000"/>
      <w:sz w:val="24"/>
      <w:szCs w:val="24"/>
      <w:lang w:eastAsia="ar-SA"/>
    </w:rPr>
  </w:style>
  <w:style w:type="paragraph" w:styleId="Revision">
    <w:name w:val="Revision"/>
    <w:hidden/>
    <w:uiPriority w:val="99"/>
    <w:semiHidden/>
    <w:rsid w:val="00E947A9"/>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5608">
      <w:bodyDiv w:val="1"/>
      <w:marLeft w:val="0"/>
      <w:marRight w:val="0"/>
      <w:marTop w:val="0"/>
      <w:marBottom w:val="0"/>
      <w:divBdr>
        <w:top w:val="none" w:sz="0" w:space="0" w:color="auto"/>
        <w:left w:val="none" w:sz="0" w:space="0" w:color="auto"/>
        <w:bottom w:val="none" w:sz="0" w:space="0" w:color="auto"/>
        <w:right w:val="none" w:sz="0" w:space="0" w:color="auto"/>
      </w:divBdr>
    </w:div>
    <w:div w:id="1303534589">
      <w:bodyDiv w:val="1"/>
      <w:marLeft w:val="0"/>
      <w:marRight w:val="0"/>
      <w:marTop w:val="0"/>
      <w:marBottom w:val="0"/>
      <w:divBdr>
        <w:top w:val="none" w:sz="0" w:space="0" w:color="auto"/>
        <w:left w:val="none" w:sz="0" w:space="0" w:color="auto"/>
        <w:bottom w:val="none" w:sz="0" w:space="0" w:color="auto"/>
        <w:right w:val="none" w:sz="0" w:space="0" w:color="auto"/>
      </w:divBdr>
    </w:div>
    <w:div w:id="1821537589">
      <w:bodyDiv w:val="1"/>
      <w:marLeft w:val="0"/>
      <w:marRight w:val="0"/>
      <w:marTop w:val="0"/>
      <w:marBottom w:val="0"/>
      <w:divBdr>
        <w:top w:val="none" w:sz="0" w:space="0" w:color="auto"/>
        <w:left w:val="none" w:sz="0" w:space="0" w:color="auto"/>
        <w:bottom w:val="none" w:sz="0" w:space="0" w:color="auto"/>
        <w:right w:val="none" w:sz="0" w:space="0" w:color="auto"/>
      </w:divBdr>
    </w:div>
    <w:div w:id="1901668099">
      <w:bodyDiv w:val="1"/>
      <w:marLeft w:val="0"/>
      <w:marRight w:val="0"/>
      <w:marTop w:val="0"/>
      <w:marBottom w:val="0"/>
      <w:divBdr>
        <w:top w:val="none" w:sz="0" w:space="0" w:color="auto"/>
        <w:left w:val="none" w:sz="0" w:space="0" w:color="auto"/>
        <w:bottom w:val="none" w:sz="0" w:space="0" w:color="auto"/>
        <w:right w:val="none" w:sz="0" w:space="0" w:color="auto"/>
      </w:divBdr>
    </w:div>
    <w:div w:id="1934821879">
      <w:bodyDiv w:val="1"/>
      <w:marLeft w:val="0"/>
      <w:marRight w:val="0"/>
      <w:marTop w:val="0"/>
      <w:marBottom w:val="0"/>
      <w:divBdr>
        <w:top w:val="none" w:sz="0" w:space="0" w:color="auto"/>
        <w:left w:val="none" w:sz="0" w:space="0" w:color="auto"/>
        <w:bottom w:val="none" w:sz="0" w:space="0" w:color="auto"/>
        <w:right w:val="none" w:sz="0" w:space="0" w:color="auto"/>
      </w:divBdr>
    </w:div>
    <w:div w:id="1998336090">
      <w:bodyDiv w:val="1"/>
      <w:marLeft w:val="0"/>
      <w:marRight w:val="0"/>
      <w:marTop w:val="0"/>
      <w:marBottom w:val="0"/>
      <w:divBdr>
        <w:top w:val="none" w:sz="0" w:space="0" w:color="auto"/>
        <w:left w:val="none" w:sz="0" w:space="0" w:color="auto"/>
        <w:bottom w:val="none" w:sz="0" w:space="0" w:color="auto"/>
        <w:right w:val="none" w:sz="0" w:space="0" w:color="auto"/>
      </w:divBdr>
    </w:div>
    <w:div w:id="21095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oe.int/en/web/commissioner/-/commissioner-concerned-about-proposed-additional-restrictions-to-the-work-of-ngos-in-hungary" TargetMode="Externa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amnesty.org/en/documents/eur27/8633/2018/en/" TargetMode="External" Id="rId12" /><Relationship Type="http://schemas.openxmlformats.org/officeDocument/2006/relationships/header" Target="header1.xml" Id="rId17" /><Relationship Type="http://schemas.openxmlformats.org/officeDocument/2006/relationships/hyperlink" Target="http://www.ohchr.org/Documents/Issues/Opinion/Legislation/OL-HUN-1-2018.pdf" TargetMode="External" Id="rId16" /><Relationship Type="http://schemas.openxmlformats.org/officeDocument/2006/relationships/footer" Target="footer2.xml" Id="rId20" /><Relationship Type="http://schemas.openxmlformats.org/officeDocument/2006/relationships/styles" Target="styles.xml" Id="rId6" /><Relationship Type="http://schemas.openxmlformats.org/officeDocument/2006/relationships/hyperlink" Target="https://www.amnesty.org/en/latest/news/2017/06/hungary-ngo-law-a-vicious-and-calculated-assault-on-civil-society/"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ohchr.org/EN/NewsEvents/Pages/DisplayNews.aspx?NewsID=22665&amp;LangID=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notes" Target="footnotes.xml" Id="rId9" /><Relationship Type="http://schemas.openxmlformats.org/officeDocument/2006/relationships/hyperlink" Target="http://www.unhcr.org/news/press/2018/2/5a86dcff4/hungary-unhcr-dismayed-further-border-restrictions-draft-law-targeting.html" TargetMode="Externa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curia.europa.eu/juris/document/document.jsf?text=&amp;docid=207961&amp;pageIndex=0&amp;doclang=EN&amp;mode=req&amp;dir=&amp;occ=first&amp;part=1&amp;cid=10695272" TargetMode="External"/><Relationship Id="rId13" Type="http://schemas.openxmlformats.org/officeDocument/2006/relationships/hyperlink" Target="https://www.euronews.com/2017/11/17/view-independence-day-in-poland-was-no-beautiful-sight" TargetMode="External"/><Relationship Id="rId18" Type="http://schemas.openxmlformats.org/officeDocument/2006/relationships/hyperlink" Target="https://www.amnesty.org/en/latest/news/2018/11/beaten-and-prosecuted-for-standing-up-to-hate/" TargetMode="External"/><Relationship Id="rId3" Type="http://schemas.openxmlformats.org/officeDocument/2006/relationships/hyperlink" Target="https://www.amnesty.org/en/documents/eur27/8633/2018/en/" TargetMode="External"/><Relationship Id="rId7" Type="http://schemas.openxmlformats.org/officeDocument/2006/relationships/hyperlink" Target="https://curia.europa.eu/jcms/upload/docs/application/pdf/2018-12/cp180204en.pdf" TargetMode="External"/><Relationship Id="rId12" Type="http://schemas.openxmlformats.org/officeDocument/2006/relationships/hyperlink" Target="http://www.sn.pl/aktualnosci/SitePages/Komunikaty_o_sprawach.aspx?ItemSID=253-271e0911-7542-42c1-ba34-d1e945caefb2&amp;ListName=Komunikaty_o_sprawach" TargetMode="External"/><Relationship Id="rId17" Type="http://schemas.openxmlformats.org/officeDocument/2006/relationships/hyperlink" Target="https://www.euronews.com/2017/11/17/view-independence-day-in-poland-was-no-beautiful-sight" TargetMode="External"/><Relationship Id="rId2" Type="http://schemas.openxmlformats.org/officeDocument/2006/relationships/hyperlink" Target="https://www.amnesty.org/en/latest/news/2017/06/hungary-ngo-law-a-vicious-and-calculated-assault-on-civil-society/" TargetMode="External"/><Relationship Id="rId16" Type="http://schemas.openxmlformats.org/officeDocument/2006/relationships/hyperlink" Target="https://www.amnesty.org/en/documents/eur37/8525/2018/en/" TargetMode="External"/><Relationship Id="rId1" Type="http://schemas.openxmlformats.org/officeDocument/2006/relationships/hyperlink" Target="https://nypost.com/2018/04/12/list-of-200-soros-mercenaries-published-in-hungary/" TargetMode="External"/><Relationship Id="rId6" Type="http://schemas.openxmlformats.org/officeDocument/2006/relationships/hyperlink" Target="https://www.venice.coe.int/webforms/documents/default.aspx?pdffile=CDL-AD(2018)035-e" TargetMode="External"/><Relationship Id="rId11" Type="http://schemas.openxmlformats.org/officeDocument/2006/relationships/hyperlink" Target="http://www.sn.pl/aktualnosci/SitePages/Komunikaty_o_sprawach.aspx?ItemSID=236-271e0911-7542-42c1-ba34-d1e945caefb2&amp;ListName=Komunikaty_o_sprawach" TargetMode="External"/><Relationship Id="rId5" Type="http://schemas.openxmlformats.org/officeDocument/2006/relationships/hyperlink" Target="https://www.venice.coe.int/webforms/documents/?pdf=CDL-AD(2018)013-e" TargetMode="External"/><Relationship Id="rId15" Type="http://schemas.openxmlformats.org/officeDocument/2006/relationships/hyperlink" Target="https://www.amnesty.org/en/documents/eur37/8059/2018/en/" TargetMode="External"/><Relationship Id="rId10" Type="http://schemas.openxmlformats.org/officeDocument/2006/relationships/hyperlink" Target="https://www.iustitia.pl/83-komunikaty-i-oswiadczenia/2803-uchwaly-zgromadzenia-przedstawicieli-apelacji-katowickiej-z-14-stycznia-2019r-dotyczace-wstrzymania-sie-od-udzialu-w-procedurze-nominacyjnej-oraz-popierajace-postulaty-placowe-pracownikow-sadownictwa" TargetMode="External"/><Relationship Id="rId19" Type="http://schemas.openxmlformats.org/officeDocument/2006/relationships/hyperlink" Target="https://www.amnesty.org/en/get-involved/take-action/poland-protect-rights-activists/" TargetMode="External"/><Relationship Id="rId4" Type="http://schemas.openxmlformats.org/officeDocument/2006/relationships/hyperlink" Target="https://www.amnesty.org/en/documents/eur27/8633/2018/en/" TargetMode="External"/><Relationship Id="rId9" Type="http://schemas.openxmlformats.org/officeDocument/2006/relationships/hyperlink" Target="https://eur-lex.europa.eu/LexUriServ/LexUriServ.do?uri=CELEX:62018CN0619:EN:HTML" TargetMode="External"/><Relationship Id="rId14" Type="http://schemas.openxmlformats.org/officeDocument/2006/relationships/hyperlink" Target="https://www.amnesty.org/en/documents/eur37/8525/2018/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3055</ap:Words>
  <ap:Characters>16806</ap:Characters>
  <ap:DocSecurity>4</ap:DocSecurity>
  <ap:Lines>140</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2018-11-14T17:04:00.0000000Z</lastPrinted>
  <dcterms:created xsi:type="dcterms:W3CDTF">2019-02-08T12:33:00.0000000Z</dcterms:created>
  <dcterms:modified xsi:type="dcterms:W3CDTF">2019-02-08T12:33:00.0000000Z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0x0101001B2D9433E625764BBB0EB32E5BA10961</vt:lpwstr>
  </property>
  <property fmtid="{D5CDD505-2E9C-101B-9397-08002B2CF9AE}" pid="3" name="AI_Campaign">
    <vt:lpwstr/>
  </property>
  <property fmtid="{D5CDD505-2E9C-101B-9397-08002B2CF9AE}" pid="4" name="AI_Subject">
    <vt:lpwstr/>
  </property>
  <property fmtid="{D5CDD505-2E9C-101B-9397-08002B2CF9AE}" pid="5" name="AI_EnterpriseKeywords">
    <vt:lpwstr/>
  </property>
  <property fmtid="{D5CDD505-2E9C-101B-9397-08002B2CF9AE}" pid="6" name="AI_ProjectName">
    <vt:lpwstr/>
  </property>
  <property fmtid="{D5CDD505-2E9C-101B-9397-08002B2CF9AE}" pid="7" name="AI_Country">
    <vt:lpwstr>4;#Global|d7bc4b1b-be98-4fb5-9627-95a3d0c831e6</vt:lpwstr>
  </property>
  <property fmtid="{D5CDD505-2E9C-101B-9397-08002B2CF9AE}" pid="8" name="AI_Collection">
    <vt:lpwstr>2;#Fundraising collection|85b583f3-714b-4a98-b3ea-7a2cc332b38f;#6;#International policy collection|48fb0a7c-3eff-4ef1-b873-8a40ab4aecaf</vt:lpwstr>
  </property>
  <property fmtid="{D5CDD505-2E9C-101B-9397-08002B2CF9AE}" pid="9" name="AI_BudgetCode">
    <vt:lpwstr/>
  </property>
  <property fmtid="{D5CDD505-2E9C-101B-9397-08002B2CF9AE}" pid="10" name="AI_InternalKeywords">
    <vt:lpwstr/>
  </property>
  <property fmtid="{D5CDD505-2E9C-101B-9397-08002B2CF9AE}" pid="11" name="MSIP_Label_ab085100-56a4-4662-94ad-723e9994b959_Enabled">
    <vt:lpwstr>True</vt:lpwstr>
  </property>
  <property fmtid="{D5CDD505-2E9C-101B-9397-08002B2CF9AE}" pid="12" name="MSIP_Label_ab085100-56a4-4662-94ad-723e9994b959_SiteId">
    <vt:lpwstr>c2dbf829-378d-44c1-b47a-1c043924ddf3</vt:lpwstr>
  </property>
  <property fmtid="{D5CDD505-2E9C-101B-9397-08002B2CF9AE}" pid="13" name="MSIP_Label_ab085100-56a4-4662-94ad-723e9994b959_Owner">
    <vt:lpwstr>n.sprokel@amnesty.nl</vt:lpwstr>
  </property>
  <property fmtid="{D5CDD505-2E9C-101B-9397-08002B2CF9AE}" pid="14" name="MSIP_Label_ab085100-56a4-4662-94ad-723e9994b959_SetDate">
    <vt:lpwstr>2019-02-08T12:33:05.1940191Z</vt:lpwstr>
  </property>
  <property fmtid="{D5CDD505-2E9C-101B-9397-08002B2CF9AE}" pid="15" name="MSIP_Label_ab085100-56a4-4662-94ad-723e9994b959_Name">
    <vt:lpwstr>Internal</vt:lpwstr>
  </property>
  <property fmtid="{D5CDD505-2E9C-101B-9397-08002B2CF9AE}" pid="16" name="MSIP_Label_ab085100-56a4-4662-94ad-723e9994b959_Application">
    <vt:lpwstr>Microsoft Azure Information Protection</vt:lpwstr>
  </property>
  <property fmtid="{D5CDD505-2E9C-101B-9397-08002B2CF9AE}" pid="17" name="MSIP_Label_ab085100-56a4-4662-94ad-723e9994b959_Extended_MSFT_Method">
    <vt:lpwstr>Automatic</vt:lpwstr>
  </property>
  <property fmtid="{D5CDD505-2E9C-101B-9397-08002B2CF9AE}" pid="18" name="Sensitivity">
    <vt:lpwstr>Internal</vt:lpwstr>
  </property>
</Properties>
</file>