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235AC" w:rsidR="007C4252" w:rsidP="007C4252" w:rsidRDefault="00FC0893">
      <w:r>
        <w:rPr>
          <w:b/>
        </w:rPr>
        <w:t>J</w:t>
      </w:r>
      <w:bookmarkStart w:name="_GoBack" w:id="0"/>
      <w:bookmarkEnd w:id="0"/>
      <w:r w:rsidRPr="002760CC" w:rsidR="007C4252">
        <w:rPr>
          <w:b/>
        </w:rPr>
        <w:t xml:space="preserve">aarplanning </w:t>
      </w:r>
      <w:r w:rsidR="007C4252">
        <w:rPr>
          <w:b/>
        </w:rPr>
        <w:t xml:space="preserve">voor de Kennisagenda </w:t>
      </w:r>
      <w:r w:rsidRPr="002760CC" w:rsidR="007C4252">
        <w:rPr>
          <w:b/>
        </w:rPr>
        <w:t>201</w:t>
      </w:r>
      <w:r w:rsidR="007C4252">
        <w:rPr>
          <w:b/>
        </w:rPr>
        <w:t>9</w:t>
      </w:r>
      <w:r>
        <w:rPr>
          <w:b/>
        </w:rPr>
        <w:t>, commissie voor Buitenlandse Zaken</w:t>
      </w:r>
    </w:p>
    <w:tbl>
      <w:tblPr>
        <w:tblStyle w:val="Tabelraster"/>
        <w:tblpPr w:leftFromText="141" w:rightFromText="141" w:vertAnchor="text" w:horzAnchor="margin" w:tblpXSpec="center" w:tblpY="205"/>
        <w:tblW w:w="10490" w:type="dxa"/>
        <w:tblLook w:val="04A0" w:firstRow="1" w:lastRow="0" w:firstColumn="1" w:lastColumn="0" w:noHBand="0" w:noVBand="1"/>
      </w:tblPr>
      <w:tblGrid>
        <w:gridCol w:w="567"/>
        <w:gridCol w:w="2660"/>
        <w:gridCol w:w="4678"/>
        <w:gridCol w:w="2585"/>
      </w:tblGrid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  <w:rPr>
                <w:b/>
              </w:rPr>
            </w:pPr>
            <w:r w:rsidRPr="009235AC">
              <w:rPr>
                <w:b/>
              </w:rPr>
              <w:t>Nr.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  <w:rPr>
                <w:b/>
              </w:rPr>
            </w:pPr>
            <w:r w:rsidRPr="009235AC">
              <w:rPr>
                <w:b/>
              </w:rPr>
              <w:t>Onderwerp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  <w:rPr>
                <w:b/>
              </w:rPr>
            </w:pPr>
            <w:r w:rsidRPr="009235AC">
              <w:rPr>
                <w:b/>
              </w:rPr>
              <w:t xml:space="preserve">Toelichting / </w:t>
            </w:r>
            <w:r>
              <w:rPr>
                <w:b/>
              </w:rPr>
              <w:t xml:space="preserve"> Voorbereidingsgroep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  <w:rPr>
                <w:b/>
              </w:rPr>
            </w:pPr>
            <w:r w:rsidRPr="009235AC">
              <w:rPr>
                <w:b/>
              </w:rPr>
              <w:t>Tijdspad</w:t>
            </w:r>
            <w:r>
              <w:rPr>
                <w:b/>
              </w:rPr>
              <w:t xml:space="preserve"> / Stand van zaken</w:t>
            </w:r>
          </w:p>
        </w:tc>
      </w:tr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1.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Vervolging en berechting van ISIS-strijders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Onderzoek(-</w:t>
            </w:r>
            <w:proofErr w:type="spellStart"/>
            <w:r w:rsidRPr="009235AC">
              <w:t>sactiviteiten</w:t>
            </w:r>
            <w:proofErr w:type="spellEnd"/>
            <w:r w:rsidRPr="009235AC">
              <w:t xml:space="preserve">) naar de wijze waarop in internationaal verband ISIS-strijders vervolgd en berecht kunnen worden. </w:t>
            </w:r>
          </w:p>
          <w:p w:rsidR="007C4252" w:rsidP="00D15692" w:rsidRDefault="007C4252">
            <w:pPr>
              <w:spacing w:line="360" w:lineRule="auto"/>
            </w:pPr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</w:t>
            </w:r>
          </w:p>
          <w:p w:rsidRPr="009235AC" w:rsidR="007C4252" w:rsidP="00D15692" w:rsidRDefault="007C4252">
            <w:pPr>
              <w:spacing w:line="360" w:lineRule="auto"/>
            </w:pPr>
            <w:r w:rsidRPr="009235AC">
              <w:t>Van Helvert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>
              <w:t>In het 1</w:t>
            </w:r>
            <w:r w:rsidRPr="008A40F2">
              <w:rPr>
                <w:vertAlign w:val="superscript"/>
              </w:rPr>
              <w:t>e</w:t>
            </w:r>
            <w:r>
              <w:t xml:space="preserve"> kwartaal 2019 zal de trekker een voorstel doen aan de commissie op basis van een literatuurverkenning.</w:t>
            </w:r>
          </w:p>
        </w:tc>
      </w:tr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2.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Nederlanders in het buitenlan</w:t>
            </w:r>
            <w:r>
              <w:t>d en consulaire dienstverlening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C4252" w:rsidP="00D15692" w:rsidRDefault="007C4252">
            <w:pPr>
              <w:spacing w:line="360" w:lineRule="auto"/>
            </w:pPr>
            <w:r w:rsidRPr="009235AC">
              <w:t>Onderzoek(-</w:t>
            </w:r>
            <w:proofErr w:type="spellStart"/>
            <w:r w:rsidRPr="009235AC">
              <w:t>sactiviteiten</w:t>
            </w:r>
            <w:proofErr w:type="spellEnd"/>
            <w:r w:rsidRPr="009235AC">
              <w:t xml:space="preserve">) naar de wijze waarop Nederlanders in het buitenland (beter) bediend en vertegenwoordigd (kunnen) worden. </w:t>
            </w:r>
            <w:r>
              <w:t xml:space="preserve">Daarbij wordt een </w:t>
            </w:r>
            <w:proofErr w:type="spellStart"/>
            <w:r>
              <w:t>landenvergelijkende</w:t>
            </w:r>
            <w:proofErr w:type="spellEnd"/>
            <w:r>
              <w:t xml:space="preserve"> studie naar ‘best </w:t>
            </w:r>
            <w:proofErr w:type="spellStart"/>
            <w:r>
              <w:t>practices</w:t>
            </w:r>
            <w:proofErr w:type="spellEnd"/>
            <w:r>
              <w:t>’ op het terrein van consulaire dienstverlening in het voorstel uitgewerkt.</w:t>
            </w:r>
          </w:p>
          <w:p w:rsidR="007C4252" w:rsidP="00D15692" w:rsidRDefault="007C4252">
            <w:pPr>
              <w:spacing w:line="360" w:lineRule="auto"/>
            </w:pPr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</w:t>
            </w:r>
          </w:p>
          <w:p w:rsidRPr="009235AC" w:rsidR="007C4252" w:rsidP="00D15692" w:rsidRDefault="007C4252">
            <w:pPr>
              <w:spacing w:line="360" w:lineRule="auto"/>
            </w:pPr>
            <w:r>
              <w:t>Sjoerdsma en</w:t>
            </w:r>
            <w:r>
              <w:t xml:space="preserve"> Koopmans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7C4252" w:rsidRDefault="007C4252">
            <w:pPr>
              <w:spacing w:line="360" w:lineRule="auto"/>
            </w:pPr>
            <w:r>
              <w:t xml:space="preserve">De voorbereidingsgroep komt met een voorstel voor verdere uitwerking, na het Algemeen Overleg consulaire dienstverlening </w:t>
            </w:r>
            <w:r>
              <w:t>van</w:t>
            </w:r>
            <w:r>
              <w:t xml:space="preserve"> 13 februari.</w:t>
            </w:r>
          </w:p>
        </w:tc>
      </w:tr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3.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Verhouding met Rusland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Nader inzicht verkrijgen in de visie en positie van Rusland (o.a. door het uitnodige</w:t>
            </w:r>
            <w:r>
              <w:t>n van buitenlandse deskundigen).</w:t>
            </w:r>
          </w:p>
          <w:p w:rsidR="007C4252" w:rsidP="00D15692" w:rsidRDefault="007C4252">
            <w:pPr>
              <w:spacing w:line="360" w:lineRule="auto"/>
            </w:pPr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</w:t>
            </w:r>
          </w:p>
          <w:p w:rsidRPr="009235AC" w:rsidR="007C4252" w:rsidP="00D15692" w:rsidRDefault="007C4252">
            <w:pPr>
              <w:spacing w:line="360" w:lineRule="auto"/>
            </w:pPr>
            <w:r w:rsidRPr="009235AC">
              <w:t>Karabulut en De Roon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>
              <w:t>De voorbereidingsgroep komt met een voorstel voor verdere uitwerking.</w:t>
            </w:r>
          </w:p>
        </w:tc>
      </w:tr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D15692" w:rsidRDefault="007C4252">
            <w:pPr>
              <w:spacing w:line="360" w:lineRule="auto"/>
            </w:pPr>
            <w:r w:rsidRPr="009235AC">
              <w:t>4.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5AC" w:rsidR="007C4252" w:rsidP="007C4252" w:rsidRDefault="007C4252">
            <w:pPr>
              <w:spacing w:line="360" w:lineRule="auto"/>
            </w:pPr>
            <w:r>
              <w:t xml:space="preserve">Vrijheid van religie en levensovertuiging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C4252" w:rsidP="00D15692" w:rsidRDefault="007C4252">
            <w:pPr>
              <w:spacing w:line="360" w:lineRule="auto"/>
            </w:pPr>
            <w:r w:rsidRPr="009235AC">
              <w:t>Onderzoek(-</w:t>
            </w:r>
            <w:proofErr w:type="spellStart"/>
            <w:r w:rsidRPr="009235AC">
              <w:t>sactiviteiten</w:t>
            </w:r>
            <w:proofErr w:type="spellEnd"/>
            <w:r w:rsidRPr="009235AC">
              <w:t xml:space="preserve">) naar beleidsinstrumenten die de </w:t>
            </w:r>
            <w:r>
              <w:t>v</w:t>
            </w:r>
            <w:r w:rsidRPr="009235AC">
              <w:t xml:space="preserve">rijheid </w:t>
            </w:r>
            <w:r>
              <w:t>v</w:t>
            </w:r>
            <w:r w:rsidR="009B58BE">
              <w:t>a</w:t>
            </w:r>
            <w:r>
              <w:t xml:space="preserve">n godsdienst en levensovertuiging </w:t>
            </w:r>
            <w:r w:rsidRPr="009235AC">
              <w:t xml:space="preserve">bevorderen. </w:t>
            </w:r>
          </w:p>
          <w:p w:rsidRPr="009235AC" w:rsidR="007C4252" w:rsidP="00D15692" w:rsidRDefault="007C4252">
            <w:pPr>
              <w:spacing w:line="360" w:lineRule="auto"/>
            </w:pPr>
            <w:r>
              <w:t xml:space="preserve">N.B.: </w:t>
            </w:r>
            <w:r w:rsidR="009B58BE">
              <w:t xml:space="preserve">hierbij wordt betrokken: </w:t>
            </w:r>
            <w:r>
              <w:t>de brief van de minister van Buitenlandse Zaken d.d. 21-12-2018 inzake hoofdpunten van een interne notitie over het onderwerp ‘religie en buitenlands beleid</w:t>
            </w:r>
            <w:r w:rsidR="009B58BE">
              <w:t>’ (35000-V, nr. 55).</w:t>
            </w:r>
          </w:p>
          <w:p w:rsidR="007C4252" w:rsidP="00D15692" w:rsidRDefault="007C4252">
            <w:pPr>
              <w:spacing w:line="360" w:lineRule="auto"/>
            </w:pPr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</w:t>
            </w:r>
          </w:p>
          <w:p w:rsidRPr="009235AC" w:rsidR="007C4252" w:rsidP="00D15692" w:rsidRDefault="007C4252">
            <w:pPr>
              <w:spacing w:line="360" w:lineRule="auto"/>
            </w:pPr>
            <w:r w:rsidRPr="009235AC">
              <w:t xml:space="preserve">Voordewind en Van Helvert 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C4252" w:rsidP="00D15692" w:rsidRDefault="007C4252">
            <w:pPr>
              <w:spacing w:line="360" w:lineRule="auto"/>
            </w:pPr>
            <w:r>
              <w:t xml:space="preserve">De voorbereidingsgroep komt met een voorstel voor verdere uitwerking. </w:t>
            </w:r>
          </w:p>
          <w:p w:rsidR="007C4252" w:rsidP="00D15692" w:rsidRDefault="007C4252">
            <w:pPr>
              <w:spacing w:line="360" w:lineRule="auto"/>
            </w:pPr>
          </w:p>
          <w:p w:rsidRPr="009235AC" w:rsidR="007C4252" w:rsidP="00D15692" w:rsidRDefault="007C4252">
            <w:pPr>
              <w:spacing w:line="360" w:lineRule="auto"/>
            </w:pPr>
            <w:r>
              <w:t>Voorbereiding in 2019</w:t>
            </w:r>
            <w:r w:rsidRPr="009235AC">
              <w:t>, activiteiten vinden plaats in 2019/voorjaar 2020</w:t>
            </w:r>
          </w:p>
        </w:tc>
      </w:tr>
      <w:tr w:rsidRPr="009235AC" w:rsidR="007C4252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4252" w:rsidP="00D15692" w:rsidRDefault="007C4252">
            <w:pPr>
              <w:spacing w:line="360" w:lineRule="auto"/>
            </w:pPr>
            <w:r>
              <w:t>5.</w:t>
            </w:r>
          </w:p>
          <w:p w:rsidRPr="009235AC" w:rsidR="007C4252" w:rsidP="00D15692" w:rsidRDefault="007C4252">
            <w:pPr>
              <w:spacing w:line="360" w:lineRule="auto"/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35AC" w:rsidR="007C4252" w:rsidP="00D15692" w:rsidRDefault="007C4252">
            <w:pPr>
              <w:spacing w:line="360" w:lineRule="auto"/>
            </w:pPr>
            <w:r>
              <w:t>Drones en Killerrobots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4252" w:rsidP="00D15692" w:rsidRDefault="007C4252">
            <w:pPr>
              <w:spacing w:line="360" w:lineRule="auto"/>
            </w:pPr>
            <w:r>
              <w:t>Organiseren van een rondetafelgesprek met deskundigen.</w:t>
            </w:r>
          </w:p>
          <w:p w:rsidR="007C4252" w:rsidP="00D15692" w:rsidRDefault="007C4252">
            <w:pPr>
              <w:spacing w:line="360" w:lineRule="auto"/>
            </w:pPr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</w:t>
            </w:r>
          </w:p>
          <w:p w:rsidRPr="009235AC" w:rsidR="007C4252" w:rsidP="00D15692" w:rsidRDefault="007C4252">
            <w:pPr>
              <w:spacing w:line="360" w:lineRule="auto"/>
            </w:pPr>
            <w:r>
              <w:t>Koopmans en Van der Staaij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4252" w:rsidP="00D15692" w:rsidRDefault="007C4252">
            <w:pPr>
              <w:spacing w:line="360" w:lineRule="auto"/>
            </w:pPr>
            <w:r>
              <w:t>De commissie heeft op 21 januari 2019 een rondetafelgesprek met deskundigen gevoerd.</w:t>
            </w:r>
          </w:p>
        </w:tc>
      </w:tr>
      <w:tr w:rsidRPr="009235AC" w:rsidR="009B58BE" w:rsidTr="00D1569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58BE" w:rsidP="00D15692" w:rsidRDefault="009B58BE">
            <w:pPr>
              <w:spacing w:line="360" w:lineRule="auto"/>
            </w:pPr>
            <w:r>
              <w:t>6.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58BE" w:rsidP="00B710AB" w:rsidRDefault="00B710AB">
            <w:pPr>
              <w:spacing w:line="360" w:lineRule="auto"/>
            </w:pPr>
            <w:r>
              <w:t>Kernwapens en wapen-beheersingsinitiatieven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58BE" w:rsidP="00B710AB" w:rsidRDefault="00B710AB">
            <w:pPr>
              <w:spacing w:line="360" w:lineRule="auto"/>
            </w:pPr>
            <w:r>
              <w:t>Naar aanleiding van AIV-advies ‘Kernwapens in een nieuwe geopolitieke werkelijkheid: hoog tijd voor nieuwe wapenbeheersingsinitiatieven’.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58BE" w:rsidP="00D15692" w:rsidRDefault="00B710AB">
            <w:pPr>
              <w:spacing w:line="360" w:lineRule="auto"/>
            </w:pPr>
            <w:r>
              <w:t>- gesprek met opstellers AIV-advies.</w:t>
            </w:r>
          </w:p>
          <w:p w:rsidR="00B710AB" w:rsidP="00B710AB" w:rsidRDefault="00B710AB">
            <w:pPr>
              <w:spacing w:line="360" w:lineRule="auto"/>
            </w:pPr>
            <w:r>
              <w:t>- rondetafelgesprek na ontvangst kabinetsreactie op advies.</w:t>
            </w:r>
          </w:p>
        </w:tc>
      </w:tr>
    </w:tbl>
    <w:p w:rsidR="007C4252" w:rsidP="007C4252" w:rsidRDefault="007C4252"/>
    <w:p w:rsidR="003A58B2" w:rsidRDefault="003A58B2"/>
    <w:sectPr w:rsidR="003A58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2"/>
    <w:rsid w:val="0003210F"/>
    <w:rsid w:val="00140F79"/>
    <w:rsid w:val="00222667"/>
    <w:rsid w:val="002F2E83"/>
    <w:rsid w:val="0033571A"/>
    <w:rsid w:val="003637DA"/>
    <w:rsid w:val="003A58B2"/>
    <w:rsid w:val="003F470C"/>
    <w:rsid w:val="004337FC"/>
    <w:rsid w:val="004C0593"/>
    <w:rsid w:val="004F499D"/>
    <w:rsid w:val="00544416"/>
    <w:rsid w:val="005A0128"/>
    <w:rsid w:val="005F7DC7"/>
    <w:rsid w:val="006F08BB"/>
    <w:rsid w:val="00737BB1"/>
    <w:rsid w:val="007C4252"/>
    <w:rsid w:val="008E03AA"/>
    <w:rsid w:val="009B58BE"/>
    <w:rsid w:val="00A26AED"/>
    <w:rsid w:val="00A919E2"/>
    <w:rsid w:val="00AE0E51"/>
    <w:rsid w:val="00AF79CF"/>
    <w:rsid w:val="00B658E4"/>
    <w:rsid w:val="00B710AB"/>
    <w:rsid w:val="00B910F6"/>
    <w:rsid w:val="00D15E90"/>
    <w:rsid w:val="00D50418"/>
    <w:rsid w:val="00E24DF1"/>
    <w:rsid w:val="00E44A3B"/>
    <w:rsid w:val="00E63349"/>
    <w:rsid w:val="00EB619E"/>
    <w:rsid w:val="00F10712"/>
    <w:rsid w:val="00F8730D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7C4252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C425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7C4252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C425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2024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2019-02-11T15:08:00.0000000Z</dcterms:created>
  <dcterms:modified xsi:type="dcterms:W3CDTF">2019-02-11T15:08:00.0000000Z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0x010100DDFF499902F6F143B7D331734C9D383A</vt:lpwstr>
  </property>
</Properties>
</file>