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A6EC0" w:rsidR="00C74A63" w:rsidP="00DA6EC0" w:rsidRDefault="00DA6EC0">
      <w:pPr>
        <w:rPr>
          <w:b/>
          <w:u w:val="single"/>
        </w:rPr>
      </w:pPr>
      <w:r w:rsidRPr="00DA6EC0">
        <w:rPr>
          <w:b/>
          <w:u w:val="single"/>
        </w:rPr>
        <w:t xml:space="preserve">Kennisagenda 2019 algemene commissie voor Buitenlandse Handel en Ontwikkelingssamenwerking </w:t>
      </w:r>
    </w:p>
    <w:p w:rsidR="00DA6EC0" w:rsidP="00DA6EC0" w:rsidRDefault="00DA6EC0">
      <w:pPr>
        <w:rPr>
          <w:b/>
        </w:rPr>
      </w:pPr>
    </w:p>
    <w:tbl>
      <w:tblPr>
        <w:tblStyle w:val="Tabelraster"/>
        <w:tblpPr w:leftFromText="141" w:rightFromText="141" w:vertAnchor="text" w:horzAnchor="page" w:tblpX="583" w:tblpY="17"/>
        <w:tblW w:w="5371" w:type="pct"/>
        <w:tblLayout w:type="fixed"/>
        <w:tblLook w:val="04A0" w:firstRow="1" w:lastRow="0" w:firstColumn="1" w:lastColumn="0" w:noHBand="0" w:noVBand="1"/>
      </w:tblPr>
      <w:tblGrid>
        <w:gridCol w:w="946"/>
        <w:gridCol w:w="3031"/>
        <w:gridCol w:w="5490"/>
        <w:gridCol w:w="5808"/>
      </w:tblGrid>
      <w:tr w:rsidRPr="00CB615D" w:rsidR="00DA6EC0" w:rsidTr="00BA6AF0">
        <w:tc>
          <w:tcPr>
            <w:tcW w:w="310" w:type="pct"/>
          </w:tcPr>
          <w:p w:rsidRPr="008976F4" w:rsidR="00DA6EC0" w:rsidP="00BA6AF0" w:rsidRDefault="00DA6EC0">
            <w:pPr>
              <w:spacing w:line="360" w:lineRule="auto"/>
              <w:rPr>
                <w:b/>
              </w:rPr>
            </w:pPr>
            <w:r w:rsidRPr="008976F4">
              <w:rPr>
                <w:b/>
              </w:rPr>
              <w:t>Nr.</w:t>
            </w:r>
          </w:p>
        </w:tc>
        <w:tc>
          <w:tcPr>
            <w:tcW w:w="992" w:type="pct"/>
          </w:tcPr>
          <w:p w:rsidRPr="008976F4" w:rsidR="00DA6EC0" w:rsidP="00BA6AF0" w:rsidRDefault="00DA6EC0">
            <w:pPr>
              <w:spacing w:line="360" w:lineRule="auto"/>
              <w:rPr>
                <w:b/>
              </w:rPr>
            </w:pPr>
            <w:r w:rsidRPr="008976F4">
              <w:rPr>
                <w:b/>
              </w:rPr>
              <w:t>Onderwerp</w:t>
            </w:r>
          </w:p>
        </w:tc>
        <w:tc>
          <w:tcPr>
            <w:tcW w:w="1797" w:type="pct"/>
          </w:tcPr>
          <w:p w:rsidRPr="008976F4" w:rsidR="00DA6EC0" w:rsidP="00BA6AF0" w:rsidRDefault="00DA6EC0">
            <w:pPr>
              <w:spacing w:line="360" w:lineRule="auto"/>
              <w:rPr>
                <w:b/>
              </w:rPr>
            </w:pPr>
            <w:r w:rsidRPr="008976F4">
              <w:rPr>
                <w:b/>
              </w:rPr>
              <w:t xml:space="preserve">Toelichting / </w:t>
            </w:r>
            <w:r>
              <w:rPr>
                <w:b/>
              </w:rPr>
              <w:t>voorbereidingsgroep</w:t>
            </w:r>
          </w:p>
        </w:tc>
        <w:tc>
          <w:tcPr>
            <w:tcW w:w="1902" w:type="pct"/>
          </w:tcPr>
          <w:p w:rsidR="00DA6EC0" w:rsidP="00BA6AF0" w:rsidRDefault="00DA6EC0">
            <w:pPr>
              <w:spacing w:line="360" w:lineRule="auto"/>
              <w:rPr>
                <w:b/>
              </w:rPr>
            </w:pPr>
            <w:r>
              <w:rPr>
                <w:b/>
              </w:rPr>
              <w:t>Tijdspad / Stand van zaken</w:t>
            </w:r>
          </w:p>
        </w:tc>
      </w:tr>
      <w:tr w:rsidRPr="00CB615D" w:rsidR="00DA6EC0" w:rsidTr="00BA6AF0">
        <w:tc>
          <w:tcPr>
            <w:tcW w:w="310" w:type="pct"/>
          </w:tcPr>
          <w:p w:rsidRPr="00571746" w:rsidR="00DA6EC0" w:rsidP="00BA6AF0" w:rsidRDefault="00DA6EC0">
            <w:pPr>
              <w:spacing w:line="360" w:lineRule="auto"/>
            </w:pPr>
            <w:r>
              <w:t>1.</w:t>
            </w:r>
          </w:p>
        </w:tc>
        <w:tc>
          <w:tcPr>
            <w:tcW w:w="992" w:type="pct"/>
          </w:tcPr>
          <w:p w:rsidR="00DA6EC0" w:rsidP="00BA6AF0" w:rsidRDefault="00DA6EC0">
            <w:pPr>
              <w:spacing w:line="360" w:lineRule="auto"/>
            </w:pPr>
          </w:p>
          <w:p w:rsidRPr="00571746" w:rsidR="00DA6EC0" w:rsidP="00BA6AF0" w:rsidRDefault="00DA6EC0">
            <w:pPr>
              <w:spacing w:line="360" w:lineRule="auto"/>
            </w:pPr>
            <w:r>
              <w:t>Migratie</w:t>
            </w:r>
          </w:p>
        </w:tc>
        <w:tc>
          <w:tcPr>
            <w:tcW w:w="1797" w:type="pct"/>
          </w:tcPr>
          <w:p w:rsidR="00DA6EC0" w:rsidP="00BA6AF0" w:rsidRDefault="00DA6EC0"/>
          <w:p w:rsidRPr="00571746" w:rsidR="00DA6EC0" w:rsidP="00BA6AF0" w:rsidRDefault="00DA6EC0">
            <w:r w:rsidRPr="00571746">
              <w:t>Onderzoek(-</w:t>
            </w:r>
            <w:proofErr w:type="spellStart"/>
            <w:r w:rsidRPr="00571746">
              <w:t>sactiviteiten</w:t>
            </w:r>
            <w:proofErr w:type="spellEnd"/>
            <w:r w:rsidRPr="00571746">
              <w:t>) naar de</w:t>
            </w:r>
            <w:r>
              <w:t xml:space="preserve"> beleidsinstrumenten op het migratieterrein en inzicht in migratiestromen en de besteding van gelden uit de BuHa-OS begroting. </w:t>
            </w:r>
          </w:p>
          <w:p w:rsidRPr="00571746" w:rsidR="00DA6EC0" w:rsidP="00BA6AF0" w:rsidRDefault="00DA6EC0"/>
          <w:p w:rsidR="00DA6EC0" w:rsidP="00BA6AF0" w:rsidRDefault="00DA6EC0">
            <w:pPr>
              <w:rPr>
                <w:b/>
              </w:rPr>
            </w:pPr>
          </w:p>
          <w:p w:rsidR="00DA6EC0" w:rsidP="00BA6AF0" w:rsidRDefault="00DA6EC0">
            <w:pPr>
              <w:rPr>
                <w:b/>
              </w:rPr>
            </w:pPr>
          </w:p>
          <w:p w:rsidR="00DA6EC0" w:rsidP="00BA6AF0" w:rsidRDefault="00DA6EC0">
            <w:pPr>
              <w:rPr>
                <w:b/>
              </w:rPr>
            </w:pPr>
          </w:p>
          <w:p w:rsidRPr="00571746" w:rsidR="00DA6EC0" w:rsidP="00BA6AF0" w:rsidRDefault="00DA6EC0">
            <w:r>
              <w:rPr>
                <w:b/>
              </w:rPr>
              <w:t>Voorbereidingsgroep</w:t>
            </w:r>
            <w:r w:rsidRPr="00C573BD">
              <w:rPr>
                <w:b/>
              </w:rPr>
              <w:t>:</w:t>
            </w:r>
            <w:r>
              <w:t xml:space="preserve"> Diks en Kuik</w:t>
            </w:r>
          </w:p>
        </w:tc>
        <w:tc>
          <w:tcPr>
            <w:tcW w:w="1902" w:type="pct"/>
          </w:tcPr>
          <w:p w:rsidR="00DA6EC0" w:rsidP="00BA6AF0" w:rsidRDefault="00DA6EC0">
            <w:pPr>
              <w:spacing w:line="360" w:lineRule="auto"/>
            </w:pPr>
          </w:p>
          <w:p w:rsidR="00DA6EC0" w:rsidP="00BA6AF0" w:rsidRDefault="00DA6EC0">
            <w:pPr>
              <w:spacing w:line="360" w:lineRule="auto"/>
            </w:pPr>
            <w:r>
              <w:t>De commissie heeft een deskundigenbijeenkomst en een expertmeeting gehouden in najaar 2018. Daarnaast wordt literatuuronderzoek voorbereid na ontvangst van nadere informatie van het IOB.</w:t>
            </w:r>
          </w:p>
        </w:tc>
      </w:tr>
      <w:tr w:rsidRPr="00CB615D" w:rsidR="00DA6EC0" w:rsidTr="00BA6AF0">
        <w:tc>
          <w:tcPr>
            <w:tcW w:w="310" w:type="pct"/>
          </w:tcPr>
          <w:p w:rsidRPr="00571746" w:rsidR="00DA6EC0" w:rsidP="00BA6AF0" w:rsidRDefault="00DA6EC0">
            <w:pPr>
              <w:spacing w:line="360" w:lineRule="auto"/>
            </w:pPr>
            <w:r>
              <w:t>2</w:t>
            </w:r>
            <w:r w:rsidRPr="00571746">
              <w:t>.</w:t>
            </w:r>
          </w:p>
        </w:tc>
        <w:tc>
          <w:tcPr>
            <w:tcW w:w="992" w:type="pct"/>
          </w:tcPr>
          <w:p w:rsidR="00DA6EC0" w:rsidP="00BA6AF0" w:rsidRDefault="00DA6EC0">
            <w:pPr>
              <w:spacing w:line="360" w:lineRule="auto"/>
            </w:pPr>
          </w:p>
          <w:p w:rsidRPr="00571746" w:rsidR="00DA6EC0" w:rsidP="00BA6AF0" w:rsidRDefault="00DA6EC0">
            <w:pPr>
              <w:spacing w:line="360" w:lineRule="auto"/>
            </w:pPr>
            <w:r w:rsidRPr="00571746">
              <w:t xml:space="preserve">Handel </w:t>
            </w:r>
          </w:p>
          <w:p w:rsidRPr="00571746" w:rsidR="00DA6EC0" w:rsidP="00BA6AF0" w:rsidRDefault="00DA6EC0">
            <w:pPr>
              <w:spacing w:line="360" w:lineRule="auto"/>
            </w:pPr>
            <w:r w:rsidRPr="00571746">
              <w:t>(Handelspolitiek, handelsbevordering en instrumenten en IMVO)</w:t>
            </w:r>
          </w:p>
        </w:tc>
        <w:tc>
          <w:tcPr>
            <w:tcW w:w="1797" w:type="pct"/>
          </w:tcPr>
          <w:p w:rsidR="00DA6EC0" w:rsidP="00BA6AF0" w:rsidRDefault="00DA6EC0"/>
          <w:p w:rsidRPr="00571746" w:rsidR="00DA6EC0" w:rsidP="00BA6AF0" w:rsidRDefault="00DA6EC0">
            <w:r w:rsidRPr="00571746">
              <w:t>Onderzoek(-</w:t>
            </w:r>
            <w:proofErr w:type="spellStart"/>
            <w:r w:rsidRPr="00571746">
              <w:t>sactiviteiten</w:t>
            </w:r>
            <w:proofErr w:type="spellEnd"/>
            <w:r w:rsidRPr="00571746">
              <w:t>) naar de wijze waarop Nederland actief is op het terrein van handelspolitiek, handelsverdragen, het instrumentarium voor handelsbevordering en de wijze waarop het parlement betrokken kan worden op deze terreinen.</w:t>
            </w:r>
          </w:p>
          <w:p w:rsidRPr="00571746" w:rsidR="00DA6EC0" w:rsidP="00BA6AF0" w:rsidRDefault="00DA6EC0"/>
          <w:p w:rsidR="00DA6EC0" w:rsidP="00BA6AF0" w:rsidRDefault="00DA6EC0">
            <w:r>
              <w:rPr>
                <w:b/>
              </w:rPr>
              <w:t>Voorbereidingsgroep</w:t>
            </w:r>
            <w:r w:rsidRPr="00C573BD">
              <w:rPr>
                <w:b/>
              </w:rPr>
              <w:t>:</w:t>
            </w:r>
            <w:r>
              <w:t xml:space="preserve"> Amhaouch en Bouali</w:t>
            </w:r>
          </w:p>
          <w:p w:rsidRPr="00571746" w:rsidR="00DA6EC0" w:rsidP="00BA6AF0" w:rsidRDefault="00DA6EC0"/>
        </w:tc>
        <w:tc>
          <w:tcPr>
            <w:tcW w:w="1902" w:type="pct"/>
          </w:tcPr>
          <w:p w:rsidR="00DA6EC0" w:rsidP="00BA6AF0" w:rsidRDefault="00DA6EC0">
            <w:pPr>
              <w:spacing w:line="360" w:lineRule="auto"/>
            </w:pPr>
          </w:p>
          <w:p w:rsidR="00DA6EC0" w:rsidP="00BA6AF0" w:rsidRDefault="00DA6EC0">
            <w:pPr>
              <w:spacing w:line="360" w:lineRule="auto"/>
            </w:pPr>
            <w:r>
              <w:t>De commissie heeft in het kader van dit onderwerp een studiereis (</w:t>
            </w:r>
            <w:proofErr w:type="spellStart"/>
            <w:r>
              <w:t>meireces</w:t>
            </w:r>
            <w:proofErr w:type="spellEnd"/>
            <w:r w:rsidR="002A6ACD">
              <w:t xml:space="preserve"> 2018</w:t>
            </w:r>
            <w:r>
              <w:t xml:space="preserve">) gehouden naar Genève waarbij op het terrein van handel internationale organisaties zijn bezocht. </w:t>
            </w:r>
          </w:p>
          <w:p w:rsidR="00DA6EC0" w:rsidP="00BA6AF0" w:rsidRDefault="00DA6EC0">
            <w:pPr>
              <w:spacing w:line="360" w:lineRule="auto"/>
            </w:pPr>
          </w:p>
          <w:p w:rsidR="00DA6EC0" w:rsidP="00BA6AF0" w:rsidRDefault="00DA6EC0">
            <w:pPr>
              <w:spacing w:line="360" w:lineRule="auto"/>
            </w:pPr>
            <w:r>
              <w:t xml:space="preserve">De voorbereidingsgroep komt met een voorstel voor verdere uitwerking. </w:t>
            </w:r>
          </w:p>
        </w:tc>
      </w:tr>
      <w:tr w:rsidRPr="00CB615D" w:rsidR="00DA6EC0" w:rsidTr="00BA6AF0">
        <w:tc>
          <w:tcPr>
            <w:tcW w:w="310" w:type="pct"/>
          </w:tcPr>
          <w:p w:rsidRPr="00571746" w:rsidR="00DA6EC0" w:rsidP="00BA6AF0" w:rsidRDefault="00DA6EC0">
            <w:pPr>
              <w:spacing w:line="360" w:lineRule="auto"/>
            </w:pPr>
            <w:r>
              <w:t>3</w:t>
            </w:r>
            <w:r w:rsidRPr="00571746">
              <w:t>.</w:t>
            </w:r>
          </w:p>
        </w:tc>
        <w:tc>
          <w:tcPr>
            <w:tcW w:w="992" w:type="pct"/>
          </w:tcPr>
          <w:p w:rsidR="00DA6EC0" w:rsidP="00BA6AF0" w:rsidRDefault="00DA6EC0">
            <w:pPr>
              <w:spacing w:line="360" w:lineRule="auto"/>
            </w:pPr>
          </w:p>
          <w:p w:rsidRPr="00571746" w:rsidR="00DA6EC0" w:rsidP="00BA6AF0" w:rsidRDefault="00DA6EC0">
            <w:pPr>
              <w:spacing w:line="360" w:lineRule="auto"/>
            </w:pPr>
            <w:r w:rsidRPr="00571746">
              <w:t>Ontwikkelingssamenwerking en Europa</w:t>
            </w:r>
          </w:p>
        </w:tc>
        <w:tc>
          <w:tcPr>
            <w:tcW w:w="1797" w:type="pct"/>
          </w:tcPr>
          <w:p w:rsidR="00DA6EC0" w:rsidP="00BA6AF0" w:rsidRDefault="00DA6EC0"/>
          <w:p w:rsidRPr="00571746" w:rsidR="00DA6EC0" w:rsidP="00BA6AF0" w:rsidRDefault="00DA6EC0">
            <w:r w:rsidRPr="00571746">
              <w:t>Nader inzicht verkrijgen in de strategie en afstemming van EU-lidstaten op OS</w:t>
            </w:r>
            <w:r>
              <w:t>-</w:t>
            </w:r>
            <w:r w:rsidRPr="00571746">
              <w:t>terrein en de effectiviteit van de besteding van EU</w:t>
            </w:r>
            <w:r>
              <w:t>-</w:t>
            </w:r>
            <w:r w:rsidRPr="00571746">
              <w:t>gelden op OS</w:t>
            </w:r>
            <w:r>
              <w:t>-</w:t>
            </w:r>
            <w:r w:rsidRPr="00571746">
              <w:t>terrein.</w:t>
            </w:r>
          </w:p>
          <w:p w:rsidRPr="00571746" w:rsidR="00DA6EC0" w:rsidP="00BA6AF0" w:rsidRDefault="00DA6EC0"/>
          <w:p w:rsidRPr="00571746" w:rsidR="00DA6EC0" w:rsidP="00DA6EC0" w:rsidRDefault="00DA6EC0">
            <w:r>
              <w:rPr>
                <w:b/>
              </w:rPr>
              <w:t>Voorbereidingsgroep</w:t>
            </w:r>
            <w:r w:rsidRPr="00C573BD">
              <w:rPr>
                <w:b/>
              </w:rPr>
              <w:t>:</w:t>
            </w:r>
            <w:r>
              <w:t xml:space="preserve"> Van Haga en </w:t>
            </w:r>
            <w:r>
              <w:t>Van Weerdenburg</w:t>
            </w:r>
          </w:p>
        </w:tc>
        <w:tc>
          <w:tcPr>
            <w:tcW w:w="1902" w:type="pct"/>
          </w:tcPr>
          <w:p w:rsidR="00DA6EC0" w:rsidP="00BA6AF0" w:rsidRDefault="00DA6EC0">
            <w:pPr>
              <w:spacing w:line="360" w:lineRule="auto"/>
            </w:pPr>
            <w:bookmarkStart w:name="_GoBack" w:id="0"/>
            <w:bookmarkEnd w:id="0"/>
          </w:p>
          <w:p w:rsidR="00DA6EC0" w:rsidP="00BA6AF0" w:rsidRDefault="00DA6EC0">
            <w:pPr>
              <w:spacing w:line="360" w:lineRule="auto"/>
            </w:pPr>
            <w:r>
              <w:t>De voorbereidingsgroep komt met een voorstel voor verdere uitwerking.</w:t>
            </w:r>
          </w:p>
          <w:p w:rsidR="00DA6EC0" w:rsidP="00BA6AF0" w:rsidRDefault="00DA6EC0">
            <w:pPr>
              <w:spacing w:line="360" w:lineRule="auto"/>
            </w:pPr>
          </w:p>
          <w:p w:rsidR="00DA6EC0" w:rsidP="00BA6AF0" w:rsidRDefault="00DA6EC0">
            <w:pPr>
              <w:spacing w:line="360" w:lineRule="auto"/>
            </w:pPr>
            <w:r>
              <w:t>Met het oog op de behandeling van de Kabinetsinzet EU ontwikkelingssamenwerkingsbeleid is het mogelijk ter voorbereiding activiteiten in te plannen.</w:t>
            </w:r>
          </w:p>
        </w:tc>
      </w:tr>
    </w:tbl>
    <w:p w:rsidR="00DA6EC0" w:rsidP="00DA6EC0" w:rsidRDefault="00DA6EC0"/>
    <w:p w:rsidRPr="00DA6EC0" w:rsidR="00DA6EC0" w:rsidP="00DA6EC0" w:rsidRDefault="00DA6EC0">
      <w:pPr>
        <w:rPr>
          <w:b/>
        </w:rPr>
      </w:pPr>
    </w:p>
    <w:sectPr w:rsidRPr="00DA6EC0" w:rsidR="00DA6EC0" w:rsidSect="00DA6EC0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C0"/>
    <w:rsid w:val="00097DFD"/>
    <w:rsid w:val="002A6ACD"/>
    <w:rsid w:val="00433D6E"/>
    <w:rsid w:val="00C74A63"/>
    <w:rsid w:val="00D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DA6EC0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A6EC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DA6EC0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A6EC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1439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2019-02-08T09:24:00.0000000Z</dcterms:created>
  <dcterms:modified xsi:type="dcterms:W3CDTF">2019-02-08T09:27:00.0000000Z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0x0101004D1C29C90DE1194B90C89455CF5EBED6</vt:lpwstr>
  </property>
</Properties>
</file>