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horzAnchor="margin" w:tblpY="444"/>
        <w:tblW w:w="0" w:type="auto"/>
        <w:tblLook w:val="04A0" w:firstRow="1" w:lastRow="0" w:firstColumn="1" w:lastColumn="0" w:noHBand="0" w:noVBand="1"/>
      </w:tblPr>
      <w:tblGrid>
        <w:gridCol w:w="4344"/>
        <w:gridCol w:w="4034"/>
      </w:tblGrid>
      <w:tr w:rsidRPr="00D1681D" w:rsidR="009E7879" w:rsidTr="00F76E23" w14:paraId="0C9274E3" w14:textId="7E79728E">
        <w:tc>
          <w:tcPr>
            <w:tcW w:w="4344" w:type="dxa"/>
          </w:tcPr>
          <w:p w:rsidRPr="00D1681D" w:rsidR="009E7879" w:rsidP="00F76E23" w:rsidRDefault="009E7879" w14:paraId="7DCB4419" w14:textId="2AF727AE">
            <w:pPr>
              <w:rPr>
                <w:rFonts w:ascii="Verdana" w:hAnsi="Verdana"/>
                <w:b/>
                <w:sz w:val="18"/>
                <w:szCs w:val="18"/>
              </w:rPr>
            </w:pPr>
            <w:bookmarkStart w:name="_GoBack" w:id="0"/>
            <w:bookmarkEnd w:id="0"/>
            <w:r>
              <w:rPr>
                <w:rFonts w:ascii="Verdana" w:hAnsi="Verdana"/>
                <w:b/>
                <w:sz w:val="18"/>
                <w:szCs w:val="18"/>
              </w:rPr>
              <w:t>Onderwerp AMvB</w:t>
            </w:r>
          </w:p>
        </w:tc>
        <w:tc>
          <w:tcPr>
            <w:tcW w:w="4034" w:type="dxa"/>
          </w:tcPr>
          <w:p w:rsidRPr="00D1681D" w:rsidR="009E7879" w:rsidP="00F76E23" w:rsidRDefault="009E7879" w14:paraId="142CA43B" w14:textId="50C7ECED">
            <w:pPr>
              <w:rPr>
                <w:rFonts w:ascii="Verdana" w:hAnsi="Verdana"/>
                <w:b/>
                <w:sz w:val="18"/>
                <w:szCs w:val="18"/>
              </w:rPr>
            </w:pPr>
            <w:r w:rsidRPr="00D1681D">
              <w:rPr>
                <w:rFonts w:ascii="Verdana" w:hAnsi="Verdana"/>
                <w:b/>
                <w:sz w:val="18"/>
                <w:szCs w:val="18"/>
              </w:rPr>
              <w:t>Grondslag AMvB</w:t>
            </w:r>
          </w:p>
        </w:tc>
      </w:tr>
      <w:tr w:rsidRPr="00D1681D" w:rsidR="009E7879" w:rsidTr="00F76E23" w14:paraId="0D49C407" w14:textId="2F08A3A1">
        <w:tc>
          <w:tcPr>
            <w:tcW w:w="4344" w:type="dxa"/>
          </w:tcPr>
          <w:p w:rsidRPr="00D1681D" w:rsidR="009E7879" w:rsidP="00F76E23" w:rsidRDefault="009E7879" w14:paraId="699AE41B" w14:textId="024BFFB1">
            <w:pPr>
              <w:rPr>
                <w:rFonts w:ascii="Verdana" w:hAnsi="Verdana"/>
                <w:sz w:val="18"/>
                <w:szCs w:val="18"/>
              </w:rPr>
            </w:pPr>
            <w:r w:rsidRPr="00D1681D">
              <w:rPr>
                <w:rFonts w:ascii="Verdana" w:hAnsi="Verdana"/>
                <w:sz w:val="18"/>
                <w:szCs w:val="18"/>
              </w:rPr>
              <w:t>Sociale zekerheid</w:t>
            </w:r>
          </w:p>
        </w:tc>
        <w:tc>
          <w:tcPr>
            <w:tcW w:w="4034" w:type="dxa"/>
          </w:tcPr>
          <w:p w:rsidRPr="00D1681D" w:rsidR="009E7879" w:rsidP="00F76E23" w:rsidRDefault="009E7879" w14:paraId="797A153A" w14:textId="362D14EF">
            <w:pPr>
              <w:rPr>
                <w:rFonts w:ascii="Verdana" w:hAnsi="Verdana"/>
                <w:sz w:val="18"/>
                <w:szCs w:val="18"/>
              </w:rPr>
            </w:pPr>
            <w:r w:rsidRPr="00D1681D">
              <w:rPr>
                <w:rFonts w:ascii="Verdana" w:hAnsi="Verdana"/>
                <w:sz w:val="18"/>
                <w:szCs w:val="18"/>
              </w:rPr>
              <w:t>Wijziging op grond van Verzamelwet Brexit</w:t>
            </w:r>
            <w:r>
              <w:rPr>
                <w:rFonts w:ascii="Verdana" w:hAnsi="Verdana"/>
                <w:sz w:val="18"/>
                <w:szCs w:val="18"/>
              </w:rPr>
              <w:t xml:space="preserve"> (artikel 7)</w:t>
            </w:r>
            <w:r w:rsidRPr="00D1681D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  <w:tr w:rsidRPr="00D1681D" w:rsidR="009E7879" w:rsidTr="00F76E23" w14:paraId="0AB9D0EF" w14:textId="6F8F3612">
        <w:tc>
          <w:tcPr>
            <w:tcW w:w="4344" w:type="dxa"/>
          </w:tcPr>
          <w:p w:rsidRPr="00D1681D" w:rsidR="009E7879" w:rsidP="00F76E23" w:rsidRDefault="0078684D" w14:paraId="61F1E688" w14:textId="743A734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</w:t>
            </w:r>
            <w:r w:rsidRPr="00D1681D" w:rsidR="009E7879">
              <w:rPr>
                <w:rFonts w:ascii="Verdana" w:hAnsi="Verdana"/>
                <w:sz w:val="18"/>
                <w:szCs w:val="18"/>
              </w:rPr>
              <w:t>oegang tot de arbeidsmarkt en inburgering</w:t>
            </w:r>
          </w:p>
        </w:tc>
        <w:tc>
          <w:tcPr>
            <w:tcW w:w="4034" w:type="dxa"/>
          </w:tcPr>
          <w:p w:rsidRPr="00D1681D" w:rsidR="009E7879" w:rsidP="00F76E23" w:rsidRDefault="006E176B" w14:paraId="641A4ECB" w14:textId="7CC3F91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Wijziging op grond van </w:t>
            </w:r>
            <w:r w:rsidR="0078684D">
              <w:rPr>
                <w:rFonts w:ascii="Verdana" w:hAnsi="Verdana"/>
                <w:sz w:val="18"/>
                <w:szCs w:val="18"/>
              </w:rPr>
              <w:t>Wet arbeid vreemdelingen, Wet inburgering en Vreemdelingenwet 2000</w:t>
            </w:r>
          </w:p>
        </w:tc>
      </w:tr>
      <w:tr w:rsidRPr="00D1681D" w:rsidR="009E7879" w:rsidTr="00F76E23" w14:paraId="4700F3DB" w14:textId="66E583EE">
        <w:tc>
          <w:tcPr>
            <w:tcW w:w="4344" w:type="dxa"/>
          </w:tcPr>
          <w:p w:rsidRPr="00BB447B" w:rsidR="009E7879" w:rsidP="00F76E23" w:rsidRDefault="009E7879" w14:paraId="159126BC" w14:textId="06E55F2F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7A7C7D">
              <w:rPr>
                <w:rFonts w:ascii="Verdana" w:hAnsi="Verdana"/>
                <w:sz w:val="18"/>
                <w:szCs w:val="18"/>
              </w:rPr>
              <w:t>Collegegeld, bekostiging, studiefinanciering</w:t>
            </w:r>
          </w:p>
        </w:tc>
        <w:tc>
          <w:tcPr>
            <w:tcW w:w="4034" w:type="dxa"/>
          </w:tcPr>
          <w:p w:rsidRPr="00BB447B" w:rsidR="009E7879" w:rsidP="00F76E23" w:rsidRDefault="006E176B" w14:paraId="0E031C6D" w14:textId="57741ED2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Wijziging op grond van </w:t>
            </w:r>
            <w:r w:rsidRPr="007A7C7D" w:rsidR="009E7879">
              <w:rPr>
                <w:rFonts w:ascii="Verdana" w:hAnsi="Verdana"/>
                <w:sz w:val="18"/>
                <w:szCs w:val="18"/>
              </w:rPr>
              <w:t>Wet op het Hoger Onderwijs en Wetenschappelijk onderzoek; Wet Studiefinanciering 2000; Wet tegemoetkoming onderwijsbijdrage en schoolkosten</w:t>
            </w:r>
            <w:r w:rsidR="009E7879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Pr="00D1681D" w:rsidR="009E7879" w:rsidTr="00F76E23" w14:paraId="12447301" w14:textId="57809F25">
        <w:tc>
          <w:tcPr>
            <w:tcW w:w="4344" w:type="dxa"/>
          </w:tcPr>
          <w:p w:rsidRPr="00D1681D" w:rsidR="009E7879" w:rsidP="00F76E23" w:rsidRDefault="009E7879" w14:paraId="0A97ED62" w14:textId="11358566">
            <w:pPr>
              <w:rPr>
                <w:rFonts w:ascii="Verdana" w:hAnsi="Verdana"/>
                <w:sz w:val="18"/>
                <w:szCs w:val="18"/>
              </w:rPr>
            </w:pPr>
            <w:r w:rsidRPr="00D1681D">
              <w:rPr>
                <w:rFonts w:ascii="Verdana" w:hAnsi="Verdana"/>
                <w:sz w:val="18"/>
                <w:szCs w:val="18"/>
              </w:rPr>
              <w:t>Regulering van de landsgrensoverschrijdende verbinding voor elektriciteit met het Verenigd Koninkrijk</w:t>
            </w:r>
          </w:p>
        </w:tc>
        <w:tc>
          <w:tcPr>
            <w:tcW w:w="4034" w:type="dxa"/>
          </w:tcPr>
          <w:p w:rsidRPr="00D1681D" w:rsidR="009E7879" w:rsidP="00F76E23" w:rsidRDefault="009E7879" w14:paraId="7C66322B" w14:textId="76560420">
            <w:pPr>
              <w:rPr>
                <w:rFonts w:ascii="Verdana" w:hAnsi="Verdana"/>
                <w:sz w:val="18"/>
                <w:szCs w:val="18"/>
              </w:rPr>
            </w:pPr>
            <w:r w:rsidRPr="00D1681D">
              <w:rPr>
                <w:rFonts w:ascii="Verdana" w:hAnsi="Verdana"/>
                <w:sz w:val="18"/>
                <w:szCs w:val="18"/>
              </w:rPr>
              <w:t>Wijziging op grond van Verzamelwet Brexit</w:t>
            </w:r>
            <w:r>
              <w:rPr>
                <w:rFonts w:ascii="Verdana" w:hAnsi="Verdana"/>
                <w:sz w:val="18"/>
                <w:szCs w:val="18"/>
              </w:rPr>
              <w:t xml:space="preserve"> (artikel 3)</w:t>
            </w:r>
            <w:r w:rsidRPr="00D1681D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Pr="00D1681D" w:rsidR="009E7879" w:rsidTr="00F76E23" w14:paraId="60E06D3D" w14:textId="5A5B5F96">
        <w:tc>
          <w:tcPr>
            <w:tcW w:w="4344" w:type="dxa"/>
          </w:tcPr>
          <w:p w:rsidRPr="00D1681D" w:rsidR="009E7879" w:rsidP="00F76E23" w:rsidRDefault="009E7879" w14:paraId="66FCA0D6" w14:textId="1F94D7F5">
            <w:pPr>
              <w:rPr>
                <w:rFonts w:ascii="Verdana" w:hAnsi="Verdana"/>
                <w:sz w:val="18"/>
                <w:szCs w:val="18"/>
              </w:rPr>
            </w:pPr>
            <w:r w:rsidRPr="00D1681D">
              <w:rPr>
                <w:rFonts w:ascii="Verdana" w:hAnsi="Verdana"/>
                <w:sz w:val="18"/>
                <w:szCs w:val="18"/>
              </w:rPr>
              <w:t>Regulering van de landsgrensoverschrijdende verbinding voor gas met het Verenigd Koninkrijk</w:t>
            </w:r>
          </w:p>
        </w:tc>
        <w:tc>
          <w:tcPr>
            <w:tcW w:w="4034" w:type="dxa"/>
          </w:tcPr>
          <w:p w:rsidRPr="00D1681D" w:rsidR="009E7879" w:rsidP="00F76E23" w:rsidRDefault="009E7879" w14:paraId="7E6EE9D6" w14:textId="782BE2A4">
            <w:pPr>
              <w:rPr>
                <w:rFonts w:ascii="Verdana" w:hAnsi="Verdana"/>
                <w:sz w:val="18"/>
                <w:szCs w:val="18"/>
              </w:rPr>
            </w:pPr>
            <w:r w:rsidRPr="00D1681D">
              <w:rPr>
                <w:rFonts w:ascii="Verdana" w:hAnsi="Verdana"/>
                <w:sz w:val="18"/>
                <w:szCs w:val="18"/>
              </w:rPr>
              <w:t>Wijziging op grond van Verzamelwet Brexit</w:t>
            </w:r>
            <w:r>
              <w:rPr>
                <w:rFonts w:ascii="Verdana" w:hAnsi="Verdana"/>
                <w:sz w:val="18"/>
                <w:szCs w:val="18"/>
              </w:rPr>
              <w:t xml:space="preserve"> (artikel 4)</w:t>
            </w:r>
            <w:r w:rsidRPr="00D1681D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9E7879" w:rsidTr="00F76E23" w14:paraId="3AC46932" w14:textId="77777777">
        <w:tc>
          <w:tcPr>
            <w:tcW w:w="0" w:type="auto"/>
          </w:tcPr>
          <w:p w:rsidR="009E7879" w:rsidP="00F76E23" w:rsidRDefault="009E7879" w14:paraId="6A0B630F" w14:textId="3AC46932">
            <w:r w:rsidRPr="3AC46932">
              <w:rPr>
                <w:rFonts w:ascii="Verdana" w:hAnsi="Verdana" w:eastAsia="Verdana" w:cs="Verdana"/>
                <w:sz w:val="18"/>
                <w:szCs w:val="18"/>
              </w:rPr>
              <w:t>Finaliteit van betalingen bij afwikkelsystemen</w:t>
            </w:r>
          </w:p>
        </w:tc>
        <w:tc>
          <w:tcPr>
            <w:tcW w:w="0" w:type="auto"/>
          </w:tcPr>
          <w:p w:rsidR="009E7879" w:rsidP="00F76E23" w:rsidRDefault="002D03C1" w14:paraId="67FBC446" w14:textId="4C158FE2">
            <w:r>
              <w:rPr>
                <w:rFonts w:ascii="Verdana" w:hAnsi="Verdana" w:eastAsia="Verdana" w:cs="Verdana"/>
                <w:sz w:val="18"/>
                <w:szCs w:val="18"/>
              </w:rPr>
              <w:t>W</w:t>
            </w:r>
            <w:r w:rsidRPr="3AC46932" w:rsidR="009E7879">
              <w:rPr>
                <w:rFonts w:ascii="Verdana" w:hAnsi="Verdana" w:eastAsia="Verdana" w:cs="Verdana"/>
                <w:sz w:val="18"/>
                <w:szCs w:val="18"/>
              </w:rPr>
              <w:t>ijziging op grond van faillissementswet</w:t>
            </w:r>
            <w:r w:rsidR="00E03412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</w:p>
        </w:tc>
      </w:tr>
    </w:tbl>
    <w:p w:rsidRPr="006B3BA2" w:rsidR="009F32DA" w:rsidRDefault="00F76E23" w14:paraId="0C3184C9" w14:textId="60F6F7A6">
      <w:pPr>
        <w:rPr>
          <w:rFonts w:ascii="Verdana" w:hAnsi="Verdana"/>
          <w:b/>
          <w:sz w:val="18"/>
          <w:szCs w:val="18"/>
        </w:rPr>
      </w:pPr>
      <w:r w:rsidRPr="006B3BA2">
        <w:rPr>
          <w:rFonts w:ascii="Verdana" w:hAnsi="Verdana"/>
          <w:b/>
          <w:sz w:val="18"/>
          <w:szCs w:val="18"/>
        </w:rPr>
        <w:t>Bijlage 1: overzicht AMvB’s gerelateerd aan Brexit</w:t>
      </w:r>
    </w:p>
    <w:sectPr w:rsidRPr="006B3BA2" w:rsidR="009F32DA" w:rsidSect="00AD47F2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AD5A55" w16cid:durableId="1FEB1D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E835B" w14:textId="77777777" w:rsidR="0078684D" w:rsidRDefault="0078684D" w:rsidP="0078684D">
      <w:pPr>
        <w:spacing w:after="0" w:line="240" w:lineRule="auto"/>
      </w:pPr>
      <w:r>
        <w:separator/>
      </w:r>
    </w:p>
  </w:endnote>
  <w:endnote w:type="continuationSeparator" w:id="0">
    <w:p w14:paraId="5B041CEB" w14:textId="77777777" w:rsidR="0078684D" w:rsidRDefault="0078684D" w:rsidP="0078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EFD5F" w14:textId="77777777" w:rsidR="0078684D" w:rsidRDefault="0078684D" w:rsidP="0078684D">
      <w:pPr>
        <w:spacing w:after="0" w:line="240" w:lineRule="auto"/>
      </w:pPr>
      <w:r>
        <w:separator/>
      </w:r>
    </w:p>
  </w:footnote>
  <w:footnote w:type="continuationSeparator" w:id="0">
    <w:p w14:paraId="1B71D85F" w14:textId="77777777" w:rsidR="0078684D" w:rsidRDefault="0078684D" w:rsidP="00786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DA"/>
    <w:rsid w:val="001C550D"/>
    <w:rsid w:val="002D03C1"/>
    <w:rsid w:val="00384E0C"/>
    <w:rsid w:val="004631D8"/>
    <w:rsid w:val="006B3BA2"/>
    <w:rsid w:val="006E176B"/>
    <w:rsid w:val="00701711"/>
    <w:rsid w:val="0078684D"/>
    <w:rsid w:val="007A7C7D"/>
    <w:rsid w:val="007C1A08"/>
    <w:rsid w:val="007C3928"/>
    <w:rsid w:val="00935703"/>
    <w:rsid w:val="009C73C5"/>
    <w:rsid w:val="009E7879"/>
    <w:rsid w:val="009F32DA"/>
    <w:rsid w:val="00AA2409"/>
    <w:rsid w:val="00AB2B51"/>
    <w:rsid w:val="00AD47F2"/>
    <w:rsid w:val="00BB447B"/>
    <w:rsid w:val="00BF659B"/>
    <w:rsid w:val="00D1681D"/>
    <w:rsid w:val="00E03412"/>
    <w:rsid w:val="00E90B0F"/>
    <w:rsid w:val="00F76E23"/>
    <w:rsid w:val="00FA73FB"/>
    <w:rsid w:val="3AC4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1ED781"/>
  <w15:docId w15:val="{6A2EC6B1-D4D5-4953-BB5B-7BD9676E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7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C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C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C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6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84D"/>
  </w:style>
  <w:style w:type="paragraph" w:styleId="Footer">
    <w:name w:val="footer"/>
    <w:basedOn w:val="Normal"/>
    <w:link w:val="FooterChar"/>
    <w:uiPriority w:val="99"/>
    <w:unhideWhenUsed/>
    <w:rsid w:val="00786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E172AB70-0B4B-4AF8-8B86-4971D2AE2E29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760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2019-02-05T12:49:00.0000000Z</dcterms:created>
  <dcterms:modified xsi:type="dcterms:W3CDTF">2019-02-05T12:49:00.0000000Z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0x0101009AB3F64E40145248A7BBFE7728A37A7A</vt:lpwstr>
  </property>
  <property fmtid="{D5CDD505-2E9C-101B-9397-08002B2CF9AE}" pid="3" name="BinnengekomenOp">
    <vt:filetime>2019-01-23T23:00:00Z</vt:filetime>
  </property>
  <property fmtid="{D5CDD505-2E9C-101B-9397-08002B2CF9AE}" pid="4" name="ReferentieKamer">
    <vt:lpwstr>2019D03008</vt:lpwstr>
  </property>
  <property fmtid="{D5CDD505-2E9C-101B-9397-08002B2CF9AE}" pid="5" name="_dlc_DocIdItemGuid">
    <vt:lpwstr>e2533b15-8c2d-4f4c-a750-1b3d9e9b8fe3</vt:lpwstr>
  </property>
  <property fmtid="{D5CDD505-2E9C-101B-9397-08002B2CF9AE}" pid="6" name="_docset_NoMedatataSyncRequired">
    <vt:lpwstr>False</vt:lpwstr>
  </property>
</Properties>
</file>