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3E95" w:rsidR="00F36BCE" w:rsidP="00F36BCE" w:rsidRDefault="00F36BCE">
      <w:pPr>
        <w:jc w:val="both"/>
        <w:rPr>
          <w:rFonts w:asciiTheme="majorHAnsi" w:hAnsiTheme="majorHAnsi" w:cstheme="majorHAnsi"/>
          <w:sz w:val="32"/>
          <w:szCs w:val="32"/>
        </w:rPr>
      </w:pPr>
      <w:r w:rsidRPr="00563E95">
        <w:rPr>
          <w:rFonts w:asciiTheme="majorHAnsi" w:hAnsiTheme="majorHAnsi" w:cstheme="majorHAnsi"/>
          <w:sz w:val="32"/>
          <w:szCs w:val="32"/>
        </w:rPr>
        <w:t>Position Paper on the Dutch Model Investment Agreement: Coherence of policies – CSR as part of international investment treaties</w:t>
      </w:r>
    </w:p>
    <w:p w:rsidRPr="00AD2792" w:rsidR="00F36BCE" w:rsidP="00F36BCE" w:rsidRDefault="00F36BCE">
      <w:pPr>
        <w:jc w:val="both"/>
        <w:rPr>
          <w:rFonts w:asciiTheme="majorHAnsi" w:hAnsiTheme="majorHAnsi" w:cstheme="majorHAnsi"/>
          <w:sz w:val="22"/>
          <w:szCs w:val="22"/>
        </w:rPr>
      </w:pPr>
    </w:p>
    <w:p w:rsidRPr="00AD2792" w:rsidR="00F36BCE" w:rsidP="00F36BCE" w:rsidRDefault="00F36BCE">
      <w:pPr>
        <w:jc w:val="both"/>
        <w:rPr>
          <w:rFonts w:asciiTheme="majorHAnsi" w:hAnsiTheme="majorHAnsi" w:cstheme="majorHAnsi"/>
          <w:sz w:val="22"/>
          <w:szCs w:val="22"/>
        </w:rPr>
      </w:pPr>
      <w:r>
        <w:rPr>
          <w:rFonts w:asciiTheme="majorHAnsi" w:hAnsiTheme="majorHAnsi" w:cstheme="majorHAnsi"/>
          <w:sz w:val="22"/>
          <w:szCs w:val="22"/>
        </w:rPr>
        <w:t xml:space="preserve">Prepared for the </w:t>
      </w:r>
      <w:r w:rsidRPr="00AD2792">
        <w:rPr>
          <w:rFonts w:asciiTheme="majorHAnsi" w:hAnsiTheme="majorHAnsi" w:cstheme="majorHAnsi"/>
          <w:sz w:val="22"/>
          <w:szCs w:val="22"/>
        </w:rPr>
        <w:t xml:space="preserve">Dutch Parliament Hearing </w:t>
      </w:r>
      <w:r>
        <w:rPr>
          <w:rFonts w:asciiTheme="majorHAnsi" w:hAnsiTheme="majorHAnsi" w:cstheme="majorHAnsi"/>
          <w:sz w:val="22"/>
          <w:szCs w:val="22"/>
        </w:rPr>
        <w:t xml:space="preserve">on </w:t>
      </w:r>
      <w:r w:rsidRPr="00AD2792">
        <w:rPr>
          <w:rFonts w:asciiTheme="majorHAnsi" w:hAnsiTheme="majorHAnsi" w:cstheme="majorHAnsi"/>
          <w:sz w:val="22"/>
          <w:szCs w:val="22"/>
        </w:rPr>
        <w:t>28 January 2019</w:t>
      </w:r>
      <w:r>
        <w:rPr>
          <w:rFonts w:asciiTheme="majorHAnsi" w:hAnsiTheme="majorHAnsi" w:cstheme="majorHAnsi"/>
          <w:sz w:val="22"/>
          <w:szCs w:val="22"/>
        </w:rPr>
        <w:t xml:space="preserve"> – Dutch Parliamentary Commission for Foreign Trade and Development Cooperation</w:t>
      </w:r>
    </w:p>
    <w:p w:rsidRPr="00AD2792" w:rsidR="00F36BCE" w:rsidP="00F36BCE" w:rsidRDefault="00F36BCE">
      <w:pPr>
        <w:jc w:val="both"/>
        <w:rPr>
          <w:rFonts w:asciiTheme="majorHAnsi" w:hAnsiTheme="majorHAnsi" w:cstheme="majorHAnsi"/>
          <w:sz w:val="22"/>
          <w:szCs w:val="22"/>
        </w:rPr>
      </w:pPr>
    </w:p>
    <w:p w:rsidRPr="00B81399" w:rsidR="00F36BCE" w:rsidP="00F36BCE" w:rsidRDefault="00F36BCE">
      <w:pPr>
        <w:jc w:val="both"/>
        <w:rPr>
          <w:rFonts w:asciiTheme="majorHAnsi" w:hAnsiTheme="majorHAnsi" w:cstheme="majorHAnsi"/>
          <w:i/>
          <w:sz w:val="22"/>
          <w:szCs w:val="22"/>
        </w:rPr>
      </w:pPr>
      <w:proofErr w:type="spellStart"/>
      <w:r w:rsidRPr="00B81399">
        <w:rPr>
          <w:rFonts w:asciiTheme="majorHAnsi" w:hAnsiTheme="majorHAnsi" w:cstheme="majorHAnsi"/>
          <w:i/>
          <w:sz w:val="22"/>
          <w:szCs w:val="22"/>
        </w:rPr>
        <w:t>Prof.</w:t>
      </w:r>
      <w:proofErr w:type="spellEnd"/>
      <w:r w:rsidRPr="00B81399">
        <w:rPr>
          <w:rFonts w:asciiTheme="majorHAnsi" w:hAnsiTheme="majorHAnsi" w:cstheme="majorHAnsi"/>
          <w:i/>
          <w:sz w:val="22"/>
          <w:szCs w:val="22"/>
        </w:rPr>
        <w:t xml:space="preserve"> dr. </w:t>
      </w:r>
      <w:proofErr w:type="spellStart"/>
      <w:r w:rsidRPr="00B81399">
        <w:rPr>
          <w:rFonts w:asciiTheme="majorHAnsi" w:hAnsiTheme="majorHAnsi" w:cstheme="majorHAnsi"/>
          <w:i/>
          <w:sz w:val="22"/>
          <w:szCs w:val="22"/>
        </w:rPr>
        <w:t>Tineke</w:t>
      </w:r>
      <w:proofErr w:type="spellEnd"/>
      <w:r w:rsidRPr="00B81399">
        <w:rPr>
          <w:rFonts w:asciiTheme="majorHAnsi" w:hAnsiTheme="majorHAnsi" w:cstheme="majorHAnsi"/>
          <w:i/>
          <w:sz w:val="22"/>
          <w:szCs w:val="22"/>
        </w:rPr>
        <w:t xml:space="preserve"> </w:t>
      </w:r>
      <w:proofErr w:type="spellStart"/>
      <w:r w:rsidRPr="00B81399">
        <w:rPr>
          <w:rFonts w:asciiTheme="majorHAnsi" w:hAnsiTheme="majorHAnsi" w:cstheme="majorHAnsi"/>
          <w:i/>
          <w:sz w:val="22"/>
          <w:szCs w:val="22"/>
        </w:rPr>
        <w:t>Lambooy</w:t>
      </w:r>
      <w:proofErr w:type="spellEnd"/>
      <w:r w:rsidRPr="00B81399">
        <w:rPr>
          <w:rFonts w:asciiTheme="majorHAnsi" w:hAnsiTheme="majorHAnsi" w:cstheme="majorHAnsi"/>
          <w:i/>
          <w:sz w:val="22"/>
          <w:szCs w:val="22"/>
        </w:rPr>
        <w:t xml:space="preserve"> LL.M. and dr. </w:t>
      </w:r>
      <w:proofErr w:type="spellStart"/>
      <w:r w:rsidRPr="00B81399">
        <w:rPr>
          <w:rFonts w:asciiTheme="majorHAnsi" w:hAnsiTheme="majorHAnsi" w:cstheme="majorHAnsi"/>
          <w:i/>
          <w:sz w:val="22"/>
          <w:szCs w:val="22"/>
        </w:rPr>
        <w:t>Yulia</w:t>
      </w:r>
      <w:proofErr w:type="spellEnd"/>
      <w:r w:rsidRPr="00B81399">
        <w:rPr>
          <w:rFonts w:asciiTheme="majorHAnsi" w:hAnsiTheme="majorHAnsi" w:cstheme="majorHAnsi"/>
          <w:i/>
          <w:sz w:val="22"/>
          <w:szCs w:val="22"/>
        </w:rPr>
        <w:t xml:space="preserve"> </w:t>
      </w:r>
      <w:proofErr w:type="spellStart"/>
      <w:r w:rsidRPr="00B81399">
        <w:rPr>
          <w:rFonts w:asciiTheme="majorHAnsi" w:hAnsiTheme="majorHAnsi" w:cstheme="majorHAnsi"/>
          <w:i/>
          <w:sz w:val="22"/>
          <w:szCs w:val="22"/>
        </w:rPr>
        <w:t>Levashova</w:t>
      </w:r>
      <w:proofErr w:type="spellEnd"/>
      <w:r w:rsidRPr="00B81399">
        <w:rPr>
          <w:rFonts w:asciiTheme="majorHAnsi" w:hAnsiTheme="majorHAnsi" w:cstheme="majorHAnsi"/>
          <w:i/>
          <w:sz w:val="22"/>
          <w:szCs w:val="22"/>
        </w:rPr>
        <w:t xml:space="preserve"> LL.M. (</w:t>
      </w:r>
      <w:proofErr w:type="spellStart"/>
      <w:r w:rsidRPr="00B81399">
        <w:rPr>
          <w:rFonts w:asciiTheme="majorHAnsi" w:hAnsiTheme="majorHAnsi" w:cstheme="majorHAnsi"/>
          <w:i/>
          <w:sz w:val="22"/>
          <w:szCs w:val="22"/>
        </w:rPr>
        <w:t>Nyenrode</w:t>
      </w:r>
      <w:proofErr w:type="spellEnd"/>
      <w:r w:rsidRPr="00B81399">
        <w:rPr>
          <w:rFonts w:asciiTheme="majorHAnsi" w:hAnsiTheme="majorHAnsi" w:cstheme="majorHAnsi"/>
          <w:i/>
          <w:sz w:val="22"/>
          <w:szCs w:val="22"/>
        </w:rPr>
        <w:t xml:space="preserve"> Business University and Utrecht University), dated 26 January 2019</w:t>
      </w:r>
    </w:p>
    <w:p w:rsidRPr="00AD2792" w:rsidR="00F83F15" w:rsidP="00DC6FA6" w:rsidRDefault="00F83F15">
      <w:pPr>
        <w:jc w:val="both"/>
        <w:rPr>
          <w:rFonts w:asciiTheme="majorHAnsi" w:hAnsiTheme="majorHAnsi" w:cstheme="majorHAnsi"/>
          <w:sz w:val="22"/>
          <w:szCs w:val="22"/>
        </w:rPr>
      </w:pPr>
    </w:p>
    <w:p w:rsidR="00A07EC0" w:rsidP="00DC6FA6" w:rsidRDefault="00F83F15">
      <w:pPr>
        <w:jc w:val="both"/>
        <w:rPr>
          <w:rFonts w:asciiTheme="majorHAnsi" w:hAnsiTheme="majorHAnsi" w:cstheme="majorHAnsi"/>
          <w:sz w:val="22"/>
          <w:szCs w:val="22"/>
        </w:rPr>
      </w:pPr>
      <w:r w:rsidRPr="00AD2792">
        <w:rPr>
          <w:rFonts w:asciiTheme="majorHAnsi" w:hAnsiTheme="majorHAnsi" w:cstheme="majorHAnsi"/>
          <w:sz w:val="22"/>
          <w:szCs w:val="22"/>
        </w:rPr>
        <w:t xml:space="preserve">The Dutch Model Investment Agreement (hereafter: DMIA) </w:t>
      </w:r>
      <w:r w:rsidRPr="00AD2792" w:rsidR="00E82DDE">
        <w:rPr>
          <w:rFonts w:asciiTheme="majorHAnsi" w:hAnsiTheme="majorHAnsi" w:cstheme="majorHAnsi"/>
          <w:sz w:val="22"/>
          <w:szCs w:val="22"/>
        </w:rPr>
        <w:t xml:space="preserve">is an agreement that belongs to the </w:t>
      </w:r>
      <w:r w:rsidRPr="00AD2792" w:rsidR="009A5783">
        <w:rPr>
          <w:rFonts w:asciiTheme="majorHAnsi" w:hAnsiTheme="majorHAnsi" w:cstheme="majorHAnsi"/>
          <w:sz w:val="22"/>
          <w:szCs w:val="22"/>
        </w:rPr>
        <w:t xml:space="preserve">new generation </w:t>
      </w:r>
      <w:r w:rsidRPr="00AD2792" w:rsidR="00E82DDE">
        <w:rPr>
          <w:rFonts w:asciiTheme="majorHAnsi" w:hAnsiTheme="majorHAnsi" w:cstheme="majorHAnsi"/>
          <w:sz w:val="22"/>
          <w:szCs w:val="22"/>
        </w:rPr>
        <w:t xml:space="preserve">of investment </w:t>
      </w:r>
      <w:r w:rsidRPr="00AD2792" w:rsidR="009A5783">
        <w:rPr>
          <w:rFonts w:asciiTheme="majorHAnsi" w:hAnsiTheme="majorHAnsi" w:cstheme="majorHAnsi"/>
          <w:sz w:val="22"/>
          <w:szCs w:val="22"/>
        </w:rPr>
        <w:t>agreement</w:t>
      </w:r>
      <w:r w:rsidRPr="00AD2792" w:rsidR="00E82DDE">
        <w:rPr>
          <w:rFonts w:asciiTheme="majorHAnsi" w:hAnsiTheme="majorHAnsi" w:cstheme="majorHAnsi"/>
          <w:sz w:val="22"/>
          <w:szCs w:val="22"/>
        </w:rPr>
        <w:t>s</w:t>
      </w:r>
      <w:r w:rsidRPr="00AD2792" w:rsidR="009A5783">
        <w:rPr>
          <w:rFonts w:asciiTheme="majorHAnsi" w:hAnsiTheme="majorHAnsi" w:cstheme="majorHAnsi"/>
          <w:sz w:val="22"/>
          <w:szCs w:val="22"/>
        </w:rPr>
        <w:t xml:space="preserve">, in which </w:t>
      </w:r>
      <w:r w:rsidRPr="00AD2792" w:rsidR="00B01921">
        <w:rPr>
          <w:rFonts w:asciiTheme="majorHAnsi" w:hAnsiTheme="majorHAnsi" w:cstheme="majorHAnsi"/>
          <w:sz w:val="22"/>
          <w:szCs w:val="22"/>
        </w:rPr>
        <w:t xml:space="preserve">the </w:t>
      </w:r>
      <w:r w:rsidRPr="00AD2792" w:rsidR="009A5783">
        <w:rPr>
          <w:rFonts w:asciiTheme="majorHAnsi" w:hAnsiTheme="majorHAnsi" w:cstheme="majorHAnsi"/>
          <w:sz w:val="22"/>
          <w:szCs w:val="22"/>
        </w:rPr>
        <w:t xml:space="preserve">drafters </w:t>
      </w:r>
      <w:r w:rsidR="00F5277B">
        <w:rPr>
          <w:rFonts w:asciiTheme="majorHAnsi" w:hAnsiTheme="majorHAnsi" w:cstheme="majorHAnsi"/>
          <w:sz w:val="22"/>
          <w:szCs w:val="22"/>
        </w:rPr>
        <w:t xml:space="preserve">aimed </w:t>
      </w:r>
      <w:r w:rsidRPr="00AD2792" w:rsidR="009A5783">
        <w:rPr>
          <w:rFonts w:asciiTheme="majorHAnsi" w:hAnsiTheme="majorHAnsi" w:cstheme="majorHAnsi"/>
          <w:sz w:val="22"/>
          <w:szCs w:val="22"/>
        </w:rPr>
        <w:t xml:space="preserve">to balance the state’s right to regulate </w:t>
      </w:r>
      <w:r w:rsidRPr="00AD2792" w:rsidR="00B01921">
        <w:rPr>
          <w:rFonts w:asciiTheme="majorHAnsi" w:hAnsiTheme="majorHAnsi" w:cstheme="majorHAnsi"/>
          <w:sz w:val="22"/>
          <w:szCs w:val="22"/>
        </w:rPr>
        <w:t>with a proper</w:t>
      </w:r>
      <w:r w:rsidRPr="00AD2792" w:rsidR="009A5783">
        <w:rPr>
          <w:rFonts w:asciiTheme="majorHAnsi" w:hAnsiTheme="majorHAnsi" w:cstheme="majorHAnsi"/>
          <w:sz w:val="22"/>
          <w:szCs w:val="22"/>
        </w:rPr>
        <w:t xml:space="preserve"> </w:t>
      </w:r>
      <w:r w:rsidRPr="00AD2792" w:rsidR="00B01921">
        <w:rPr>
          <w:rFonts w:asciiTheme="majorHAnsi" w:hAnsiTheme="majorHAnsi" w:cstheme="majorHAnsi"/>
          <w:sz w:val="22"/>
          <w:szCs w:val="22"/>
        </w:rPr>
        <w:t xml:space="preserve">treatment </w:t>
      </w:r>
      <w:r w:rsidRPr="00AD2792" w:rsidR="009A5783">
        <w:rPr>
          <w:rFonts w:asciiTheme="majorHAnsi" w:hAnsiTheme="majorHAnsi" w:cstheme="majorHAnsi"/>
          <w:sz w:val="22"/>
          <w:szCs w:val="22"/>
        </w:rPr>
        <w:t>of fo</w:t>
      </w:r>
      <w:r w:rsidRPr="00AD2792" w:rsidR="00804247">
        <w:rPr>
          <w:rFonts w:asciiTheme="majorHAnsi" w:hAnsiTheme="majorHAnsi" w:cstheme="majorHAnsi"/>
          <w:sz w:val="22"/>
          <w:szCs w:val="22"/>
        </w:rPr>
        <w:t>r</w:t>
      </w:r>
      <w:r w:rsidRPr="00AD2792" w:rsidR="009A5783">
        <w:rPr>
          <w:rFonts w:asciiTheme="majorHAnsi" w:hAnsiTheme="majorHAnsi" w:cstheme="majorHAnsi"/>
          <w:sz w:val="22"/>
          <w:szCs w:val="22"/>
        </w:rPr>
        <w:t>eign invest</w:t>
      </w:r>
      <w:r w:rsidRPr="00AD2792" w:rsidR="008015FC">
        <w:rPr>
          <w:rFonts w:asciiTheme="majorHAnsi" w:hAnsiTheme="majorHAnsi" w:cstheme="majorHAnsi"/>
          <w:sz w:val="22"/>
          <w:szCs w:val="22"/>
        </w:rPr>
        <w:t>ors</w:t>
      </w:r>
      <w:r w:rsidRPr="00AD2792" w:rsidR="009A5783">
        <w:rPr>
          <w:rFonts w:asciiTheme="majorHAnsi" w:hAnsiTheme="majorHAnsi" w:cstheme="majorHAnsi"/>
          <w:sz w:val="22"/>
          <w:szCs w:val="22"/>
        </w:rPr>
        <w:t>. The DMIA includes a number of innovative and forward-looking provisions</w:t>
      </w:r>
      <w:r w:rsidRPr="00AD2792" w:rsidR="001F1596">
        <w:rPr>
          <w:rFonts w:asciiTheme="majorHAnsi" w:hAnsiTheme="majorHAnsi" w:cstheme="majorHAnsi"/>
          <w:sz w:val="22"/>
          <w:szCs w:val="22"/>
        </w:rPr>
        <w:t xml:space="preserve">. We think that </w:t>
      </w:r>
      <w:r w:rsidR="0064716E">
        <w:rPr>
          <w:rFonts w:asciiTheme="majorHAnsi" w:hAnsiTheme="majorHAnsi" w:cstheme="majorHAnsi"/>
          <w:sz w:val="22"/>
          <w:szCs w:val="22"/>
        </w:rPr>
        <w:t>the text of the DMIA</w:t>
      </w:r>
      <w:r w:rsidRPr="00AD2792" w:rsidR="001F1596">
        <w:rPr>
          <w:rFonts w:asciiTheme="majorHAnsi" w:hAnsiTheme="majorHAnsi" w:cstheme="majorHAnsi"/>
          <w:sz w:val="22"/>
          <w:szCs w:val="22"/>
        </w:rPr>
        <w:t xml:space="preserve"> will </w:t>
      </w:r>
      <w:r w:rsidRPr="00AD2792" w:rsidR="00157746">
        <w:rPr>
          <w:rFonts w:asciiTheme="majorHAnsi" w:hAnsiTheme="majorHAnsi" w:cstheme="majorHAnsi"/>
          <w:sz w:val="22"/>
          <w:szCs w:val="22"/>
        </w:rPr>
        <w:t xml:space="preserve">probably </w:t>
      </w:r>
      <w:r w:rsidRPr="00AD2792" w:rsidR="001F1596">
        <w:rPr>
          <w:rFonts w:asciiTheme="majorHAnsi" w:hAnsiTheme="majorHAnsi" w:cstheme="majorHAnsi"/>
          <w:sz w:val="22"/>
          <w:szCs w:val="22"/>
        </w:rPr>
        <w:t xml:space="preserve">constitute </w:t>
      </w:r>
      <w:r w:rsidRPr="00AD2792" w:rsidR="00157746">
        <w:rPr>
          <w:rFonts w:asciiTheme="majorHAnsi" w:hAnsiTheme="majorHAnsi" w:cstheme="majorHAnsi"/>
          <w:sz w:val="22"/>
          <w:szCs w:val="22"/>
        </w:rPr>
        <w:t xml:space="preserve">a </w:t>
      </w:r>
      <w:r w:rsidRPr="00AD2792" w:rsidR="00F86FB5">
        <w:rPr>
          <w:rFonts w:asciiTheme="majorHAnsi" w:hAnsiTheme="majorHAnsi" w:cstheme="majorHAnsi"/>
          <w:sz w:val="22"/>
          <w:szCs w:val="22"/>
        </w:rPr>
        <w:t xml:space="preserve">more acceptable </w:t>
      </w:r>
      <w:r w:rsidRPr="00AD2792" w:rsidR="00157746">
        <w:rPr>
          <w:rFonts w:asciiTheme="majorHAnsi" w:hAnsiTheme="majorHAnsi" w:cstheme="majorHAnsi"/>
          <w:sz w:val="22"/>
          <w:szCs w:val="22"/>
        </w:rPr>
        <w:t xml:space="preserve">text </w:t>
      </w:r>
      <w:r w:rsidRPr="00AD2792" w:rsidR="00F86FB5">
        <w:rPr>
          <w:rFonts w:asciiTheme="majorHAnsi" w:hAnsiTheme="majorHAnsi" w:cstheme="majorHAnsi"/>
          <w:sz w:val="22"/>
          <w:szCs w:val="22"/>
        </w:rPr>
        <w:t xml:space="preserve">for </w:t>
      </w:r>
      <w:r w:rsidR="00CF293B">
        <w:rPr>
          <w:rFonts w:asciiTheme="majorHAnsi" w:hAnsiTheme="majorHAnsi" w:cstheme="majorHAnsi"/>
          <w:sz w:val="22"/>
          <w:szCs w:val="22"/>
        </w:rPr>
        <w:t xml:space="preserve">host states of </w:t>
      </w:r>
      <w:r w:rsidR="00F5277B">
        <w:rPr>
          <w:rFonts w:asciiTheme="majorHAnsi" w:hAnsiTheme="majorHAnsi" w:cstheme="majorHAnsi"/>
          <w:sz w:val="22"/>
          <w:szCs w:val="22"/>
        </w:rPr>
        <w:t>Dutch</w:t>
      </w:r>
      <w:r w:rsidRPr="00AD2792" w:rsidR="001F1596">
        <w:rPr>
          <w:rFonts w:asciiTheme="majorHAnsi" w:hAnsiTheme="majorHAnsi" w:cstheme="majorHAnsi"/>
          <w:sz w:val="22"/>
          <w:szCs w:val="22"/>
        </w:rPr>
        <w:t xml:space="preserve"> </w:t>
      </w:r>
      <w:r w:rsidR="00CF293B">
        <w:rPr>
          <w:rFonts w:asciiTheme="majorHAnsi" w:hAnsiTheme="majorHAnsi" w:cstheme="majorHAnsi"/>
          <w:sz w:val="22"/>
          <w:szCs w:val="22"/>
        </w:rPr>
        <w:t>investments</w:t>
      </w:r>
      <w:r w:rsidRPr="00AD2792" w:rsidR="009D3AD1">
        <w:rPr>
          <w:rFonts w:asciiTheme="majorHAnsi" w:hAnsiTheme="majorHAnsi" w:cstheme="majorHAnsi"/>
          <w:sz w:val="22"/>
          <w:szCs w:val="22"/>
        </w:rPr>
        <w:t xml:space="preserve"> than the BITs that the Netherlands previously employed</w:t>
      </w:r>
      <w:r w:rsidR="00CB7FC4">
        <w:rPr>
          <w:rFonts w:asciiTheme="majorHAnsi" w:hAnsiTheme="majorHAnsi" w:cstheme="majorHAnsi"/>
          <w:sz w:val="22"/>
          <w:szCs w:val="22"/>
        </w:rPr>
        <w:t xml:space="preserve">. </w:t>
      </w:r>
      <w:r w:rsidRPr="00AD2792" w:rsidR="00157746">
        <w:rPr>
          <w:rFonts w:asciiTheme="majorHAnsi" w:hAnsiTheme="majorHAnsi" w:cstheme="majorHAnsi"/>
          <w:sz w:val="22"/>
          <w:szCs w:val="22"/>
        </w:rPr>
        <w:t xml:space="preserve">This is </w:t>
      </w:r>
      <w:r w:rsidRPr="00FC7B25" w:rsidR="00157746">
        <w:rPr>
          <w:rFonts w:asciiTheme="majorHAnsi" w:hAnsiTheme="majorHAnsi" w:cstheme="majorHAnsi"/>
          <w:sz w:val="22"/>
          <w:szCs w:val="22"/>
        </w:rPr>
        <w:t>important as several large</w:t>
      </w:r>
      <w:r w:rsidRPr="00FC7B25" w:rsidR="00586D54">
        <w:rPr>
          <w:rFonts w:asciiTheme="majorHAnsi" w:hAnsiTheme="majorHAnsi" w:cstheme="majorHAnsi"/>
          <w:sz w:val="22"/>
          <w:szCs w:val="22"/>
        </w:rPr>
        <w:t xml:space="preserve"> </w:t>
      </w:r>
      <w:r w:rsidR="00BF5112">
        <w:rPr>
          <w:rFonts w:asciiTheme="majorHAnsi" w:hAnsiTheme="majorHAnsi" w:cstheme="majorHAnsi"/>
          <w:sz w:val="22"/>
          <w:szCs w:val="22"/>
        </w:rPr>
        <w:t>host states</w:t>
      </w:r>
      <w:r w:rsidRPr="00FC7B25" w:rsidR="00586D54">
        <w:rPr>
          <w:rFonts w:asciiTheme="majorHAnsi" w:hAnsiTheme="majorHAnsi" w:cstheme="majorHAnsi"/>
          <w:sz w:val="22"/>
          <w:szCs w:val="22"/>
        </w:rPr>
        <w:t xml:space="preserve"> </w:t>
      </w:r>
      <w:r w:rsidR="00AC3849">
        <w:rPr>
          <w:rFonts w:asciiTheme="majorHAnsi" w:hAnsiTheme="majorHAnsi" w:cstheme="majorHAnsi"/>
          <w:sz w:val="22"/>
          <w:szCs w:val="22"/>
        </w:rPr>
        <w:t xml:space="preserve">– </w:t>
      </w:r>
      <w:r w:rsidR="00B2712D">
        <w:rPr>
          <w:rFonts w:asciiTheme="majorHAnsi" w:hAnsiTheme="majorHAnsi" w:cstheme="majorHAnsi"/>
          <w:sz w:val="22"/>
          <w:szCs w:val="22"/>
        </w:rPr>
        <w:t xml:space="preserve">in </w:t>
      </w:r>
      <w:r w:rsidR="00AC3849">
        <w:rPr>
          <w:rFonts w:asciiTheme="majorHAnsi" w:hAnsiTheme="majorHAnsi" w:cstheme="majorHAnsi"/>
          <w:sz w:val="22"/>
          <w:szCs w:val="22"/>
        </w:rPr>
        <w:t>which</w:t>
      </w:r>
      <w:r w:rsidR="00B2712D">
        <w:rPr>
          <w:rFonts w:asciiTheme="majorHAnsi" w:hAnsiTheme="majorHAnsi" w:cstheme="majorHAnsi"/>
          <w:sz w:val="22"/>
          <w:szCs w:val="22"/>
        </w:rPr>
        <w:t xml:space="preserve"> states many </w:t>
      </w:r>
      <w:r w:rsidR="00AC3849">
        <w:rPr>
          <w:rFonts w:asciiTheme="majorHAnsi" w:hAnsiTheme="majorHAnsi" w:cstheme="majorHAnsi"/>
          <w:sz w:val="22"/>
          <w:szCs w:val="22"/>
        </w:rPr>
        <w:t>Du</w:t>
      </w:r>
      <w:r w:rsidR="00B2712D">
        <w:rPr>
          <w:rFonts w:asciiTheme="majorHAnsi" w:hAnsiTheme="majorHAnsi" w:cstheme="majorHAnsi"/>
          <w:sz w:val="22"/>
          <w:szCs w:val="22"/>
        </w:rPr>
        <w:t>tch</w:t>
      </w:r>
      <w:r w:rsidR="00AC3849">
        <w:rPr>
          <w:rFonts w:asciiTheme="majorHAnsi" w:hAnsiTheme="majorHAnsi" w:cstheme="majorHAnsi"/>
          <w:sz w:val="22"/>
          <w:szCs w:val="22"/>
        </w:rPr>
        <w:t xml:space="preserve"> companies </w:t>
      </w:r>
      <w:r w:rsidR="00B2712D">
        <w:rPr>
          <w:rFonts w:asciiTheme="majorHAnsi" w:hAnsiTheme="majorHAnsi" w:cstheme="majorHAnsi"/>
          <w:sz w:val="22"/>
          <w:szCs w:val="22"/>
        </w:rPr>
        <w:t>operate -</w:t>
      </w:r>
      <w:r w:rsidR="00AC3849">
        <w:rPr>
          <w:rFonts w:asciiTheme="majorHAnsi" w:hAnsiTheme="majorHAnsi" w:cstheme="majorHAnsi"/>
          <w:sz w:val="22"/>
          <w:szCs w:val="22"/>
        </w:rPr>
        <w:t xml:space="preserve"> </w:t>
      </w:r>
      <w:r w:rsidRPr="00FC7B25" w:rsidR="00586D54">
        <w:rPr>
          <w:rFonts w:asciiTheme="majorHAnsi" w:hAnsiTheme="majorHAnsi" w:cstheme="majorHAnsi"/>
          <w:sz w:val="22"/>
          <w:szCs w:val="22"/>
        </w:rPr>
        <w:t xml:space="preserve">are not so eager anymore to </w:t>
      </w:r>
      <w:r w:rsidRPr="00FC7B25" w:rsidR="009D3AD1">
        <w:rPr>
          <w:rFonts w:asciiTheme="majorHAnsi" w:hAnsiTheme="majorHAnsi" w:cstheme="majorHAnsi"/>
          <w:sz w:val="22"/>
          <w:szCs w:val="22"/>
        </w:rPr>
        <w:t xml:space="preserve">continue </w:t>
      </w:r>
      <w:r w:rsidR="00AC3849">
        <w:rPr>
          <w:rFonts w:asciiTheme="majorHAnsi" w:hAnsiTheme="majorHAnsi" w:cstheme="majorHAnsi"/>
          <w:sz w:val="22"/>
          <w:szCs w:val="22"/>
        </w:rPr>
        <w:t xml:space="preserve">their </w:t>
      </w:r>
      <w:r w:rsidRPr="00FC7B25" w:rsidR="009D3AD1">
        <w:rPr>
          <w:rFonts w:asciiTheme="majorHAnsi" w:hAnsiTheme="majorHAnsi" w:cstheme="majorHAnsi"/>
          <w:sz w:val="22"/>
          <w:szCs w:val="22"/>
        </w:rPr>
        <w:t xml:space="preserve">existing BITs or to </w:t>
      </w:r>
      <w:r w:rsidRPr="00FC7B25" w:rsidR="00586D54">
        <w:rPr>
          <w:rFonts w:asciiTheme="majorHAnsi" w:hAnsiTheme="majorHAnsi" w:cstheme="majorHAnsi"/>
          <w:sz w:val="22"/>
          <w:szCs w:val="22"/>
        </w:rPr>
        <w:t xml:space="preserve">conclude </w:t>
      </w:r>
      <w:r w:rsidRPr="00FC7B25" w:rsidR="009D3AD1">
        <w:rPr>
          <w:rFonts w:asciiTheme="majorHAnsi" w:hAnsiTheme="majorHAnsi" w:cstheme="majorHAnsi"/>
          <w:sz w:val="22"/>
          <w:szCs w:val="22"/>
        </w:rPr>
        <w:t>new ones</w:t>
      </w:r>
      <w:r w:rsidRPr="00FC7B25" w:rsidR="006A0B0B">
        <w:rPr>
          <w:rFonts w:asciiTheme="majorHAnsi" w:hAnsiTheme="majorHAnsi" w:cstheme="majorHAnsi"/>
          <w:sz w:val="22"/>
          <w:szCs w:val="22"/>
        </w:rPr>
        <w:t>:</w:t>
      </w:r>
      <w:r w:rsidRPr="00FC7B25" w:rsidR="00586D54">
        <w:rPr>
          <w:rFonts w:asciiTheme="majorHAnsi" w:hAnsiTheme="majorHAnsi" w:cstheme="majorHAnsi"/>
          <w:sz w:val="22"/>
          <w:szCs w:val="22"/>
        </w:rPr>
        <w:t xml:space="preserve"> Indonesia terminated the Dutch-Indonesian BIT in 2015</w:t>
      </w:r>
      <w:r w:rsidRPr="00FC7B25" w:rsidR="006A0B0B">
        <w:rPr>
          <w:rFonts w:asciiTheme="majorHAnsi" w:hAnsiTheme="majorHAnsi" w:cstheme="majorHAnsi"/>
          <w:sz w:val="22"/>
          <w:szCs w:val="22"/>
        </w:rPr>
        <w:t>;</w:t>
      </w:r>
      <w:r w:rsidRPr="00FC7B25" w:rsidR="00586D54">
        <w:rPr>
          <w:rFonts w:asciiTheme="majorHAnsi" w:hAnsiTheme="majorHAnsi" w:cstheme="majorHAnsi"/>
          <w:sz w:val="22"/>
          <w:szCs w:val="22"/>
        </w:rPr>
        <w:t xml:space="preserve"> </w:t>
      </w:r>
      <w:r w:rsidRPr="00FC7B25" w:rsidR="003D4AAF">
        <w:rPr>
          <w:rFonts w:asciiTheme="majorHAnsi" w:hAnsiTheme="majorHAnsi" w:cstheme="majorHAnsi"/>
          <w:sz w:val="22"/>
          <w:szCs w:val="22"/>
        </w:rPr>
        <w:t>South Africa decided in 2010 to terminate 20 BITs</w:t>
      </w:r>
      <w:r w:rsidR="00FC7B25">
        <w:rPr>
          <w:rFonts w:asciiTheme="majorHAnsi" w:hAnsiTheme="majorHAnsi" w:cstheme="majorHAnsi"/>
          <w:sz w:val="22"/>
          <w:szCs w:val="22"/>
        </w:rPr>
        <w:t>;</w:t>
      </w:r>
      <w:r w:rsidRPr="00FC7B25" w:rsidR="00587751">
        <w:rPr>
          <w:rFonts w:asciiTheme="majorHAnsi" w:hAnsiTheme="majorHAnsi" w:cstheme="majorHAnsi"/>
          <w:sz w:val="22"/>
          <w:szCs w:val="22"/>
          <w:vertAlign w:val="superscript"/>
        </w:rPr>
        <w:footnoteReference w:id="1"/>
      </w:r>
      <w:r w:rsidRPr="00FC7B25" w:rsidR="003D4AAF">
        <w:rPr>
          <w:rFonts w:asciiTheme="majorHAnsi" w:hAnsiTheme="majorHAnsi" w:cstheme="majorHAnsi"/>
          <w:sz w:val="22"/>
          <w:szCs w:val="22"/>
        </w:rPr>
        <w:t xml:space="preserve"> India </w:t>
      </w:r>
      <w:r w:rsidRPr="00FC7B25" w:rsidR="00B147E0">
        <w:rPr>
          <w:rFonts w:asciiTheme="majorHAnsi" w:hAnsiTheme="majorHAnsi" w:cstheme="majorHAnsi"/>
          <w:sz w:val="22"/>
          <w:szCs w:val="22"/>
        </w:rPr>
        <w:t>indicated in 2016 to terminate BITs with 58 countries</w:t>
      </w:r>
      <w:r w:rsidRPr="00FC7B25" w:rsidR="00A07379">
        <w:rPr>
          <w:rFonts w:asciiTheme="majorHAnsi" w:hAnsiTheme="majorHAnsi" w:cstheme="majorHAnsi"/>
          <w:sz w:val="22"/>
          <w:szCs w:val="22"/>
        </w:rPr>
        <w:t>, including 22 EU countries, among which the Netherlands</w:t>
      </w:r>
      <w:r w:rsidR="00FC7B25">
        <w:rPr>
          <w:rFonts w:asciiTheme="majorHAnsi" w:hAnsiTheme="majorHAnsi" w:cstheme="majorHAnsi"/>
          <w:sz w:val="22"/>
          <w:szCs w:val="22"/>
        </w:rPr>
        <w:t>;</w:t>
      </w:r>
      <w:r w:rsidRPr="00FC7B25" w:rsidR="00B147E0">
        <w:rPr>
          <w:rFonts w:asciiTheme="majorHAnsi" w:hAnsiTheme="majorHAnsi" w:cstheme="majorHAnsi"/>
          <w:sz w:val="22"/>
          <w:szCs w:val="22"/>
          <w:vertAlign w:val="superscript"/>
        </w:rPr>
        <w:footnoteReference w:id="2"/>
      </w:r>
      <w:r w:rsidRPr="00FC7B25" w:rsidR="00722F2F">
        <w:rPr>
          <w:rFonts w:asciiTheme="majorHAnsi" w:hAnsiTheme="majorHAnsi" w:cstheme="majorHAnsi"/>
          <w:sz w:val="22"/>
          <w:szCs w:val="22"/>
        </w:rPr>
        <w:t xml:space="preserve"> Bolivia and Ecuador began terminating BITs in 2008</w:t>
      </w:r>
      <w:r w:rsidRPr="00FC7B25" w:rsidR="006A0B0B">
        <w:rPr>
          <w:rFonts w:asciiTheme="majorHAnsi" w:hAnsiTheme="majorHAnsi" w:cstheme="majorHAnsi"/>
          <w:sz w:val="22"/>
          <w:szCs w:val="22"/>
        </w:rPr>
        <w:t>; and</w:t>
      </w:r>
      <w:r w:rsidRPr="00FC7B25" w:rsidR="00722F2F">
        <w:rPr>
          <w:rFonts w:asciiTheme="majorHAnsi" w:hAnsiTheme="majorHAnsi" w:cstheme="majorHAnsi"/>
          <w:sz w:val="22"/>
          <w:szCs w:val="22"/>
        </w:rPr>
        <w:t xml:space="preserve"> </w:t>
      </w:r>
      <w:r w:rsidRPr="00FC7B25" w:rsidR="00586D54">
        <w:rPr>
          <w:rFonts w:asciiTheme="majorHAnsi" w:hAnsiTheme="majorHAnsi" w:cstheme="majorHAnsi"/>
          <w:sz w:val="22"/>
          <w:szCs w:val="22"/>
        </w:rPr>
        <w:t xml:space="preserve">Brazil </w:t>
      </w:r>
      <w:r w:rsidRPr="00FC7B25" w:rsidR="002013B1">
        <w:rPr>
          <w:rFonts w:asciiTheme="majorHAnsi" w:hAnsiTheme="majorHAnsi" w:cstheme="majorHAnsi"/>
          <w:sz w:val="22"/>
          <w:szCs w:val="22"/>
        </w:rPr>
        <w:t>was never</w:t>
      </w:r>
      <w:r w:rsidRPr="00FC7B25" w:rsidR="00586D54">
        <w:rPr>
          <w:rFonts w:asciiTheme="majorHAnsi" w:hAnsiTheme="majorHAnsi" w:cstheme="majorHAnsi"/>
          <w:sz w:val="22"/>
          <w:szCs w:val="22"/>
        </w:rPr>
        <w:t xml:space="preserve"> inclined to enter into </w:t>
      </w:r>
      <w:r w:rsidRPr="00FC7B25" w:rsidR="00B63849">
        <w:rPr>
          <w:rFonts w:asciiTheme="majorHAnsi" w:hAnsiTheme="majorHAnsi" w:cstheme="majorHAnsi"/>
          <w:sz w:val="22"/>
          <w:szCs w:val="22"/>
        </w:rPr>
        <w:t>BITs</w:t>
      </w:r>
      <w:r w:rsidRPr="00FC7B25" w:rsidR="006A0B0B">
        <w:rPr>
          <w:rFonts w:asciiTheme="majorHAnsi" w:hAnsiTheme="majorHAnsi" w:cstheme="majorHAnsi"/>
          <w:sz w:val="22"/>
          <w:szCs w:val="22"/>
        </w:rPr>
        <w:t>.</w:t>
      </w:r>
      <w:r w:rsidRPr="00FC7B25" w:rsidR="002013B1">
        <w:rPr>
          <w:rFonts w:asciiTheme="majorHAnsi" w:hAnsiTheme="majorHAnsi" w:cstheme="majorHAnsi"/>
          <w:sz w:val="22"/>
          <w:szCs w:val="22"/>
          <w:vertAlign w:val="superscript"/>
        </w:rPr>
        <w:footnoteReference w:id="3"/>
      </w:r>
      <w:r w:rsidRPr="00FC7B25" w:rsidR="00586D54">
        <w:rPr>
          <w:rFonts w:asciiTheme="majorHAnsi" w:hAnsiTheme="majorHAnsi" w:cstheme="majorHAnsi"/>
          <w:sz w:val="22"/>
          <w:szCs w:val="22"/>
          <w:vertAlign w:val="superscript"/>
        </w:rPr>
        <w:t xml:space="preserve"> </w:t>
      </w:r>
      <w:r w:rsidRPr="00FC7B25" w:rsidR="00F86FB5">
        <w:rPr>
          <w:rFonts w:asciiTheme="majorHAnsi" w:hAnsiTheme="majorHAnsi" w:cstheme="majorHAnsi"/>
          <w:sz w:val="22"/>
          <w:szCs w:val="22"/>
        </w:rPr>
        <w:t xml:space="preserve"> </w:t>
      </w:r>
    </w:p>
    <w:p w:rsidR="00A07EC0" w:rsidP="00DC6FA6" w:rsidRDefault="00A07EC0">
      <w:pPr>
        <w:jc w:val="both"/>
        <w:rPr>
          <w:rFonts w:asciiTheme="majorHAnsi" w:hAnsiTheme="majorHAnsi" w:cstheme="majorHAnsi"/>
          <w:sz w:val="22"/>
          <w:szCs w:val="22"/>
        </w:rPr>
      </w:pPr>
    </w:p>
    <w:p w:rsidRPr="00AD2792" w:rsidR="00CC6701" w:rsidP="00DC6FA6" w:rsidRDefault="00F86FB5">
      <w:pPr>
        <w:jc w:val="both"/>
        <w:rPr>
          <w:rFonts w:asciiTheme="majorHAnsi" w:hAnsiTheme="majorHAnsi" w:cstheme="majorHAnsi"/>
          <w:sz w:val="22"/>
          <w:szCs w:val="22"/>
        </w:rPr>
      </w:pPr>
      <w:r w:rsidRPr="00FC7B25">
        <w:rPr>
          <w:rFonts w:asciiTheme="majorHAnsi" w:hAnsiTheme="majorHAnsi" w:cstheme="majorHAnsi"/>
          <w:sz w:val="22"/>
          <w:szCs w:val="22"/>
        </w:rPr>
        <w:t xml:space="preserve">Additionally, </w:t>
      </w:r>
      <w:r w:rsidR="00A07EC0">
        <w:rPr>
          <w:rFonts w:asciiTheme="majorHAnsi" w:hAnsiTheme="majorHAnsi" w:cstheme="majorHAnsi"/>
          <w:sz w:val="22"/>
          <w:szCs w:val="22"/>
        </w:rPr>
        <w:t xml:space="preserve">in our view, </w:t>
      </w:r>
      <w:r w:rsidRPr="00FC7B25" w:rsidR="00B63849">
        <w:rPr>
          <w:rFonts w:asciiTheme="majorHAnsi" w:hAnsiTheme="majorHAnsi" w:cstheme="majorHAnsi"/>
          <w:sz w:val="22"/>
          <w:szCs w:val="22"/>
        </w:rPr>
        <w:t xml:space="preserve">the DMIA </w:t>
      </w:r>
      <w:r w:rsidRPr="00FC7B25">
        <w:rPr>
          <w:rFonts w:asciiTheme="majorHAnsi" w:hAnsiTheme="majorHAnsi" w:cstheme="majorHAnsi"/>
          <w:sz w:val="22"/>
          <w:szCs w:val="22"/>
        </w:rPr>
        <w:t>reflects coherence of policies</w:t>
      </w:r>
      <w:r w:rsidRPr="00FC7B25" w:rsidR="00F40BB8">
        <w:rPr>
          <w:rFonts w:asciiTheme="majorHAnsi" w:hAnsiTheme="majorHAnsi" w:cstheme="majorHAnsi"/>
          <w:sz w:val="22"/>
          <w:szCs w:val="22"/>
        </w:rPr>
        <w:t>. It links Dutch economic policies – i.e. promoting</w:t>
      </w:r>
      <w:r w:rsidRPr="00AD2792" w:rsidR="00F40BB8">
        <w:rPr>
          <w:rFonts w:asciiTheme="majorHAnsi" w:hAnsiTheme="majorHAnsi" w:cstheme="majorHAnsi"/>
          <w:sz w:val="22"/>
          <w:szCs w:val="22"/>
        </w:rPr>
        <w:t xml:space="preserve"> its business sector </w:t>
      </w:r>
      <w:r w:rsidRPr="00AD2792" w:rsidR="00B63849">
        <w:rPr>
          <w:rFonts w:asciiTheme="majorHAnsi" w:hAnsiTheme="majorHAnsi" w:cstheme="majorHAnsi"/>
          <w:sz w:val="22"/>
          <w:szCs w:val="22"/>
        </w:rPr>
        <w:t xml:space="preserve">abroad </w:t>
      </w:r>
      <w:r w:rsidRPr="00AD2792" w:rsidR="00F40BB8">
        <w:rPr>
          <w:rFonts w:asciiTheme="majorHAnsi" w:hAnsiTheme="majorHAnsi" w:cstheme="majorHAnsi"/>
          <w:sz w:val="22"/>
          <w:szCs w:val="22"/>
        </w:rPr>
        <w:t xml:space="preserve">- with its international policies – i.e. </w:t>
      </w:r>
      <w:r w:rsidRPr="00AD2792" w:rsidR="007F1884">
        <w:rPr>
          <w:rFonts w:asciiTheme="majorHAnsi" w:hAnsiTheme="majorHAnsi" w:cstheme="majorHAnsi"/>
          <w:sz w:val="22"/>
          <w:szCs w:val="22"/>
        </w:rPr>
        <w:t>supporting the achievement of the Sustainable Development Goals (SDGs), the rule of law, and compliance with international human rights, labour</w:t>
      </w:r>
      <w:r w:rsidRPr="00AD2792" w:rsidR="00B63849">
        <w:rPr>
          <w:rFonts w:asciiTheme="majorHAnsi" w:hAnsiTheme="majorHAnsi" w:cstheme="majorHAnsi"/>
          <w:sz w:val="22"/>
          <w:szCs w:val="22"/>
        </w:rPr>
        <w:t xml:space="preserve">, </w:t>
      </w:r>
      <w:r w:rsidRPr="00AD2792" w:rsidR="0061309B">
        <w:rPr>
          <w:rFonts w:asciiTheme="majorHAnsi" w:hAnsiTheme="majorHAnsi" w:cstheme="majorHAnsi"/>
          <w:sz w:val="22"/>
          <w:szCs w:val="22"/>
        </w:rPr>
        <w:t xml:space="preserve">and environmental </w:t>
      </w:r>
      <w:r w:rsidRPr="00AD2792" w:rsidR="00B63849">
        <w:rPr>
          <w:rFonts w:asciiTheme="majorHAnsi" w:hAnsiTheme="majorHAnsi" w:cstheme="majorHAnsi"/>
          <w:sz w:val="22"/>
          <w:szCs w:val="22"/>
        </w:rPr>
        <w:t>standards</w:t>
      </w:r>
      <w:r w:rsidRPr="00AD2792" w:rsidR="0061309B">
        <w:rPr>
          <w:rFonts w:asciiTheme="majorHAnsi" w:hAnsiTheme="majorHAnsi" w:cstheme="majorHAnsi"/>
          <w:sz w:val="22"/>
          <w:szCs w:val="22"/>
        </w:rPr>
        <w:t xml:space="preserve">. </w:t>
      </w:r>
      <w:r w:rsidRPr="00AD2792" w:rsidR="0034637B">
        <w:rPr>
          <w:rFonts w:asciiTheme="majorHAnsi" w:hAnsiTheme="majorHAnsi" w:cstheme="majorHAnsi"/>
          <w:sz w:val="22"/>
          <w:szCs w:val="22"/>
        </w:rPr>
        <w:t xml:space="preserve">Corporate Social Responsibility (CSR) </w:t>
      </w:r>
      <w:r w:rsidRPr="00AD2792" w:rsidR="0061309B">
        <w:rPr>
          <w:rFonts w:asciiTheme="majorHAnsi" w:hAnsiTheme="majorHAnsi" w:cstheme="majorHAnsi"/>
          <w:sz w:val="22"/>
          <w:szCs w:val="22"/>
        </w:rPr>
        <w:t>combin</w:t>
      </w:r>
      <w:r w:rsidRPr="00AD2792" w:rsidR="0034637B">
        <w:rPr>
          <w:rFonts w:asciiTheme="majorHAnsi" w:hAnsiTheme="majorHAnsi" w:cstheme="majorHAnsi"/>
          <w:sz w:val="22"/>
          <w:szCs w:val="22"/>
        </w:rPr>
        <w:t>es these different policy goals and it didn’</w:t>
      </w:r>
      <w:r w:rsidRPr="00AD2792" w:rsidR="00AD2792">
        <w:rPr>
          <w:rFonts w:asciiTheme="majorHAnsi" w:hAnsiTheme="majorHAnsi" w:cstheme="majorHAnsi"/>
          <w:sz w:val="22"/>
          <w:szCs w:val="22"/>
        </w:rPr>
        <w:t>t surprise u</w:t>
      </w:r>
      <w:r w:rsidRPr="00AD2792" w:rsidR="0034637B">
        <w:rPr>
          <w:rFonts w:asciiTheme="majorHAnsi" w:hAnsiTheme="majorHAnsi" w:cstheme="majorHAnsi"/>
          <w:sz w:val="22"/>
          <w:szCs w:val="22"/>
        </w:rPr>
        <w:t>s that CSR was mentioned multiple times in the DMIA.</w:t>
      </w:r>
      <w:r w:rsidRPr="00AD2792" w:rsidR="00CE6394">
        <w:rPr>
          <w:rStyle w:val="FootnoteReference"/>
          <w:rFonts w:asciiTheme="majorHAnsi" w:hAnsiTheme="majorHAnsi" w:cstheme="majorHAnsi"/>
          <w:sz w:val="22"/>
          <w:szCs w:val="22"/>
        </w:rPr>
        <w:footnoteReference w:id="4"/>
      </w:r>
      <w:r w:rsidRPr="00AD2792" w:rsidR="0034637B">
        <w:rPr>
          <w:rFonts w:asciiTheme="majorHAnsi" w:hAnsiTheme="majorHAnsi" w:cstheme="majorHAnsi"/>
          <w:sz w:val="22"/>
          <w:szCs w:val="22"/>
        </w:rPr>
        <w:t xml:space="preserve"> </w:t>
      </w:r>
      <w:r w:rsidRPr="00AD2792" w:rsidR="0061309B">
        <w:rPr>
          <w:rFonts w:asciiTheme="majorHAnsi" w:hAnsiTheme="majorHAnsi" w:cstheme="majorHAnsi"/>
          <w:sz w:val="22"/>
          <w:szCs w:val="22"/>
        </w:rPr>
        <w:t xml:space="preserve"> </w:t>
      </w:r>
      <w:r w:rsidR="00190FD9">
        <w:rPr>
          <w:rFonts w:asciiTheme="majorHAnsi" w:hAnsiTheme="majorHAnsi" w:cstheme="majorHAnsi"/>
          <w:sz w:val="22"/>
          <w:szCs w:val="22"/>
        </w:rPr>
        <w:t>In this paper, we</w:t>
      </w:r>
      <w:r w:rsidRPr="00AD2792" w:rsidR="00190FD9">
        <w:rPr>
          <w:rFonts w:asciiTheme="majorHAnsi" w:hAnsiTheme="majorHAnsi" w:cstheme="majorHAnsi"/>
          <w:sz w:val="22"/>
          <w:szCs w:val="22"/>
        </w:rPr>
        <w:t xml:space="preserve"> will discuss some of the innovative and important provisions</w:t>
      </w:r>
      <w:r w:rsidR="00190FD9">
        <w:rPr>
          <w:rFonts w:asciiTheme="majorHAnsi" w:hAnsiTheme="majorHAnsi" w:cstheme="majorHAnsi"/>
          <w:sz w:val="22"/>
          <w:szCs w:val="22"/>
        </w:rPr>
        <w:t xml:space="preserve"> of the DMIA.</w:t>
      </w:r>
    </w:p>
    <w:p w:rsidRPr="00AD2792" w:rsidR="00CC6701" w:rsidP="00DC6FA6" w:rsidRDefault="00CC6701">
      <w:pPr>
        <w:jc w:val="both"/>
        <w:rPr>
          <w:rFonts w:asciiTheme="majorHAnsi" w:hAnsiTheme="majorHAnsi" w:cstheme="majorHAnsi"/>
          <w:sz w:val="22"/>
          <w:szCs w:val="22"/>
        </w:rPr>
      </w:pPr>
    </w:p>
    <w:p w:rsidRPr="00AD2792" w:rsidR="005C2E89" w:rsidP="00DC6FA6" w:rsidRDefault="00EE733F">
      <w:pPr>
        <w:jc w:val="both"/>
        <w:rPr>
          <w:rFonts w:asciiTheme="majorHAnsi" w:hAnsiTheme="majorHAnsi" w:cstheme="majorHAnsi"/>
          <w:sz w:val="22"/>
          <w:szCs w:val="22"/>
          <w:lang w:val="en-US"/>
        </w:rPr>
      </w:pPr>
      <w:r>
        <w:rPr>
          <w:rFonts w:asciiTheme="majorHAnsi" w:hAnsiTheme="majorHAnsi" w:cstheme="majorHAnsi"/>
          <w:sz w:val="22"/>
          <w:szCs w:val="22"/>
        </w:rPr>
        <w:t>A</w:t>
      </w:r>
      <w:r w:rsidRPr="00AD2792" w:rsidR="00AE6050">
        <w:rPr>
          <w:rFonts w:asciiTheme="majorHAnsi" w:hAnsiTheme="majorHAnsi" w:cstheme="majorHAnsi"/>
          <w:sz w:val="22"/>
          <w:szCs w:val="22"/>
        </w:rPr>
        <w:t xml:space="preserve"> draft of</w:t>
      </w:r>
      <w:r w:rsidRPr="00AD2792" w:rsidR="006051BC">
        <w:rPr>
          <w:rFonts w:asciiTheme="majorHAnsi" w:hAnsiTheme="majorHAnsi" w:cstheme="majorHAnsi"/>
          <w:sz w:val="22"/>
          <w:szCs w:val="22"/>
        </w:rPr>
        <w:t xml:space="preserve"> </w:t>
      </w:r>
      <w:r>
        <w:rPr>
          <w:rFonts w:asciiTheme="majorHAnsi" w:hAnsiTheme="majorHAnsi" w:cstheme="majorHAnsi"/>
          <w:sz w:val="22"/>
          <w:szCs w:val="22"/>
        </w:rPr>
        <w:t>the DMIA</w:t>
      </w:r>
      <w:r w:rsidRPr="00AD2792" w:rsidR="00AE6050">
        <w:rPr>
          <w:rFonts w:asciiTheme="majorHAnsi" w:hAnsiTheme="majorHAnsi" w:cstheme="majorHAnsi"/>
          <w:sz w:val="22"/>
          <w:szCs w:val="22"/>
        </w:rPr>
        <w:t xml:space="preserve"> </w:t>
      </w:r>
      <w:r w:rsidRPr="00AD2792" w:rsidR="006051BC">
        <w:rPr>
          <w:rFonts w:asciiTheme="majorHAnsi" w:hAnsiTheme="majorHAnsi" w:cstheme="majorHAnsi"/>
          <w:sz w:val="22"/>
          <w:szCs w:val="22"/>
        </w:rPr>
        <w:t xml:space="preserve">was published </w:t>
      </w:r>
      <w:r w:rsidRPr="00AD2792" w:rsidR="00AE6050">
        <w:rPr>
          <w:rFonts w:asciiTheme="majorHAnsi" w:hAnsiTheme="majorHAnsi" w:cstheme="majorHAnsi"/>
          <w:sz w:val="22"/>
          <w:szCs w:val="22"/>
        </w:rPr>
        <w:t>for public consultation</w:t>
      </w:r>
      <w:r w:rsidRPr="00AD2792" w:rsidR="006051BC">
        <w:rPr>
          <w:rFonts w:asciiTheme="majorHAnsi" w:hAnsiTheme="majorHAnsi" w:cstheme="majorHAnsi"/>
          <w:sz w:val="22"/>
          <w:szCs w:val="22"/>
        </w:rPr>
        <w:t xml:space="preserve"> in May 2018.</w:t>
      </w:r>
      <w:r w:rsidRPr="00AD2792" w:rsidR="00AE6050">
        <w:rPr>
          <w:rFonts w:asciiTheme="majorHAnsi" w:hAnsiTheme="majorHAnsi" w:cstheme="majorHAnsi"/>
          <w:sz w:val="22"/>
          <w:szCs w:val="22"/>
        </w:rPr>
        <w:t xml:space="preserve"> </w:t>
      </w:r>
      <w:r w:rsidRPr="00AD2792" w:rsidR="006051BC">
        <w:rPr>
          <w:rFonts w:asciiTheme="majorHAnsi" w:hAnsiTheme="majorHAnsi" w:cstheme="majorHAnsi"/>
          <w:sz w:val="22"/>
          <w:szCs w:val="22"/>
        </w:rPr>
        <w:t>O</w:t>
      </w:r>
      <w:r w:rsidRPr="00AD2792" w:rsidR="00AE6050">
        <w:rPr>
          <w:rFonts w:asciiTheme="majorHAnsi" w:hAnsiTheme="majorHAnsi" w:cstheme="majorHAnsi"/>
          <w:sz w:val="22"/>
          <w:szCs w:val="22"/>
        </w:rPr>
        <w:t xml:space="preserve">ver 1,600 responses </w:t>
      </w:r>
      <w:r w:rsidRPr="00AD2792" w:rsidR="00991F60">
        <w:rPr>
          <w:rFonts w:asciiTheme="majorHAnsi" w:hAnsiTheme="majorHAnsi" w:cstheme="majorHAnsi"/>
          <w:sz w:val="22"/>
          <w:szCs w:val="22"/>
        </w:rPr>
        <w:t>were</w:t>
      </w:r>
      <w:r w:rsidRPr="00AD2792" w:rsidR="00AE6050">
        <w:rPr>
          <w:rFonts w:asciiTheme="majorHAnsi" w:hAnsiTheme="majorHAnsi" w:cstheme="majorHAnsi"/>
          <w:sz w:val="22"/>
          <w:szCs w:val="22"/>
        </w:rPr>
        <w:t xml:space="preserve"> received</w:t>
      </w:r>
      <w:r w:rsidRPr="00AD2792" w:rsidR="00991F60">
        <w:rPr>
          <w:rFonts w:asciiTheme="majorHAnsi" w:hAnsiTheme="majorHAnsi" w:cstheme="majorHAnsi"/>
          <w:sz w:val="22"/>
          <w:szCs w:val="22"/>
        </w:rPr>
        <w:t>, which were</w:t>
      </w:r>
      <w:r w:rsidRPr="00AD2792" w:rsidR="00AE6050">
        <w:rPr>
          <w:rFonts w:asciiTheme="majorHAnsi" w:hAnsiTheme="majorHAnsi" w:cstheme="majorHAnsi"/>
          <w:sz w:val="22"/>
          <w:szCs w:val="22"/>
        </w:rPr>
        <w:t xml:space="preserve"> consider</w:t>
      </w:r>
      <w:r w:rsidRPr="00AD2792" w:rsidR="00991F60">
        <w:rPr>
          <w:rFonts w:asciiTheme="majorHAnsi" w:hAnsiTheme="majorHAnsi" w:cstheme="majorHAnsi"/>
          <w:sz w:val="22"/>
          <w:szCs w:val="22"/>
        </w:rPr>
        <w:t xml:space="preserve">ed in establishing the final text. In October 2018, </w:t>
      </w:r>
      <w:r w:rsidRPr="00AD2792" w:rsidR="00AE6050">
        <w:rPr>
          <w:rFonts w:asciiTheme="majorHAnsi" w:hAnsiTheme="majorHAnsi" w:cstheme="majorHAnsi"/>
          <w:sz w:val="22"/>
          <w:szCs w:val="22"/>
        </w:rPr>
        <w:t xml:space="preserve">the Dutch </w:t>
      </w:r>
      <w:r w:rsidRPr="00AD2792" w:rsidR="00982345">
        <w:rPr>
          <w:rFonts w:asciiTheme="majorHAnsi" w:hAnsiTheme="majorHAnsi" w:cstheme="majorHAnsi"/>
          <w:sz w:val="22"/>
          <w:szCs w:val="22"/>
        </w:rPr>
        <w:t>Government</w:t>
      </w:r>
      <w:r w:rsidRPr="00AD2792" w:rsidR="00AE6050">
        <w:rPr>
          <w:rFonts w:asciiTheme="majorHAnsi" w:hAnsiTheme="majorHAnsi" w:cstheme="majorHAnsi"/>
          <w:sz w:val="22"/>
          <w:szCs w:val="22"/>
        </w:rPr>
        <w:t xml:space="preserve"> adopted </w:t>
      </w:r>
      <w:r w:rsidRPr="00AD2792" w:rsidR="00AD2792">
        <w:rPr>
          <w:rFonts w:asciiTheme="majorHAnsi" w:hAnsiTheme="majorHAnsi" w:cstheme="majorHAnsi"/>
          <w:sz w:val="22"/>
          <w:szCs w:val="22"/>
        </w:rPr>
        <w:t>the current version</w:t>
      </w:r>
      <w:r w:rsidRPr="00AD2792" w:rsidR="00570CB7">
        <w:rPr>
          <w:rFonts w:asciiTheme="majorHAnsi" w:hAnsiTheme="majorHAnsi" w:cstheme="majorHAnsi"/>
          <w:sz w:val="22"/>
          <w:szCs w:val="22"/>
        </w:rPr>
        <w:t xml:space="preserve"> with a view to using it as</w:t>
      </w:r>
      <w:r w:rsidRPr="00AD2792" w:rsidR="00AE6050">
        <w:rPr>
          <w:rFonts w:asciiTheme="majorHAnsi" w:hAnsiTheme="majorHAnsi" w:cstheme="majorHAnsi"/>
          <w:sz w:val="22"/>
          <w:szCs w:val="22"/>
        </w:rPr>
        <w:t xml:space="preserve"> the basis for the Netherlands </w:t>
      </w:r>
      <w:r w:rsidRPr="00AD2792" w:rsidR="00570CB7">
        <w:rPr>
          <w:rFonts w:asciiTheme="majorHAnsi" w:hAnsiTheme="majorHAnsi" w:cstheme="majorHAnsi"/>
          <w:sz w:val="22"/>
          <w:szCs w:val="22"/>
        </w:rPr>
        <w:t xml:space="preserve">in the </w:t>
      </w:r>
      <w:r w:rsidRPr="00AD2792" w:rsidR="00AE6050">
        <w:rPr>
          <w:rFonts w:asciiTheme="majorHAnsi" w:hAnsiTheme="majorHAnsi" w:cstheme="majorHAnsi"/>
          <w:sz w:val="22"/>
          <w:szCs w:val="22"/>
        </w:rPr>
        <w:t>renegotiat</w:t>
      </w:r>
      <w:r w:rsidRPr="00AD2792" w:rsidR="00570CB7">
        <w:rPr>
          <w:rFonts w:asciiTheme="majorHAnsi" w:hAnsiTheme="majorHAnsi" w:cstheme="majorHAnsi"/>
          <w:sz w:val="22"/>
          <w:szCs w:val="22"/>
        </w:rPr>
        <w:t>ion process of</w:t>
      </w:r>
      <w:r w:rsidRPr="00AD2792" w:rsidR="00AE6050">
        <w:rPr>
          <w:rFonts w:asciiTheme="majorHAnsi" w:hAnsiTheme="majorHAnsi" w:cstheme="majorHAnsi"/>
          <w:sz w:val="22"/>
          <w:szCs w:val="22"/>
        </w:rPr>
        <w:t xml:space="preserve"> its non-EU BITs. </w:t>
      </w:r>
      <w:r w:rsidRPr="00AD2792" w:rsidR="00AD2792">
        <w:rPr>
          <w:rFonts w:asciiTheme="majorHAnsi" w:hAnsiTheme="majorHAnsi" w:cstheme="majorHAnsi"/>
          <w:sz w:val="22"/>
          <w:szCs w:val="22"/>
        </w:rPr>
        <w:t>Indeed, p</w:t>
      </w:r>
      <w:r w:rsidRPr="00AD2792" w:rsidR="005E3ABB">
        <w:rPr>
          <w:rFonts w:asciiTheme="majorHAnsi" w:hAnsiTheme="majorHAnsi" w:cstheme="majorHAnsi"/>
          <w:sz w:val="22"/>
          <w:szCs w:val="22"/>
        </w:rPr>
        <w:t>ursuant to</w:t>
      </w:r>
      <w:r w:rsidRPr="00AD2792" w:rsidR="00570CB7">
        <w:rPr>
          <w:rFonts w:asciiTheme="majorHAnsi" w:hAnsiTheme="majorHAnsi" w:cstheme="majorHAnsi"/>
          <w:sz w:val="22"/>
          <w:szCs w:val="22"/>
        </w:rPr>
        <w:t xml:space="preserve"> the ruling of the European Court of Justice in</w:t>
      </w:r>
      <w:r w:rsidR="0081456C">
        <w:rPr>
          <w:rFonts w:asciiTheme="majorHAnsi" w:hAnsiTheme="majorHAnsi" w:cstheme="majorHAnsi"/>
          <w:sz w:val="22"/>
          <w:szCs w:val="22"/>
        </w:rPr>
        <w:t xml:space="preserve"> </w:t>
      </w:r>
      <w:r w:rsidR="000A6046">
        <w:rPr>
          <w:rFonts w:asciiTheme="majorHAnsi" w:hAnsiTheme="majorHAnsi" w:cstheme="majorHAnsi"/>
          <w:sz w:val="22"/>
          <w:szCs w:val="22"/>
        </w:rPr>
        <w:t>an</w:t>
      </w:r>
      <w:r w:rsidR="0081456C">
        <w:rPr>
          <w:rFonts w:asciiTheme="majorHAnsi" w:hAnsiTheme="majorHAnsi" w:cstheme="majorHAnsi"/>
          <w:sz w:val="22"/>
          <w:szCs w:val="22"/>
        </w:rPr>
        <w:t xml:space="preserve"> international investment law case,</w:t>
      </w:r>
      <w:r w:rsidRPr="00AD2792" w:rsidR="00570CB7">
        <w:rPr>
          <w:rFonts w:asciiTheme="majorHAnsi" w:hAnsiTheme="majorHAnsi" w:cstheme="majorHAnsi"/>
          <w:sz w:val="22"/>
          <w:szCs w:val="22"/>
        </w:rPr>
        <w:t> </w:t>
      </w:r>
      <w:r w:rsidR="000A6046">
        <w:rPr>
          <w:rFonts w:asciiTheme="majorHAnsi" w:hAnsiTheme="majorHAnsi" w:cstheme="majorHAnsi"/>
          <w:sz w:val="22"/>
          <w:szCs w:val="22"/>
        </w:rPr>
        <w:t xml:space="preserve">i.e. </w:t>
      </w:r>
      <w:proofErr w:type="spellStart"/>
      <w:r w:rsidRPr="00AD2792" w:rsidR="00570CB7">
        <w:rPr>
          <w:rFonts w:asciiTheme="majorHAnsi" w:hAnsiTheme="majorHAnsi" w:cstheme="majorHAnsi"/>
          <w:i/>
          <w:sz w:val="22"/>
          <w:szCs w:val="22"/>
        </w:rPr>
        <w:t>Slowakische</w:t>
      </w:r>
      <w:proofErr w:type="spellEnd"/>
      <w:r w:rsidRPr="00AD2792" w:rsidR="00570CB7">
        <w:rPr>
          <w:rFonts w:asciiTheme="majorHAnsi" w:hAnsiTheme="majorHAnsi" w:cstheme="majorHAnsi"/>
          <w:i/>
          <w:sz w:val="22"/>
          <w:szCs w:val="22"/>
        </w:rPr>
        <w:t xml:space="preserve"> </w:t>
      </w:r>
      <w:proofErr w:type="spellStart"/>
      <w:r w:rsidRPr="00AD2792" w:rsidR="00570CB7">
        <w:rPr>
          <w:rFonts w:asciiTheme="majorHAnsi" w:hAnsiTheme="majorHAnsi" w:cstheme="majorHAnsi"/>
          <w:i/>
          <w:sz w:val="22"/>
          <w:szCs w:val="22"/>
        </w:rPr>
        <w:t>Republik</w:t>
      </w:r>
      <w:proofErr w:type="spellEnd"/>
      <w:r w:rsidRPr="00AD2792" w:rsidR="00570CB7">
        <w:rPr>
          <w:rFonts w:asciiTheme="majorHAnsi" w:hAnsiTheme="majorHAnsi" w:cstheme="majorHAnsi"/>
          <w:i/>
          <w:sz w:val="22"/>
          <w:szCs w:val="22"/>
        </w:rPr>
        <w:t xml:space="preserve"> (Slovak Republic) v </w:t>
      </w:r>
      <w:proofErr w:type="spellStart"/>
      <w:r w:rsidRPr="00AD2792" w:rsidR="00570CB7">
        <w:rPr>
          <w:rFonts w:asciiTheme="majorHAnsi" w:hAnsiTheme="majorHAnsi" w:cstheme="majorHAnsi"/>
          <w:i/>
          <w:sz w:val="22"/>
          <w:szCs w:val="22"/>
        </w:rPr>
        <w:t>Achmea</w:t>
      </w:r>
      <w:proofErr w:type="spellEnd"/>
      <w:r w:rsidRPr="00AD2792" w:rsidR="00570CB7">
        <w:rPr>
          <w:rFonts w:asciiTheme="majorHAnsi" w:hAnsiTheme="majorHAnsi" w:cstheme="majorHAnsi"/>
          <w:i/>
          <w:sz w:val="22"/>
          <w:szCs w:val="22"/>
        </w:rPr>
        <w:t xml:space="preserve"> BV</w:t>
      </w:r>
      <w:r w:rsidRPr="00AD2792" w:rsidR="00570CB7">
        <w:rPr>
          <w:rFonts w:asciiTheme="majorHAnsi" w:hAnsiTheme="majorHAnsi" w:cstheme="majorHAnsi"/>
          <w:sz w:val="22"/>
          <w:szCs w:val="22"/>
        </w:rPr>
        <w:t>,</w:t>
      </w:r>
      <w:r w:rsidRPr="00AD2792" w:rsidR="00EA2934">
        <w:rPr>
          <w:rFonts w:asciiTheme="majorHAnsi" w:hAnsiTheme="majorHAnsi" w:cstheme="majorHAnsi"/>
          <w:sz w:val="22"/>
          <w:szCs w:val="22"/>
          <w:vertAlign w:val="superscript"/>
        </w:rPr>
        <w:footnoteReference w:id="5"/>
      </w:r>
      <w:r w:rsidRPr="00AD2792" w:rsidR="003F193F">
        <w:rPr>
          <w:rFonts w:asciiTheme="majorHAnsi" w:hAnsiTheme="majorHAnsi" w:cstheme="majorHAnsi"/>
          <w:sz w:val="22"/>
          <w:szCs w:val="22"/>
          <w:vertAlign w:val="superscript"/>
        </w:rPr>
        <w:t xml:space="preserve"> </w:t>
      </w:r>
      <w:r w:rsidRPr="00AD2792" w:rsidR="00F73181">
        <w:rPr>
          <w:rFonts w:asciiTheme="majorHAnsi" w:hAnsiTheme="majorHAnsi" w:cstheme="majorHAnsi"/>
          <w:sz w:val="22"/>
          <w:szCs w:val="22"/>
        </w:rPr>
        <w:t xml:space="preserve"> t</w:t>
      </w:r>
      <w:r w:rsidRPr="00AD2792" w:rsidR="005E3ABB">
        <w:rPr>
          <w:rFonts w:asciiTheme="majorHAnsi" w:hAnsiTheme="majorHAnsi" w:cstheme="majorHAnsi"/>
          <w:sz w:val="22"/>
          <w:szCs w:val="22"/>
        </w:rPr>
        <w:t xml:space="preserve">he </w:t>
      </w:r>
      <w:r w:rsidRPr="00AD2792" w:rsidR="003F193F">
        <w:rPr>
          <w:rFonts w:asciiTheme="majorHAnsi" w:hAnsiTheme="majorHAnsi" w:cstheme="majorHAnsi"/>
          <w:sz w:val="22"/>
          <w:szCs w:val="22"/>
        </w:rPr>
        <w:t>N</w:t>
      </w:r>
      <w:r w:rsidRPr="00AD2792" w:rsidR="005E3ABB">
        <w:rPr>
          <w:rFonts w:asciiTheme="majorHAnsi" w:hAnsiTheme="majorHAnsi" w:cstheme="majorHAnsi"/>
          <w:sz w:val="22"/>
          <w:szCs w:val="22"/>
        </w:rPr>
        <w:t xml:space="preserve">etherlands will </w:t>
      </w:r>
      <w:r w:rsidR="00190FD9">
        <w:rPr>
          <w:rFonts w:asciiTheme="majorHAnsi" w:hAnsiTheme="majorHAnsi" w:cstheme="majorHAnsi"/>
          <w:sz w:val="22"/>
          <w:szCs w:val="22"/>
        </w:rPr>
        <w:t xml:space="preserve">have to </w:t>
      </w:r>
      <w:r w:rsidRPr="00AD2792" w:rsidR="00570CB7">
        <w:rPr>
          <w:rFonts w:asciiTheme="majorHAnsi" w:hAnsiTheme="majorHAnsi" w:cstheme="majorHAnsi"/>
          <w:sz w:val="22"/>
          <w:szCs w:val="22"/>
        </w:rPr>
        <w:t>terminate its BITs with</w:t>
      </w:r>
      <w:r w:rsidR="00190FD9">
        <w:rPr>
          <w:rFonts w:asciiTheme="majorHAnsi" w:hAnsiTheme="majorHAnsi" w:cstheme="majorHAnsi"/>
          <w:sz w:val="22"/>
          <w:szCs w:val="22"/>
        </w:rPr>
        <w:t xml:space="preserve"> other</w:t>
      </w:r>
      <w:r w:rsidRPr="00AD2792" w:rsidR="00570CB7">
        <w:rPr>
          <w:rFonts w:asciiTheme="majorHAnsi" w:hAnsiTheme="majorHAnsi" w:cstheme="majorHAnsi"/>
          <w:sz w:val="22"/>
          <w:szCs w:val="22"/>
        </w:rPr>
        <w:t xml:space="preserve"> EU Member States.</w:t>
      </w:r>
      <w:r w:rsidRPr="00AD2792" w:rsidR="00825E3A">
        <w:rPr>
          <w:rFonts w:asciiTheme="majorHAnsi" w:hAnsiTheme="majorHAnsi" w:cstheme="majorHAnsi"/>
          <w:sz w:val="22"/>
          <w:szCs w:val="22"/>
        </w:rPr>
        <w:t xml:space="preserve"> </w:t>
      </w:r>
    </w:p>
    <w:p w:rsidRPr="00AD2792" w:rsidR="00F150CC" w:rsidP="00DC6FA6" w:rsidRDefault="00F150CC">
      <w:pPr>
        <w:jc w:val="both"/>
        <w:rPr>
          <w:rFonts w:asciiTheme="majorHAnsi" w:hAnsiTheme="majorHAnsi" w:cstheme="majorHAnsi"/>
          <w:sz w:val="22"/>
          <w:szCs w:val="22"/>
        </w:rPr>
      </w:pPr>
    </w:p>
    <w:p w:rsidRPr="00AD2792" w:rsidR="00453412" w:rsidP="00DC6FA6" w:rsidRDefault="009A5783">
      <w:pPr>
        <w:jc w:val="both"/>
        <w:rPr>
          <w:rFonts w:eastAsia="Calibri" w:asciiTheme="majorHAnsi" w:hAnsiTheme="majorHAnsi" w:cstheme="majorHAnsi"/>
          <w:sz w:val="22"/>
          <w:szCs w:val="22"/>
        </w:rPr>
      </w:pPr>
      <w:r w:rsidRPr="00AD2792">
        <w:rPr>
          <w:rFonts w:asciiTheme="majorHAnsi" w:hAnsiTheme="majorHAnsi" w:cstheme="majorHAnsi"/>
          <w:i/>
          <w:sz w:val="22"/>
          <w:szCs w:val="22"/>
        </w:rPr>
        <w:lastRenderedPageBreak/>
        <w:t>Firstly</w:t>
      </w:r>
      <w:r w:rsidRPr="00AD2792">
        <w:rPr>
          <w:rFonts w:asciiTheme="majorHAnsi" w:hAnsiTheme="majorHAnsi" w:cstheme="majorHAnsi"/>
          <w:sz w:val="22"/>
          <w:szCs w:val="22"/>
        </w:rPr>
        <w:t xml:space="preserve">, we welcome the inclusion of the provision on </w:t>
      </w:r>
      <w:r w:rsidR="000A6046">
        <w:rPr>
          <w:rFonts w:asciiTheme="majorHAnsi" w:hAnsiTheme="majorHAnsi" w:cstheme="majorHAnsi"/>
          <w:sz w:val="22"/>
          <w:szCs w:val="22"/>
        </w:rPr>
        <w:t>‘</w:t>
      </w:r>
      <w:r w:rsidRPr="00AD2792">
        <w:rPr>
          <w:rFonts w:asciiTheme="majorHAnsi" w:hAnsiTheme="majorHAnsi" w:cstheme="majorHAnsi"/>
          <w:sz w:val="22"/>
          <w:szCs w:val="22"/>
        </w:rPr>
        <w:t>the state’s right to regulate</w:t>
      </w:r>
      <w:r w:rsidR="000A6046">
        <w:rPr>
          <w:rFonts w:asciiTheme="majorHAnsi" w:hAnsiTheme="majorHAnsi" w:cstheme="majorHAnsi"/>
          <w:sz w:val="22"/>
          <w:szCs w:val="22"/>
        </w:rPr>
        <w:t>’</w:t>
      </w:r>
      <w:r w:rsidRPr="00AD2792">
        <w:rPr>
          <w:rFonts w:asciiTheme="majorHAnsi" w:hAnsiTheme="majorHAnsi" w:cstheme="majorHAnsi"/>
          <w:sz w:val="22"/>
          <w:szCs w:val="22"/>
        </w:rPr>
        <w:t xml:space="preserve"> in Article 2(2) of </w:t>
      </w:r>
      <w:r w:rsidRPr="00AD2792" w:rsidR="008C05F8">
        <w:rPr>
          <w:rFonts w:asciiTheme="majorHAnsi" w:hAnsiTheme="majorHAnsi" w:cstheme="majorHAnsi"/>
          <w:sz w:val="22"/>
          <w:szCs w:val="22"/>
        </w:rPr>
        <w:t xml:space="preserve">the </w:t>
      </w:r>
      <w:r w:rsidRPr="00AD2792">
        <w:rPr>
          <w:rFonts w:asciiTheme="majorHAnsi" w:hAnsiTheme="majorHAnsi" w:cstheme="majorHAnsi"/>
          <w:sz w:val="22"/>
          <w:szCs w:val="22"/>
        </w:rPr>
        <w:t>DMIA.</w:t>
      </w:r>
      <w:r w:rsidRPr="00AD2792" w:rsidR="00BC6418">
        <w:rPr>
          <w:rFonts w:asciiTheme="majorHAnsi" w:hAnsiTheme="majorHAnsi" w:cstheme="majorHAnsi"/>
          <w:sz w:val="22"/>
          <w:szCs w:val="22"/>
        </w:rPr>
        <w:t xml:space="preserve"> </w:t>
      </w:r>
      <w:r w:rsidR="00A63428">
        <w:rPr>
          <w:rFonts w:asciiTheme="majorHAnsi" w:hAnsiTheme="majorHAnsi" w:cstheme="majorHAnsi"/>
          <w:sz w:val="22"/>
          <w:szCs w:val="22"/>
        </w:rPr>
        <w:t xml:space="preserve">Making </w:t>
      </w:r>
      <w:r w:rsidRPr="00AD2792" w:rsidR="003D0FEC">
        <w:rPr>
          <w:rFonts w:asciiTheme="majorHAnsi" w:hAnsiTheme="majorHAnsi" w:cstheme="majorHAnsi"/>
          <w:sz w:val="22"/>
          <w:szCs w:val="22"/>
        </w:rPr>
        <w:t>the right to regulate</w:t>
      </w:r>
      <w:r w:rsidR="00A63428">
        <w:rPr>
          <w:rFonts w:asciiTheme="majorHAnsi" w:hAnsiTheme="majorHAnsi" w:cstheme="majorHAnsi"/>
          <w:sz w:val="22"/>
          <w:szCs w:val="22"/>
        </w:rPr>
        <w:t xml:space="preserve"> explicit</w:t>
      </w:r>
      <w:r w:rsidRPr="00AD2792" w:rsidR="003D0FEC">
        <w:rPr>
          <w:rFonts w:asciiTheme="majorHAnsi" w:hAnsiTheme="majorHAnsi" w:cstheme="majorHAnsi"/>
          <w:sz w:val="22"/>
          <w:szCs w:val="22"/>
        </w:rPr>
        <w:t xml:space="preserve"> in the body of an investment agreement</w:t>
      </w:r>
      <w:r w:rsidRPr="00AD2792" w:rsidR="00F150CC">
        <w:rPr>
          <w:rFonts w:asciiTheme="majorHAnsi" w:hAnsiTheme="majorHAnsi" w:cstheme="majorHAnsi"/>
          <w:sz w:val="22"/>
          <w:szCs w:val="22"/>
        </w:rPr>
        <w:t>,</w:t>
      </w:r>
      <w:r w:rsidRPr="00AD2792" w:rsidR="003D0FEC">
        <w:rPr>
          <w:rFonts w:asciiTheme="majorHAnsi" w:hAnsiTheme="majorHAnsi" w:cstheme="majorHAnsi"/>
          <w:sz w:val="22"/>
          <w:szCs w:val="22"/>
        </w:rPr>
        <w:t xml:space="preserve"> as has been also done in </w:t>
      </w:r>
      <w:r w:rsidRPr="00AD2792" w:rsidR="003D0FEC">
        <w:rPr>
          <w:rFonts w:eastAsia="Calibri" w:asciiTheme="majorHAnsi" w:hAnsiTheme="majorHAnsi" w:cstheme="majorHAnsi"/>
          <w:sz w:val="22"/>
          <w:szCs w:val="22"/>
        </w:rPr>
        <w:t>the agreements between the EU and Canada (CETA),</w:t>
      </w:r>
      <w:r w:rsidRPr="00AD2792" w:rsidR="003D0FEC">
        <w:rPr>
          <w:rFonts w:eastAsia="Calibri" w:asciiTheme="majorHAnsi" w:hAnsiTheme="majorHAnsi" w:cstheme="majorHAnsi"/>
          <w:sz w:val="22"/>
          <w:szCs w:val="22"/>
          <w:vertAlign w:val="superscript"/>
        </w:rPr>
        <w:footnoteReference w:id="6"/>
      </w:r>
      <w:r w:rsidRPr="00AD2792" w:rsidR="003D0FEC">
        <w:rPr>
          <w:rFonts w:eastAsia="Calibri" w:asciiTheme="majorHAnsi" w:hAnsiTheme="majorHAnsi" w:cstheme="majorHAnsi"/>
          <w:sz w:val="22"/>
          <w:szCs w:val="22"/>
        </w:rPr>
        <w:t xml:space="preserve"> </w:t>
      </w:r>
      <w:bookmarkStart w:name="_Hlk511650008" w:id="0"/>
      <w:r w:rsidRPr="00AD2792" w:rsidR="003D0FEC">
        <w:rPr>
          <w:rFonts w:eastAsia="Calibri" w:asciiTheme="majorHAnsi" w:hAnsiTheme="majorHAnsi" w:cstheme="majorHAnsi"/>
          <w:sz w:val="22"/>
          <w:szCs w:val="22"/>
        </w:rPr>
        <w:t>the EU and Vietnam,</w:t>
      </w:r>
      <w:r w:rsidRPr="00AD2792" w:rsidR="003D0FEC">
        <w:rPr>
          <w:rFonts w:eastAsia="Calibri" w:asciiTheme="majorHAnsi" w:hAnsiTheme="majorHAnsi" w:cstheme="majorHAnsi"/>
          <w:sz w:val="22"/>
          <w:szCs w:val="22"/>
          <w:vertAlign w:val="superscript"/>
        </w:rPr>
        <w:footnoteReference w:id="7"/>
      </w:r>
      <w:r w:rsidRPr="00AD2792" w:rsidR="003D0FEC">
        <w:rPr>
          <w:rFonts w:eastAsia="Calibri" w:asciiTheme="majorHAnsi" w:hAnsiTheme="majorHAnsi" w:cstheme="majorHAnsi"/>
          <w:sz w:val="22"/>
          <w:szCs w:val="22"/>
        </w:rPr>
        <w:t xml:space="preserve"> and the EU and Singapore</w:t>
      </w:r>
      <w:r w:rsidRPr="00AD2792" w:rsidR="00F150CC">
        <w:rPr>
          <w:rFonts w:eastAsia="Calibri" w:asciiTheme="majorHAnsi" w:hAnsiTheme="majorHAnsi" w:cstheme="majorHAnsi"/>
          <w:sz w:val="22"/>
          <w:szCs w:val="22"/>
        </w:rPr>
        <w:t>,</w:t>
      </w:r>
      <w:r w:rsidRPr="00AD2792" w:rsidR="003D0FEC">
        <w:rPr>
          <w:rFonts w:eastAsia="Calibri" w:asciiTheme="majorHAnsi" w:hAnsiTheme="majorHAnsi" w:cstheme="majorHAnsi"/>
          <w:sz w:val="22"/>
          <w:szCs w:val="22"/>
          <w:vertAlign w:val="superscript"/>
        </w:rPr>
        <w:footnoteReference w:id="8"/>
      </w:r>
      <w:bookmarkEnd w:id="0"/>
      <w:r w:rsidRPr="00AD2792" w:rsidR="003D0FEC">
        <w:rPr>
          <w:rFonts w:eastAsia="Calibri" w:asciiTheme="majorHAnsi" w:hAnsiTheme="majorHAnsi" w:cstheme="majorHAnsi"/>
          <w:sz w:val="22"/>
          <w:szCs w:val="22"/>
        </w:rPr>
        <w:t xml:space="preserve"> </w:t>
      </w:r>
      <w:r w:rsidRPr="00AD2792" w:rsidR="003D0FEC">
        <w:rPr>
          <w:rFonts w:asciiTheme="majorHAnsi" w:hAnsiTheme="majorHAnsi" w:cstheme="majorHAnsi"/>
          <w:sz w:val="22"/>
          <w:szCs w:val="22"/>
        </w:rPr>
        <w:t>constitutes a strong sign that, in the opinion of the contracting states, the role of</w:t>
      </w:r>
      <w:r w:rsidR="000A6046">
        <w:rPr>
          <w:rFonts w:asciiTheme="majorHAnsi" w:hAnsiTheme="majorHAnsi" w:cstheme="majorHAnsi"/>
          <w:sz w:val="22"/>
          <w:szCs w:val="22"/>
        </w:rPr>
        <w:t xml:space="preserve"> </w:t>
      </w:r>
      <w:r w:rsidRPr="00AD2792" w:rsidR="003D0FEC">
        <w:rPr>
          <w:rFonts w:asciiTheme="majorHAnsi" w:hAnsiTheme="majorHAnsi" w:cstheme="majorHAnsi"/>
          <w:sz w:val="22"/>
          <w:szCs w:val="22"/>
        </w:rPr>
        <w:t xml:space="preserve">tribunals </w:t>
      </w:r>
      <w:r w:rsidR="000A6046">
        <w:rPr>
          <w:rFonts w:asciiTheme="majorHAnsi" w:hAnsiTheme="majorHAnsi" w:cstheme="majorHAnsi"/>
          <w:sz w:val="22"/>
          <w:szCs w:val="22"/>
        </w:rPr>
        <w:t xml:space="preserve">in solving </w:t>
      </w:r>
      <w:r w:rsidR="001D4A0A">
        <w:rPr>
          <w:rFonts w:asciiTheme="majorHAnsi" w:hAnsiTheme="majorHAnsi" w:cstheme="majorHAnsi"/>
          <w:sz w:val="22"/>
          <w:szCs w:val="22"/>
        </w:rPr>
        <w:t xml:space="preserve">any future </w:t>
      </w:r>
      <w:r w:rsidR="000A6046">
        <w:rPr>
          <w:rFonts w:asciiTheme="majorHAnsi" w:hAnsiTheme="majorHAnsi" w:cstheme="majorHAnsi"/>
          <w:sz w:val="22"/>
          <w:szCs w:val="22"/>
        </w:rPr>
        <w:t xml:space="preserve">international investment disputes </w:t>
      </w:r>
      <w:r w:rsidRPr="00AD2792" w:rsidR="003D0FEC">
        <w:rPr>
          <w:rFonts w:asciiTheme="majorHAnsi" w:hAnsiTheme="majorHAnsi" w:cstheme="majorHAnsi"/>
          <w:sz w:val="22"/>
          <w:szCs w:val="22"/>
        </w:rPr>
        <w:t xml:space="preserve">is to balance the </w:t>
      </w:r>
      <w:r w:rsidR="00F44CCB">
        <w:rPr>
          <w:rFonts w:asciiTheme="majorHAnsi" w:hAnsiTheme="majorHAnsi" w:cstheme="majorHAnsi"/>
          <w:sz w:val="22"/>
          <w:szCs w:val="22"/>
        </w:rPr>
        <w:t xml:space="preserve">host </w:t>
      </w:r>
      <w:r w:rsidRPr="00AD2792" w:rsidR="003D0FEC">
        <w:rPr>
          <w:rFonts w:asciiTheme="majorHAnsi" w:hAnsiTheme="majorHAnsi" w:cstheme="majorHAnsi"/>
          <w:sz w:val="22"/>
          <w:szCs w:val="22"/>
        </w:rPr>
        <w:t xml:space="preserve">state’s public interests </w:t>
      </w:r>
      <w:r w:rsidR="00F44CCB">
        <w:rPr>
          <w:rFonts w:asciiTheme="majorHAnsi" w:hAnsiTheme="majorHAnsi" w:cstheme="majorHAnsi"/>
          <w:sz w:val="22"/>
          <w:szCs w:val="22"/>
        </w:rPr>
        <w:t>with</w:t>
      </w:r>
      <w:r w:rsidRPr="00AD2792" w:rsidR="003D0FEC">
        <w:rPr>
          <w:rFonts w:asciiTheme="majorHAnsi" w:hAnsiTheme="majorHAnsi" w:cstheme="majorHAnsi"/>
          <w:sz w:val="22"/>
          <w:szCs w:val="22"/>
        </w:rPr>
        <w:t xml:space="preserve"> the interests of the investor when interpreting and applying the provisions of the applicable investment agreement.</w:t>
      </w:r>
      <w:r w:rsidRPr="00AD2792" w:rsidR="007B4EAB">
        <w:rPr>
          <w:rFonts w:asciiTheme="majorHAnsi" w:hAnsiTheme="majorHAnsi" w:cstheme="majorHAnsi"/>
          <w:sz w:val="22"/>
          <w:szCs w:val="22"/>
        </w:rPr>
        <w:t xml:space="preserve"> </w:t>
      </w:r>
      <w:r w:rsidRPr="00AD2792" w:rsidR="002D5346">
        <w:rPr>
          <w:rFonts w:asciiTheme="majorHAnsi" w:hAnsiTheme="majorHAnsi" w:cstheme="majorHAnsi"/>
          <w:sz w:val="22"/>
          <w:szCs w:val="22"/>
        </w:rPr>
        <w:t xml:space="preserve">Moreover, in this same </w:t>
      </w:r>
      <w:r w:rsidR="00F44CCB">
        <w:rPr>
          <w:rFonts w:asciiTheme="majorHAnsi" w:hAnsiTheme="majorHAnsi" w:cstheme="majorHAnsi"/>
          <w:sz w:val="22"/>
          <w:szCs w:val="22"/>
        </w:rPr>
        <w:t>A</w:t>
      </w:r>
      <w:r w:rsidRPr="00AD2792" w:rsidR="002D5346">
        <w:rPr>
          <w:rFonts w:asciiTheme="majorHAnsi" w:hAnsiTheme="majorHAnsi" w:cstheme="majorHAnsi"/>
          <w:sz w:val="22"/>
          <w:szCs w:val="22"/>
        </w:rPr>
        <w:t xml:space="preserve">rticle, it is made clear that each contracting </w:t>
      </w:r>
      <w:r w:rsidR="00C677FB">
        <w:rPr>
          <w:rFonts w:asciiTheme="majorHAnsi" w:hAnsiTheme="majorHAnsi" w:cstheme="majorHAnsi"/>
          <w:sz w:val="22"/>
          <w:szCs w:val="22"/>
        </w:rPr>
        <w:t>s</w:t>
      </w:r>
      <w:r w:rsidRPr="00AD2792" w:rsidR="002D5346">
        <w:rPr>
          <w:rFonts w:asciiTheme="majorHAnsi" w:hAnsiTheme="majorHAnsi" w:cstheme="majorHAnsi"/>
          <w:sz w:val="22"/>
          <w:szCs w:val="22"/>
        </w:rPr>
        <w:t xml:space="preserve">tate also has to fulfil </w:t>
      </w:r>
      <w:r w:rsidRPr="00AD2792" w:rsidR="00734A34">
        <w:rPr>
          <w:rFonts w:asciiTheme="majorHAnsi" w:hAnsiTheme="majorHAnsi" w:cstheme="majorHAnsi"/>
          <w:sz w:val="22"/>
          <w:szCs w:val="22"/>
        </w:rPr>
        <w:t xml:space="preserve">legitimate policy objectives other than ensuring investors’ protection. The following policy </w:t>
      </w:r>
      <w:r w:rsidRPr="00AD2792" w:rsidR="00734A34">
        <w:rPr>
          <w:rFonts w:eastAsia="Calibri" w:asciiTheme="majorHAnsi" w:hAnsiTheme="majorHAnsi" w:cstheme="majorHAnsi"/>
          <w:sz w:val="22"/>
          <w:szCs w:val="22"/>
        </w:rPr>
        <w:t xml:space="preserve">areas are </w:t>
      </w:r>
      <w:r w:rsidRPr="00AD2792" w:rsidR="00D615AC">
        <w:rPr>
          <w:rFonts w:eastAsia="Calibri" w:asciiTheme="majorHAnsi" w:hAnsiTheme="majorHAnsi" w:cstheme="majorHAnsi"/>
          <w:sz w:val="22"/>
          <w:szCs w:val="22"/>
        </w:rPr>
        <w:t>mentioned: “</w:t>
      </w:r>
      <w:r w:rsidRPr="00AD2792" w:rsidR="00453412">
        <w:rPr>
          <w:rFonts w:eastAsia="Calibri" w:asciiTheme="majorHAnsi" w:hAnsiTheme="majorHAnsi" w:cstheme="majorHAnsi"/>
          <w:sz w:val="22"/>
          <w:szCs w:val="22"/>
        </w:rPr>
        <w:t>the protection of public health, safety, environment, public</w:t>
      </w:r>
      <w:r w:rsidRPr="00AD2792" w:rsidR="00B026A7">
        <w:rPr>
          <w:rFonts w:eastAsia="Calibri" w:asciiTheme="majorHAnsi" w:hAnsiTheme="majorHAnsi" w:cstheme="majorHAnsi"/>
          <w:sz w:val="22"/>
          <w:szCs w:val="22"/>
        </w:rPr>
        <w:t xml:space="preserve"> </w:t>
      </w:r>
      <w:r w:rsidRPr="00AD2792" w:rsidR="00453412">
        <w:rPr>
          <w:rFonts w:eastAsia="Calibri" w:asciiTheme="majorHAnsi" w:hAnsiTheme="majorHAnsi" w:cstheme="majorHAnsi"/>
          <w:sz w:val="22"/>
          <w:szCs w:val="22"/>
        </w:rPr>
        <w:t>morals, labor rights, animal welfare, social or consumer protection or for</w:t>
      </w:r>
      <w:r w:rsidRPr="00AD2792" w:rsidR="00B026A7">
        <w:rPr>
          <w:rFonts w:eastAsia="Calibri" w:asciiTheme="majorHAnsi" w:hAnsiTheme="majorHAnsi" w:cstheme="majorHAnsi"/>
          <w:sz w:val="22"/>
          <w:szCs w:val="22"/>
        </w:rPr>
        <w:t xml:space="preserve"> </w:t>
      </w:r>
      <w:r w:rsidRPr="00AD2792" w:rsidR="008C05F8">
        <w:rPr>
          <w:rFonts w:eastAsia="Calibri" w:asciiTheme="majorHAnsi" w:hAnsiTheme="majorHAnsi" w:cstheme="majorHAnsi"/>
          <w:sz w:val="22"/>
          <w:szCs w:val="22"/>
        </w:rPr>
        <w:t>prudential-</w:t>
      </w:r>
      <w:r w:rsidRPr="00AD2792" w:rsidR="00453412">
        <w:rPr>
          <w:rFonts w:eastAsia="Calibri" w:asciiTheme="majorHAnsi" w:hAnsiTheme="majorHAnsi" w:cstheme="majorHAnsi"/>
          <w:sz w:val="22"/>
          <w:szCs w:val="22"/>
        </w:rPr>
        <w:t>financial reasons.</w:t>
      </w:r>
      <w:r w:rsidRPr="00AD2792" w:rsidR="00B026A7">
        <w:rPr>
          <w:rFonts w:eastAsia="Calibri" w:asciiTheme="majorHAnsi" w:hAnsiTheme="majorHAnsi" w:cstheme="majorHAnsi"/>
          <w:sz w:val="22"/>
          <w:szCs w:val="22"/>
        </w:rPr>
        <w:t xml:space="preserve">” This is in line with recent </w:t>
      </w:r>
      <w:r w:rsidR="003F59FE">
        <w:rPr>
          <w:rFonts w:eastAsia="Calibri" w:asciiTheme="majorHAnsi" w:hAnsiTheme="majorHAnsi" w:cstheme="majorHAnsi"/>
          <w:sz w:val="22"/>
          <w:szCs w:val="22"/>
        </w:rPr>
        <w:t xml:space="preserve">case law in </w:t>
      </w:r>
      <w:r w:rsidR="00F44CCB">
        <w:rPr>
          <w:rFonts w:eastAsia="Calibri" w:asciiTheme="majorHAnsi" w:hAnsiTheme="majorHAnsi" w:cstheme="majorHAnsi"/>
          <w:sz w:val="22"/>
          <w:szCs w:val="22"/>
        </w:rPr>
        <w:t xml:space="preserve">international investment </w:t>
      </w:r>
      <w:r w:rsidR="003F59FE">
        <w:rPr>
          <w:rFonts w:eastAsia="Calibri" w:asciiTheme="majorHAnsi" w:hAnsiTheme="majorHAnsi" w:cstheme="majorHAnsi"/>
          <w:sz w:val="22"/>
          <w:szCs w:val="22"/>
        </w:rPr>
        <w:t>disputes</w:t>
      </w:r>
      <w:r w:rsidRPr="00AD2792" w:rsidR="00B026A7">
        <w:rPr>
          <w:rFonts w:eastAsia="Calibri" w:asciiTheme="majorHAnsi" w:hAnsiTheme="majorHAnsi" w:cstheme="majorHAnsi"/>
          <w:sz w:val="22"/>
          <w:szCs w:val="22"/>
        </w:rPr>
        <w:t xml:space="preserve"> and </w:t>
      </w:r>
      <w:r w:rsidRPr="00AD2792" w:rsidR="00F5277B">
        <w:rPr>
          <w:rFonts w:eastAsia="Calibri" w:asciiTheme="majorHAnsi" w:hAnsiTheme="majorHAnsi" w:cstheme="majorHAnsi"/>
          <w:sz w:val="22"/>
          <w:szCs w:val="22"/>
        </w:rPr>
        <w:t>p</w:t>
      </w:r>
      <w:r w:rsidR="00F5277B">
        <w:rPr>
          <w:rFonts w:eastAsia="Calibri" w:asciiTheme="majorHAnsi" w:hAnsiTheme="majorHAnsi" w:cstheme="majorHAnsi"/>
          <w:sz w:val="22"/>
          <w:szCs w:val="22"/>
        </w:rPr>
        <w:t>laces</w:t>
      </w:r>
      <w:r w:rsidRPr="00AD2792" w:rsidR="00F5277B">
        <w:rPr>
          <w:rFonts w:eastAsia="Calibri" w:asciiTheme="majorHAnsi" w:hAnsiTheme="majorHAnsi" w:cstheme="majorHAnsi"/>
          <w:sz w:val="22"/>
          <w:szCs w:val="22"/>
        </w:rPr>
        <w:t xml:space="preserve"> </w:t>
      </w:r>
      <w:r w:rsidRPr="00AD2792" w:rsidR="0084497D">
        <w:rPr>
          <w:rFonts w:eastAsia="Calibri" w:asciiTheme="majorHAnsi" w:hAnsiTheme="majorHAnsi" w:cstheme="majorHAnsi"/>
          <w:sz w:val="22"/>
          <w:szCs w:val="22"/>
        </w:rPr>
        <w:t xml:space="preserve">these type of </w:t>
      </w:r>
      <w:r w:rsidRPr="00AD2792" w:rsidR="00F12180">
        <w:rPr>
          <w:rFonts w:eastAsia="Calibri" w:asciiTheme="majorHAnsi" w:hAnsiTheme="majorHAnsi" w:cstheme="majorHAnsi"/>
          <w:sz w:val="22"/>
          <w:szCs w:val="22"/>
        </w:rPr>
        <w:t xml:space="preserve">treaties in </w:t>
      </w:r>
      <w:r w:rsidR="00FE2FD2">
        <w:rPr>
          <w:rFonts w:eastAsia="Calibri" w:asciiTheme="majorHAnsi" w:hAnsiTheme="majorHAnsi" w:cstheme="majorHAnsi"/>
          <w:sz w:val="22"/>
          <w:szCs w:val="22"/>
        </w:rPr>
        <w:t xml:space="preserve">a broader </w:t>
      </w:r>
      <w:r w:rsidRPr="00AD2792" w:rsidR="00F12180">
        <w:rPr>
          <w:rFonts w:eastAsia="Calibri" w:asciiTheme="majorHAnsi" w:hAnsiTheme="majorHAnsi" w:cstheme="majorHAnsi"/>
          <w:sz w:val="22"/>
          <w:szCs w:val="22"/>
        </w:rPr>
        <w:t>perspective</w:t>
      </w:r>
      <w:r w:rsidR="00FE2FD2">
        <w:rPr>
          <w:rFonts w:eastAsia="Calibri" w:asciiTheme="majorHAnsi" w:hAnsiTheme="majorHAnsi" w:cstheme="majorHAnsi"/>
          <w:sz w:val="22"/>
          <w:szCs w:val="22"/>
        </w:rPr>
        <w:t>.</w:t>
      </w:r>
      <w:r w:rsidRPr="00AD2792" w:rsidR="00F12180">
        <w:rPr>
          <w:rFonts w:eastAsia="Calibri" w:asciiTheme="majorHAnsi" w:hAnsiTheme="majorHAnsi" w:cstheme="majorHAnsi"/>
          <w:sz w:val="22"/>
          <w:szCs w:val="22"/>
        </w:rPr>
        <w:t xml:space="preserve"> </w:t>
      </w:r>
      <w:r w:rsidR="00FE2FD2">
        <w:rPr>
          <w:rFonts w:eastAsia="Calibri" w:asciiTheme="majorHAnsi" w:hAnsiTheme="majorHAnsi" w:cstheme="majorHAnsi"/>
          <w:sz w:val="22"/>
          <w:szCs w:val="22"/>
        </w:rPr>
        <w:t xml:space="preserve">That is, that host states also have </w:t>
      </w:r>
      <w:r w:rsidRPr="00AD2792" w:rsidR="00F12180">
        <w:rPr>
          <w:rFonts w:eastAsia="Calibri" w:asciiTheme="majorHAnsi" w:hAnsiTheme="majorHAnsi" w:cstheme="majorHAnsi"/>
          <w:sz w:val="22"/>
          <w:szCs w:val="22"/>
        </w:rPr>
        <w:t>other obligations</w:t>
      </w:r>
      <w:r w:rsidR="00FE2FD2">
        <w:rPr>
          <w:rFonts w:eastAsia="Calibri" w:asciiTheme="majorHAnsi" w:hAnsiTheme="majorHAnsi" w:cstheme="majorHAnsi"/>
          <w:sz w:val="22"/>
          <w:szCs w:val="22"/>
        </w:rPr>
        <w:t xml:space="preserve"> to fulfil</w:t>
      </w:r>
      <w:r w:rsidRPr="00AD2792" w:rsidR="00AB5777">
        <w:rPr>
          <w:rFonts w:eastAsia="Calibri" w:asciiTheme="majorHAnsi" w:hAnsiTheme="majorHAnsi" w:cstheme="majorHAnsi"/>
          <w:sz w:val="22"/>
          <w:szCs w:val="22"/>
        </w:rPr>
        <w:t xml:space="preserve">, </w:t>
      </w:r>
      <w:r w:rsidRPr="00AD2792" w:rsidR="00F12180">
        <w:rPr>
          <w:rFonts w:eastAsia="Calibri" w:asciiTheme="majorHAnsi" w:hAnsiTheme="majorHAnsi" w:cstheme="majorHAnsi"/>
          <w:sz w:val="22"/>
          <w:szCs w:val="22"/>
        </w:rPr>
        <w:t xml:space="preserve">among other pursuant to international human rights </w:t>
      </w:r>
      <w:r w:rsidR="00FE2FD2">
        <w:rPr>
          <w:rFonts w:eastAsia="Calibri" w:asciiTheme="majorHAnsi" w:hAnsiTheme="majorHAnsi" w:cstheme="majorHAnsi"/>
          <w:sz w:val="22"/>
          <w:szCs w:val="22"/>
        </w:rPr>
        <w:t>treaties, international labour organisation’s conventions</w:t>
      </w:r>
      <w:r w:rsidR="00743A68">
        <w:rPr>
          <w:rFonts w:eastAsia="Calibri" w:asciiTheme="majorHAnsi" w:hAnsiTheme="majorHAnsi" w:cstheme="majorHAnsi"/>
          <w:sz w:val="22"/>
          <w:szCs w:val="22"/>
        </w:rPr>
        <w:t xml:space="preserve"> (ILO)</w:t>
      </w:r>
      <w:r w:rsidR="00FE2FD2">
        <w:rPr>
          <w:rFonts w:eastAsia="Calibri" w:asciiTheme="majorHAnsi" w:hAnsiTheme="majorHAnsi" w:cstheme="majorHAnsi"/>
          <w:sz w:val="22"/>
          <w:szCs w:val="22"/>
        </w:rPr>
        <w:t xml:space="preserve">, </w:t>
      </w:r>
      <w:r w:rsidRPr="00AD2792" w:rsidR="00F12180">
        <w:rPr>
          <w:rFonts w:eastAsia="Calibri" w:asciiTheme="majorHAnsi" w:hAnsiTheme="majorHAnsi" w:cstheme="majorHAnsi"/>
          <w:sz w:val="22"/>
          <w:szCs w:val="22"/>
        </w:rPr>
        <w:t xml:space="preserve">and environmental </w:t>
      </w:r>
      <w:r w:rsidRPr="00AD2792" w:rsidR="00760308">
        <w:rPr>
          <w:rFonts w:eastAsia="Calibri" w:asciiTheme="majorHAnsi" w:hAnsiTheme="majorHAnsi" w:cstheme="majorHAnsi"/>
          <w:sz w:val="22"/>
          <w:szCs w:val="22"/>
        </w:rPr>
        <w:t xml:space="preserve">protection </w:t>
      </w:r>
      <w:r w:rsidRPr="00AD2792" w:rsidR="00F12180">
        <w:rPr>
          <w:rFonts w:eastAsia="Calibri" w:asciiTheme="majorHAnsi" w:hAnsiTheme="majorHAnsi" w:cstheme="majorHAnsi"/>
          <w:sz w:val="22"/>
          <w:szCs w:val="22"/>
        </w:rPr>
        <w:t>treaties.</w:t>
      </w:r>
      <w:r w:rsidRPr="00AD2792" w:rsidR="0084497D">
        <w:rPr>
          <w:rFonts w:eastAsia="Calibri" w:asciiTheme="majorHAnsi" w:hAnsiTheme="majorHAnsi" w:cstheme="majorHAnsi"/>
          <w:sz w:val="22"/>
          <w:szCs w:val="22"/>
        </w:rPr>
        <w:t xml:space="preserve"> In that line, we also appreciate Article 6.5</w:t>
      </w:r>
      <w:r w:rsidR="00743A68">
        <w:rPr>
          <w:rFonts w:eastAsia="Calibri" w:asciiTheme="majorHAnsi" w:hAnsiTheme="majorHAnsi" w:cstheme="majorHAnsi"/>
          <w:sz w:val="22"/>
          <w:szCs w:val="22"/>
        </w:rPr>
        <w:t xml:space="preserve"> of the DMIA</w:t>
      </w:r>
      <w:r w:rsidRPr="00AD2792" w:rsidR="0084497D">
        <w:rPr>
          <w:rFonts w:eastAsia="Calibri" w:asciiTheme="majorHAnsi" w:hAnsiTheme="majorHAnsi" w:cstheme="majorHAnsi"/>
          <w:sz w:val="22"/>
          <w:szCs w:val="22"/>
        </w:rPr>
        <w:t xml:space="preserve">, in which Article the </w:t>
      </w:r>
      <w:r w:rsidR="00A63428">
        <w:rPr>
          <w:rFonts w:eastAsia="Calibri" w:asciiTheme="majorHAnsi" w:hAnsiTheme="majorHAnsi" w:cstheme="majorHAnsi"/>
          <w:sz w:val="22"/>
          <w:szCs w:val="22"/>
        </w:rPr>
        <w:t>c</w:t>
      </w:r>
      <w:r w:rsidRPr="00AD2792" w:rsidR="0084497D">
        <w:rPr>
          <w:rFonts w:eastAsia="Calibri" w:asciiTheme="majorHAnsi" w:hAnsiTheme="majorHAnsi" w:cstheme="majorHAnsi"/>
          <w:sz w:val="22"/>
          <w:szCs w:val="22"/>
        </w:rPr>
        <w:t xml:space="preserve">ontracting </w:t>
      </w:r>
      <w:r w:rsidR="00A63428">
        <w:rPr>
          <w:rFonts w:eastAsia="Calibri" w:asciiTheme="majorHAnsi" w:hAnsiTheme="majorHAnsi" w:cstheme="majorHAnsi"/>
          <w:sz w:val="22"/>
          <w:szCs w:val="22"/>
        </w:rPr>
        <w:t>p</w:t>
      </w:r>
      <w:r w:rsidRPr="00AD2792" w:rsidR="0084497D">
        <w:rPr>
          <w:rFonts w:eastAsia="Calibri" w:asciiTheme="majorHAnsi" w:hAnsiTheme="majorHAnsi" w:cstheme="majorHAnsi"/>
          <w:sz w:val="22"/>
          <w:szCs w:val="22"/>
        </w:rPr>
        <w:t xml:space="preserve">arties reaffirm their obligations under </w:t>
      </w:r>
      <w:r w:rsidRPr="00AD2792" w:rsidR="00AB5777">
        <w:rPr>
          <w:rFonts w:eastAsia="Calibri" w:asciiTheme="majorHAnsi" w:hAnsiTheme="majorHAnsi" w:cstheme="majorHAnsi"/>
          <w:sz w:val="22"/>
          <w:szCs w:val="22"/>
        </w:rPr>
        <w:t xml:space="preserve">international human rights, labour and environmental treaties. </w:t>
      </w:r>
    </w:p>
    <w:p w:rsidRPr="00AD2792" w:rsidR="00453412" w:rsidP="00DC6FA6" w:rsidRDefault="00453412">
      <w:pPr>
        <w:jc w:val="both"/>
        <w:rPr>
          <w:rFonts w:eastAsia="Calibri" w:asciiTheme="majorHAnsi" w:hAnsiTheme="majorHAnsi" w:cstheme="majorHAnsi"/>
          <w:sz w:val="22"/>
          <w:szCs w:val="22"/>
        </w:rPr>
      </w:pPr>
    </w:p>
    <w:p w:rsidRPr="00AD2792" w:rsidR="00744E51" w:rsidP="00DC6FA6" w:rsidRDefault="00744E51">
      <w:pPr>
        <w:jc w:val="both"/>
        <w:rPr>
          <w:rFonts w:eastAsia="Times New Roman" w:asciiTheme="majorHAnsi" w:hAnsiTheme="majorHAnsi" w:cstheme="majorHAnsi"/>
          <w:sz w:val="22"/>
          <w:szCs w:val="22"/>
          <w:lang w:val="en-US"/>
        </w:rPr>
      </w:pPr>
      <w:r w:rsidRPr="00AD2792">
        <w:rPr>
          <w:rFonts w:asciiTheme="majorHAnsi" w:hAnsiTheme="majorHAnsi" w:cstheme="majorHAnsi"/>
          <w:sz w:val="22"/>
          <w:szCs w:val="22"/>
        </w:rPr>
        <w:t xml:space="preserve">Article 2(2) </w:t>
      </w:r>
      <w:r w:rsidRPr="00AD2792" w:rsidR="008C05F8">
        <w:rPr>
          <w:rFonts w:asciiTheme="majorHAnsi" w:hAnsiTheme="majorHAnsi" w:cstheme="majorHAnsi"/>
          <w:sz w:val="22"/>
          <w:szCs w:val="22"/>
        </w:rPr>
        <w:t xml:space="preserve">of the </w:t>
      </w:r>
      <w:r w:rsidRPr="00AD2792" w:rsidR="00A92EF2">
        <w:rPr>
          <w:rFonts w:asciiTheme="majorHAnsi" w:hAnsiTheme="majorHAnsi" w:cstheme="majorHAnsi"/>
          <w:sz w:val="22"/>
          <w:szCs w:val="22"/>
        </w:rPr>
        <w:t xml:space="preserve">DMIA </w:t>
      </w:r>
      <w:r w:rsidRPr="00AD2792">
        <w:rPr>
          <w:rFonts w:asciiTheme="majorHAnsi" w:hAnsiTheme="majorHAnsi" w:cstheme="majorHAnsi"/>
          <w:sz w:val="22"/>
          <w:szCs w:val="22"/>
        </w:rPr>
        <w:t xml:space="preserve">also provides that </w:t>
      </w:r>
      <w:r w:rsidR="00F5277B">
        <w:rPr>
          <w:rFonts w:asciiTheme="majorHAnsi" w:hAnsiTheme="majorHAnsi" w:cstheme="majorHAnsi"/>
          <w:sz w:val="22"/>
          <w:szCs w:val="22"/>
        </w:rPr>
        <w:t xml:space="preserve">the </w:t>
      </w:r>
      <w:r w:rsidRPr="00AD2792">
        <w:rPr>
          <w:rFonts w:asciiTheme="majorHAnsi" w:hAnsiTheme="majorHAnsi" w:cstheme="majorHAnsi"/>
          <w:sz w:val="22"/>
          <w:szCs w:val="22"/>
        </w:rPr>
        <w:t>‘mere fact’ of a change to the regulatory framework</w:t>
      </w:r>
      <w:r w:rsidRPr="00AD2792" w:rsidR="00A92EF2">
        <w:rPr>
          <w:rFonts w:asciiTheme="majorHAnsi" w:hAnsiTheme="majorHAnsi" w:cstheme="majorHAnsi"/>
          <w:sz w:val="22"/>
          <w:szCs w:val="22"/>
        </w:rPr>
        <w:t xml:space="preserve"> </w:t>
      </w:r>
      <w:proofErr w:type="spellStart"/>
      <w:r w:rsidRPr="00AD2792" w:rsidR="00A92EF2">
        <w:rPr>
          <w:rFonts w:asciiTheme="majorHAnsi" w:hAnsiTheme="majorHAnsi" w:cstheme="majorHAnsi"/>
          <w:sz w:val="22"/>
          <w:szCs w:val="22"/>
        </w:rPr>
        <w:t>i</w:t>
      </w:r>
      <w:proofErr w:type="spellEnd"/>
      <w:r w:rsidRPr="00AD2792" w:rsidR="00A92EF2">
        <w:rPr>
          <w:rFonts w:eastAsia="Times New Roman" w:asciiTheme="majorHAnsi" w:hAnsiTheme="majorHAnsi" w:cstheme="majorHAnsi"/>
          <w:sz w:val="22"/>
          <w:szCs w:val="22"/>
          <w:lang w:val="en-US"/>
        </w:rPr>
        <w:t>n a ‘manner which negatively affects an investment or interferes with an investor’s expectations’</w:t>
      </w:r>
      <w:r w:rsidRPr="00AD2792">
        <w:rPr>
          <w:rFonts w:asciiTheme="majorHAnsi" w:hAnsiTheme="majorHAnsi" w:cstheme="majorHAnsi"/>
          <w:sz w:val="22"/>
          <w:szCs w:val="22"/>
        </w:rPr>
        <w:t xml:space="preserve"> will not amount to a breach of investment obligations under the agreement. </w:t>
      </w:r>
      <w:r w:rsidRPr="00AD2792" w:rsidR="00A92EF2">
        <w:rPr>
          <w:rFonts w:asciiTheme="majorHAnsi" w:hAnsiTheme="majorHAnsi" w:cstheme="majorHAnsi"/>
          <w:sz w:val="22"/>
          <w:szCs w:val="22"/>
        </w:rPr>
        <w:t xml:space="preserve">The goal of this provision is to diminish the possibility of claims on the basis of instability of a general regulatory framework that is often initiated by investors under the </w:t>
      </w:r>
      <w:r w:rsidR="00743A68">
        <w:rPr>
          <w:rFonts w:asciiTheme="majorHAnsi" w:hAnsiTheme="majorHAnsi" w:cstheme="majorHAnsi"/>
          <w:sz w:val="22"/>
          <w:szCs w:val="22"/>
        </w:rPr>
        <w:t>‘Fair and Equitable Treatment</w:t>
      </w:r>
      <w:r w:rsidR="00F5277B">
        <w:rPr>
          <w:rFonts w:asciiTheme="majorHAnsi" w:hAnsiTheme="majorHAnsi" w:cstheme="majorHAnsi"/>
          <w:sz w:val="22"/>
          <w:szCs w:val="22"/>
        </w:rPr>
        <w:t>’</w:t>
      </w:r>
      <w:r w:rsidR="00743A68">
        <w:rPr>
          <w:rFonts w:asciiTheme="majorHAnsi" w:hAnsiTheme="majorHAnsi" w:cstheme="majorHAnsi"/>
          <w:sz w:val="22"/>
          <w:szCs w:val="22"/>
        </w:rPr>
        <w:t xml:space="preserve"> </w:t>
      </w:r>
      <w:r w:rsidRPr="00AD2792" w:rsidR="00A92EF2">
        <w:rPr>
          <w:rFonts w:asciiTheme="majorHAnsi" w:hAnsiTheme="majorHAnsi" w:cstheme="majorHAnsi"/>
          <w:sz w:val="22"/>
          <w:szCs w:val="22"/>
        </w:rPr>
        <w:t>standard</w:t>
      </w:r>
      <w:r w:rsidR="00743A68">
        <w:rPr>
          <w:rFonts w:asciiTheme="majorHAnsi" w:hAnsiTheme="majorHAnsi" w:cstheme="majorHAnsi"/>
          <w:sz w:val="22"/>
          <w:szCs w:val="22"/>
        </w:rPr>
        <w:t xml:space="preserve"> (the FET standard)</w:t>
      </w:r>
      <w:r w:rsidRPr="00AD2792" w:rsidR="00A92EF2">
        <w:rPr>
          <w:rFonts w:asciiTheme="majorHAnsi" w:hAnsiTheme="majorHAnsi" w:cstheme="majorHAnsi"/>
          <w:sz w:val="22"/>
          <w:szCs w:val="22"/>
        </w:rPr>
        <w:t xml:space="preserve">. </w:t>
      </w:r>
      <w:r w:rsidRPr="00AD2792">
        <w:rPr>
          <w:rFonts w:asciiTheme="majorHAnsi" w:hAnsiTheme="majorHAnsi" w:cstheme="majorHAnsi"/>
          <w:sz w:val="22"/>
          <w:szCs w:val="22"/>
        </w:rPr>
        <w:t xml:space="preserve">In this regard, the </w:t>
      </w:r>
      <w:r w:rsidRPr="00AD2792" w:rsidR="00A92EF2">
        <w:rPr>
          <w:rFonts w:asciiTheme="majorHAnsi" w:hAnsiTheme="majorHAnsi" w:cstheme="majorHAnsi"/>
          <w:sz w:val="22"/>
          <w:szCs w:val="22"/>
        </w:rPr>
        <w:t>DMIA’s</w:t>
      </w:r>
      <w:r w:rsidRPr="00AD2792">
        <w:rPr>
          <w:rFonts w:asciiTheme="majorHAnsi" w:hAnsiTheme="majorHAnsi" w:cstheme="majorHAnsi"/>
          <w:sz w:val="22"/>
          <w:szCs w:val="22"/>
        </w:rPr>
        <w:t xml:space="preserve"> formulation </w:t>
      </w:r>
      <w:r w:rsidRPr="00AD2792">
        <w:rPr>
          <w:rFonts w:eastAsia="Calibri" w:asciiTheme="majorHAnsi" w:hAnsiTheme="majorHAnsi" w:cstheme="majorHAnsi"/>
          <w:sz w:val="22"/>
          <w:szCs w:val="22"/>
        </w:rPr>
        <w:t>does not, however, exclude the possibility that in combination with other facts, e.g. manifest arbitrariness</w:t>
      </w:r>
      <w:r w:rsidRPr="00AD2792" w:rsidR="00A92EF2">
        <w:rPr>
          <w:rFonts w:eastAsia="Calibri" w:asciiTheme="majorHAnsi" w:hAnsiTheme="majorHAnsi" w:cstheme="majorHAnsi"/>
          <w:sz w:val="22"/>
          <w:szCs w:val="22"/>
        </w:rPr>
        <w:t xml:space="preserve"> (Article 9(2)(c)</w:t>
      </w:r>
      <w:r w:rsidRPr="00AD2792" w:rsidR="003B0E60">
        <w:rPr>
          <w:rFonts w:eastAsia="Calibri" w:asciiTheme="majorHAnsi" w:hAnsiTheme="majorHAnsi" w:cstheme="majorHAnsi"/>
          <w:sz w:val="22"/>
          <w:szCs w:val="22"/>
        </w:rPr>
        <w:t xml:space="preserve"> DMIA</w:t>
      </w:r>
      <w:r w:rsidRPr="00AD2792" w:rsidR="00A92EF2">
        <w:rPr>
          <w:rFonts w:eastAsia="Calibri" w:asciiTheme="majorHAnsi" w:hAnsiTheme="majorHAnsi" w:cstheme="majorHAnsi"/>
          <w:sz w:val="22"/>
          <w:szCs w:val="22"/>
        </w:rPr>
        <w:t>)</w:t>
      </w:r>
      <w:r w:rsidRPr="00AD2792">
        <w:rPr>
          <w:rFonts w:eastAsia="Calibri" w:asciiTheme="majorHAnsi" w:hAnsiTheme="majorHAnsi" w:cstheme="majorHAnsi"/>
          <w:sz w:val="22"/>
          <w:szCs w:val="22"/>
        </w:rPr>
        <w:t>, a change to a regulatory framework can certainly play a role in a tribunal’s assessment of the question whether the expectations of an investor were legitimate.</w:t>
      </w:r>
      <w:r w:rsidRPr="00AD2792" w:rsidR="00A92EF2">
        <w:rPr>
          <w:rFonts w:eastAsia="Calibri" w:asciiTheme="majorHAnsi" w:hAnsiTheme="majorHAnsi" w:cstheme="majorHAnsi"/>
          <w:sz w:val="22"/>
          <w:szCs w:val="22"/>
        </w:rPr>
        <w:t xml:space="preserve"> Therefore, it is suggested to </w:t>
      </w:r>
      <w:r w:rsidRPr="00AD2792" w:rsidR="00AF0508">
        <w:rPr>
          <w:rFonts w:eastAsia="Calibri" w:asciiTheme="majorHAnsi" w:hAnsiTheme="majorHAnsi" w:cstheme="majorHAnsi"/>
          <w:sz w:val="22"/>
          <w:szCs w:val="22"/>
        </w:rPr>
        <w:t xml:space="preserve">clarify </w:t>
      </w:r>
      <w:r w:rsidRPr="00AD2792" w:rsidR="003B0E60">
        <w:rPr>
          <w:rFonts w:eastAsia="Calibri" w:asciiTheme="majorHAnsi" w:hAnsiTheme="majorHAnsi" w:cstheme="majorHAnsi"/>
          <w:sz w:val="22"/>
          <w:szCs w:val="22"/>
        </w:rPr>
        <w:t xml:space="preserve">in the </w:t>
      </w:r>
      <w:r w:rsidR="0047084E">
        <w:rPr>
          <w:rFonts w:eastAsia="Calibri" w:asciiTheme="majorHAnsi" w:hAnsiTheme="majorHAnsi" w:cstheme="majorHAnsi"/>
          <w:sz w:val="22"/>
          <w:szCs w:val="22"/>
        </w:rPr>
        <w:t xml:space="preserve">future </w:t>
      </w:r>
      <w:r w:rsidRPr="00AD2792" w:rsidR="00B47209">
        <w:rPr>
          <w:rFonts w:eastAsia="Calibri" w:asciiTheme="majorHAnsi" w:hAnsiTheme="majorHAnsi" w:cstheme="majorHAnsi"/>
          <w:sz w:val="22"/>
          <w:szCs w:val="22"/>
        </w:rPr>
        <w:t>guidelines that will accompany the DMIA</w:t>
      </w:r>
      <w:r w:rsidR="0047084E">
        <w:rPr>
          <w:rFonts w:eastAsia="Calibri" w:asciiTheme="majorHAnsi" w:hAnsiTheme="majorHAnsi" w:cstheme="majorHAnsi"/>
          <w:sz w:val="22"/>
          <w:szCs w:val="22"/>
        </w:rPr>
        <w:t>,</w:t>
      </w:r>
      <w:r w:rsidRPr="00AD2792" w:rsidR="000F20F1">
        <w:rPr>
          <w:rFonts w:eastAsia="Calibri" w:asciiTheme="majorHAnsi" w:hAnsiTheme="majorHAnsi" w:cstheme="majorHAnsi"/>
          <w:sz w:val="22"/>
          <w:szCs w:val="22"/>
        </w:rPr>
        <w:t xml:space="preserve"> </w:t>
      </w:r>
      <w:r w:rsidRPr="00AD2792" w:rsidR="00AF0508">
        <w:rPr>
          <w:rFonts w:eastAsia="Calibri" w:asciiTheme="majorHAnsi" w:hAnsiTheme="majorHAnsi" w:cstheme="majorHAnsi"/>
          <w:sz w:val="22"/>
          <w:szCs w:val="22"/>
        </w:rPr>
        <w:t xml:space="preserve">what </w:t>
      </w:r>
      <w:r w:rsidR="0047084E">
        <w:rPr>
          <w:rFonts w:eastAsia="Calibri" w:asciiTheme="majorHAnsi" w:hAnsiTheme="majorHAnsi" w:cstheme="majorHAnsi"/>
          <w:sz w:val="22"/>
          <w:szCs w:val="22"/>
        </w:rPr>
        <w:t xml:space="preserve">the </w:t>
      </w:r>
      <w:r w:rsidRPr="00AD2792" w:rsidR="00AF0508">
        <w:rPr>
          <w:rFonts w:eastAsia="Calibri" w:asciiTheme="majorHAnsi" w:hAnsiTheme="majorHAnsi" w:cstheme="majorHAnsi"/>
          <w:sz w:val="22"/>
          <w:szCs w:val="22"/>
        </w:rPr>
        <w:t>drafters imply by ‘</w:t>
      </w:r>
      <w:r w:rsidRPr="00AD2792" w:rsidR="000F20F1">
        <w:rPr>
          <w:rFonts w:eastAsia="Calibri" w:asciiTheme="majorHAnsi" w:hAnsiTheme="majorHAnsi" w:cstheme="majorHAnsi"/>
          <w:sz w:val="22"/>
          <w:szCs w:val="22"/>
        </w:rPr>
        <w:t>manifest arbitrariness</w:t>
      </w:r>
      <w:r w:rsidRPr="00AD2792" w:rsidR="00AF0508">
        <w:rPr>
          <w:rFonts w:eastAsia="Calibri" w:asciiTheme="majorHAnsi" w:hAnsiTheme="majorHAnsi" w:cstheme="majorHAnsi"/>
          <w:sz w:val="22"/>
          <w:szCs w:val="22"/>
        </w:rPr>
        <w:t>’</w:t>
      </w:r>
      <w:r w:rsidR="00F5277B">
        <w:rPr>
          <w:rFonts w:eastAsia="Calibri" w:asciiTheme="majorHAnsi" w:hAnsiTheme="majorHAnsi" w:cstheme="majorHAnsi"/>
          <w:sz w:val="22"/>
          <w:szCs w:val="22"/>
        </w:rPr>
        <w:t>.</w:t>
      </w:r>
      <w:r w:rsidRPr="00AD2792" w:rsidR="000F20F1">
        <w:rPr>
          <w:rFonts w:eastAsia="Calibri" w:asciiTheme="majorHAnsi" w:hAnsiTheme="majorHAnsi" w:cstheme="majorHAnsi"/>
          <w:sz w:val="22"/>
          <w:szCs w:val="22"/>
        </w:rPr>
        <w:t xml:space="preserve"> This will help to avoid </w:t>
      </w:r>
      <w:r w:rsidR="0047084E">
        <w:rPr>
          <w:rFonts w:eastAsia="Calibri" w:asciiTheme="majorHAnsi" w:hAnsiTheme="majorHAnsi" w:cstheme="majorHAnsi"/>
          <w:sz w:val="22"/>
          <w:szCs w:val="22"/>
        </w:rPr>
        <w:t xml:space="preserve">any </w:t>
      </w:r>
      <w:r w:rsidRPr="00AD2792" w:rsidR="003740FA">
        <w:rPr>
          <w:rFonts w:eastAsia="Calibri" w:asciiTheme="majorHAnsi" w:hAnsiTheme="majorHAnsi" w:cstheme="majorHAnsi"/>
          <w:sz w:val="22"/>
          <w:szCs w:val="22"/>
        </w:rPr>
        <w:t>unwanted</w:t>
      </w:r>
      <w:r w:rsidRPr="00AD2792" w:rsidR="000F20F1">
        <w:rPr>
          <w:rFonts w:eastAsia="Calibri" w:asciiTheme="majorHAnsi" w:hAnsiTheme="majorHAnsi" w:cstheme="majorHAnsi"/>
          <w:sz w:val="22"/>
          <w:szCs w:val="22"/>
        </w:rPr>
        <w:t xml:space="preserve"> interpretation of the FET standard by arbitrators that </w:t>
      </w:r>
      <w:r w:rsidR="0047084E">
        <w:rPr>
          <w:rFonts w:eastAsia="Calibri" w:asciiTheme="majorHAnsi" w:hAnsiTheme="majorHAnsi" w:cstheme="majorHAnsi"/>
          <w:sz w:val="22"/>
          <w:szCs w:val="22"/>
        </w:rPr>
        <w:t>could</w:t>
      </w:r>
      <w:r w:rsidRPr="00AD2792" w:rsidR="000F20F1">
        <w:rPr>
          <w:rFonts w:eastAsia="Calibri" w:asciiTheme="majorHAnsi" w:hAnsiTheme="majorHAnsi" w:cstheme="majorHAnsi"/>
          <w:sz w:val="22"/>
          <w:szCs w:val="22"/>
        </w:rPr>
        <w:t xml:space="preserve"> negatively affect the state’s right to regulate.</w:t>
      </w:r>
      <w:r w:rsidRPr="00AD2792" w:rsidR="00AF0508">
        <w:rPr>
          <w:rFonts w:eastAsia="Calibri" w:asciiTheme="majorHAnsi" w:hAnsiTheme="majorHAnsi" w:cstheme="majorHAnsi"/>
          <w:sz w:val="22"/>
          <w:szCs w:val="22"/>
        </w:rPr>
        <w:t xml:space="preserve"> </w:t>
      </w:r>
    </w:p>
    <w:p w:rsidRPr="00AD2792" w:rsidR="00A55E96" w:rsidP="00DC6FA6" w:rsidRDefault="00A55E96">
      <w:pPr>
        <w:jc w:val="both"/>
        <w:rPr>
          <w:rFonts w:asciiTheme="majorHAnsi" w:hAnsiTheme="majorHAnsi" w:cstheme="majorHAnsi"/>
          <w:sz w:val="22"/>
          <w:szCs w:val="22"/>
        </w:rPr>
      </w:pPr>
    </w:p>
    <w:p w:rsidRPr="00AD2792" w:rsidR="00F83F15" w:rsidP="00DC6FA6" w:rsidRDefault="009A5783">
      <w:pPr>
        <w:jc w:val="both"/>
        <w:rPr>
          <w:rFonts w:asciiTheme="majorHAnsi" w:hAnsiTheme="majorHAnsi" w:cstheme="majorHAnsi"/>
          <w:sz w:val="22"/>
          <w:szCs w:val="22"/>
        </w:rPr>
      </w:pPr>
      <w:r w:rsidRPr="00AD2792">
        <w:rPr>
          <w:rFonts w:asciiTheme="majorHAnsi" w:hAnsiTheme="majorHAnsi" w:cstheme="majorHAnsi"/>
          <w:i/>
          <w:sz w:val="22"/>
          <w:szCs w:val="22"/>
        </w:rPr>
        <w:t>Secondly,</w:t>
      </w:r>
      <w:r w:rsidRPr="00AD2792">
        <w:rPr>
          <w:rFonts w:asciiTheme="majorHAnsi" w:hAnsiTheme="majorHAnsi" w:cstheme="majorHAnsi"/>
          <w:sz w:val="22"/>
          <w:szCs w:val="22"/>
        </w:rPr>
        <w:t xml:space="preserve"> </w:t>
      </w:r>
      <w:r w:rsidRPr="00AD2792" w:rsidR="00537D72">
        <w:rPr>
          <w:rFonts w:asciiTheme="majorHAnsi" w:hAnsiTheme="majorHAnsi" w:cstheme="majorHAnsi"/>
          <w:sz w:val="22"/>
          <w:szCs w:val="22"/>
        </w:rPr>
        <w:t>Article 6 underlines</w:t>
      </w:r>
      <w:r w:rsidRPr="00AD2792" w:rsidR="00BC6418">
        <w:rPr>
          <w:rFonts w:asciiTheme="majorHAnsi" w:hAnsiTheme="majorHAnsi" w:cstheme="majorHAnsi"/>
          <w:sz w:val="22"/>
          <w:szCs w:val="22"/>
        </w:rPr>
        <w:t xml:space="preserve"> that international investment </w:t>
      </w:r>
      <w:r w:rsidR="00440CA9">
        <w:rPr>
          <w:rFonts w:asciiTheme="majorHAnsi" w:hAnsiTheme="majorHAnsi" w:cstheme="majorHAnsi"/>
          <w:sz w:val="22"/>
          <w:szCs w:val="22"/>
        </w:rPr>
        <w:t xml:space="preserve">projects </w:t>
      </w:r>
      <w:r w:rsidRPr="00AD2792" w:rsidR="00BC6418">
        <w:rPr>
          <w:rFonts w:asciiTheme="majorHAnsi" w:hAnsiTheme="majorHAnsi" w:cstheme="majorHAnsi"/>
          <w:sz w:val="22"/>
          <w:szCs w:val="22"/>
        </w:rPr>
        <w:t>should contribute to sustainable development</w:t>
      </w:r>
      <w:r w:rsidRPr="00AD2792" w:rsidR="00E37997">
        <w:rPr>
          <w:rFonts w:asciiTheme="majorHAnsi" w:hAnsiTheme="majorHAnsi" w:cstheme="majorHAnsi"/>
          <w:sz w:val="22"/>
          <w:szCs w:val="22"/>
        </w:rPr>
        <w:t xml:space="preserve">. We consider this a positive addition to the text of the </w:t>
      </w:r>
      <w:r w:rsidR="00E202BF">
        <w:rPr>
          <w:rFonts w:asciiTheme="majorHAnsi" w:hAnsiTheme="majorHAnsi" w:cstheme="majorHAnsi"/>
          <w:sz w:val="22"/>
          <w:szCs w:val="22"/>
        </w:rPr>
        <w:t>DMIA as</w:t>
      </w:r>
      <w:r w:rsidR="00E25B94">
        <w:rPr>
          <w:rFonts w:asciiTheme="majorHAnsi" w:hAnsiTheme="majorHAnsi" w:cstheme="majorHAnsi"/>
          <w:sz w:val="22"/>
          <w:szCs w:val="22"/>
        </w:rPr>
        <w:t xml:space="preserve"> this</w:t>
      </w:r>
      <w:r w:rsidRPr="00AD2792" w:rsidR="00B91C25">
        <w:rPr>
          <w:rFonts w:asciiTheme="majorHAnsi" w:hAnsiTheme="majorHAnsi" w:cstheme="majorHAnsi"/>
          <w:sz w:val="22"/>
          <w:szCs w:val="22"/>
        </w:rPr>
        <w:t xml:space="preserve"> </w:t>
      </w:r>
      <w:r w:rsidRPr="00AD2792" w:rsidR="00BC6418">
        <w:rPr>
          <w:rFonts w:asciiTheme="majorHAnsi" w:hAnsiTheme="majorHAnsi" w:cstheme="majorHAnsi"/>
          <w:sz w:val="22"/>
          <w:szCs w:val="22"/>
        </w:rPr>
        <w:t>align</w:t>
      </w:r>
      <w:r w:rsidRPr="00AD2792" w:rsidR="00AB5777">
        <w:rPr>
          <w:rFonts w:asciiTheme="majorHAnsi" w:hAnsiTheme="majorHAnsi" w:cstheme="majorHAnsi"/>
          <w:sz w:val="22"/>
          <w:szCs w:val="22"/>
        </w:rPr>
        <w:t>s</w:t>
      </w:r>
      <w:r w:rsidRPr="00AD2792" w:rsidR="00BC6418">
        <w:rPr>
          <w:rFonts w:asciiTheme="majorHAnsi" w:hAnsiTheme="majorHAnsi" w:cstheme="majorHAnsi"/>
          <w:sz w:val="22"/>
          <w:szCs w:val="22"/>
        </w:rPr>
        <w:t xml:space="preserve"> with the </w:t>
      </w:r>
      <w:r w:rsidRPr="00AD2792" w:rsidR="00E37997">
        <w:rPr>
          <w:rFonts w:asciiTheme="majorHAnsi" w:hAnsiTheme="majorHAnsi" w:cstheme="majorHAnsi"/>
          <w:sz w:val="22"/>
          <w:szCs w:val="22"/>
        </w:rPr>
        <w:t xml:space="preserve">ambition </w:t>
      </w:r>
      <w:r w:rsidRPr="00AD2792" w:rsidR="00537D72">
        <w:rPr>
          <w:rFonts w:asciiTheme="majorHAnsi" w:hAnsiTheme="majorHAnsi" w:cstheme="majorHAnsi"/>
          <w:sz w:val="22"/>
          <w:szCs w:val="22"/>
        </w:rPr>
        <w:t xml:space="preserve">of </w:t>
      </w:r>
      <w:r w:rsidRPr="00AD2792" w:rsidR="008F17B4">
        <w:rPr>
          <w:rFonts w:asciiTheme="majorHAnsi" w:hAnsiTheme="majorHAnsi" w:cstheme="majorHAnsi"/>
          <w:sz w:val="22"/>
          <w:szCs w:val="22"/>
        </w:rPr>
        <w:t xml:space="preserve">the </w:t>
      </w:r>
      <w:r w:rsidRPr="00AD2792" w:rsidR="00537D72">
        <w:rPr>
          <w:rFonts w:asciiTheme="majorHAnsi" w:hAnsiTheme="majorHAnsi" w:cstheme="majorHAnsi"/>
          <w:sz w:val="22"/>
          <w:szCs w:val="22"/>
        </w:rPr>
        <w:t>Dutch government</w:t>
      </w:r>
      <w:r w:rsidRPr="00AD2792" w:rsidR="00E37997">
        <w:rPr>
          <w:rFonts w:asciiTheme="majorHAnsi" w:hAnsiTheme="majorHAnsi" w:cstheme="majorHAnsi"/>
          <w:sz w:val="22"/>
          <w:szCs w:val="22"/>
        </w:rPr>
        <w:t xml:space="preserve"> to </w:t>
      </w:r>
      <w:r w:rsidRPr="00AD2792" w:rsidR="0041617F">
        <w:rPr>
          <w:rFonts w:asciiTheme="majorHAnsi" w:hAnsiTheme="majorHAnsi" w:cstheme="majorHAnsi"/>
          <w:sz w:val="22"/>
          <w:szCs w:val="22"/>
        </w:rPr>
        <w:t xml:space="preserve">prioritise investments that contribute to </w:t>
      </w:r>
      <w:r w:rsidRPr="00AD2792" w:rsidR="00E37997">
        <w:rPr>
          <w:rFonts w:asciiTheme="majorHAnsi" w:hAnsiTheme="majorHAnsi" w:cstheme="majorHAnsi"/>
          <w:sz w:val="22"/>
          <w:szCs w:val="22"/>
        </w:rPr>
        <w:t>achieving the SDGs</w:t>
      </w:r>
      <w:r w:rsidRPr="00AD2792" w:rsidR="00537D72">
        <w:rPr>
          <w:rFonts w:asciiTheme="majorHAnsi" w:hAnsiTheme="majorHAnsi" w:cstheme="majorHAnsi"/>
          <w:sz w:val="22"/>
          <w:szCs w:val="22"/>
        </w:rPr>
        <w:t xml:space="preserve">. </w:t>
      </w:r>
      <w:r w:rsidRPr="00AD2792" w:rsidR="0041617F">
        <w:rPr>
          <w:rFonts w:asciiTheme="majorHAnsi" w:hAnsiTheme="majorHAnsi" w:cstheme="majorHAnsi"/>
          <w:sz w:val="22"/>
          <w:szCs w:val="22"/>
        </w:rPr>
        <w:t>This</w:t>
      </w:r>
      <w:r w:rsidRPr="00AD2792" w:rsidR="004D1B72">
        <w:rPr>
          <w:rFonts w:asciiTheme="majorHAnsi" w:hAnsiTheme="majorHAnsi" w:cstheme="majorHAnsi"/>
          <w:sz w:val="22"/>
          <w:szCs w:val="22"/>
        </w:rPr>
        <w:t xml:space="preserve"> </w:t>
      </w:r>
      <w:r w:rsidRPr="00AD2792" w:rsidR="0041617F">
        <w:rPr>
          <w:rFonts w:asciiTheme="majorHAnsi" w:hAnsiTheme="majorHAnsi" w:cstheme="majorHAnsi"/>
          <w:sz w:val="22"/>
          <w:szCs w:val="22"/>
        </w:rPr>
        <w:t>Article 6</w:t>
      </w:r>
      <w:r w:rsidRPr="00AD2792" w:rsidR="008148DF">
        <w:rPr>
          <w:rFonts w:asciiTheme="majorHAnsi" w:hAnsiTheme="majorHAnsi" w:cstheme="majorHAnsi"/>
          <w:sz w:val="22"/>
          <w:szCs w:val="22"/>
        </w:rPr>
        <w:t xml:space="preserve"> will</w:t>
      </w:r>
      <w:r w:rsidRPr="00AD2792" w:rsidR="004D1B72">
        <w:rPr>
          <w:rFonts w:asciiTheme="majorHAnsi" w:hAnsiTheme="majorHAnsi" w:cstheme="majorHAnsi"/>
          <w:sz w:val="22"/>
          <w:szCs w:val="22"/>
        </w:rPr>
        <w:t xml:space="preserve"> </w:t>
      </w:r>
      <w:r w:rsidR="00E25B94">
        <w:rPr>
          <w:rFonts w:asciiTheme="majorHAnsi" w:hAnsiTheme="majorHAnsi" w:cstheme="majorHAnsi"/>
          <w:sz w:val="22"/>
          <w:szCs w:val="22"/>
        </w:rPr>
        <w:t xml:space="preserve">help a tribunal to properly </w:t>
      </w:r>
      <w:r w:rsidR="00E202BF">
        <w:rPr>
          <w:rFonts w:asciiTheme="majorHAnsi" w:hAnsiTheme="majorHAnsi" w:cstheme="majorHAnsi"/>
          <w:sz w:val="22"/>
          <w:szCs w:val="22"/>
        </w:rPr>
        <w:t>interpret</w:t>
      </w:r>
      <w:r w:rsidR="00E25B94">
        <w:rPr>
          <w:rFonts w:asciiTheme="majorHAnsi" w:hAnsiTheme="majorHAnsi" w:cstheme="majorHAnsi"/>
          <w:sz w:val="22"/>
          <w:szCs w:val="22"/>
        </w:rPr>
        <w:t xml:space="preserve"> the DMIA’s</w:t>
      </w:r>
      <w:r w:rsidRPr="00AD2792" w:rsidR="00914D65">
        <w:rPr>
          <w:rFonts w:asciiTheme="majorHAnsi" w:hAnsiTheme="majorHAnsi" w:cstheme="majorHAnsi"/>
          <w:sz w:val="22"/>
          <w:szCs w:val="22"/>
        </w:rPr>
        <w:t xml:space="preserve"> </w:t>
      </w:r>
      <w:r w:rsidR="007E78FD">
        <w:rPr>
          <w:rFonts w:asciiTheme="majorHAnsi" w:hAnsiTheme="majorHAnsi" w:cstheme="majorHAnsi"/>
          <w:sz w:val="22"/>
          <w:szCs w:val="22"/>
        </w:rPr>
        <w:t>investor</w:t>
      </w:r>
      <w:r w:rsidRPr="00AD2792" w:rsidR="004D1B72">
        <w:rPr>
          <w:rFonts w:asciiTheme="majorHAnsi" w:hAnsiTheme="majorHAnsi" w:cstheme="majorHAnsi"/>
          <w:sz w:val="22"/>
          <w:szCs w:val="22"/>
        </w:rPr>
        <w:t xml:space="preserve"> protection p</w:t>
      </w:r>
      <w:r w:rsidRPr="00AD2792" w:rsidR="00B034CE">
        <w:rPr>
          <w:rFonts w:asciiTheme="majorHAnsi" w:hAnsiTheme="majorHAnsi" w:cstheme="majorHAnsi"/>
          <w:sz w:val="22"/>
          <w:szCs w:val="22"/>
        </w:rPr>
        <w:t>rovisions</w:t>
      </w:r>
      <w:r w:rsidRPr="00AD2792" w:rsidR="00914D65">
        <w:rPr>
          <w:rFonts w:asciiTheme="majorHAnsi" w:hAnsiTheme="majorHAnsi" w:cstheme="majorHAnsi"/>
          <w:sz w:val="22"/>
          <w:szCs w:val="22"/>
        </w:rPr>
        <w:t xml:space="preserve">, </w:t>
      </w:r>
      <w:r w:rsidRPr="00AD2792" w:rsidR="00854ACE">
        <w:rPr>
          <w:rFonts w:asciiTheme="majorHAnsi" w:hAnsiTheme="majorHAnsi" w:cstheme="majorHAnsi"/>
          <w:sz w:val="22"/>
          <w:szCs w:val="22"/>
        </w:rPr>
        <w:t>specifically</w:t>
      </w:r>
      <w:r w:rsidRPr="00AD2792" w:rsidR="00673896">
        <w:rPr>
          <w:rFonts w:asciiTheme="majorHAnsi" w:hAnsiTheme="majorHAnsi" w:cstheme="majorHAnsi"/>
          <w:sz w:val="22"/>
          <w:szCs w:val="22"/>
        </w:rPr>
        <w:t xml:space="preserve"> in combination with the preambular statements</w:t>
      </w:r>
      <w:r w:rsidRPr="00AD2792" w:rsidR="00854ACE">
        <w:rPr>
          <w:rFonts w:asciiTheme="majorHAnsi" w:hAnsiTheme="majorHAnsi" w:cstheme="majorHAnsi"/>
          <w:sz w:val="22"/>
          <w:szCs w:val="22"/>
        </w:rPr>
        <w:t xml:space="preserve"> and Article 3 of </w:t>
      </w:r>
      <w:r w:rsidRPr="00AD2792" w:rsidR="008C05F8">
        <w:rPr>
          <w:rFonts w:asciiTheme="majorHAnsi" w:hAnsiTheme="majorHAnsi" w:cstheme="majorHAnsi"/>
          <w:sz w:val="22"/>
          <w:szCs w:val="22"/>
        </w:rPr>
        <w:t xml:space="preserve">the </w:t>
      </w:r>
      <w:r w:rsidRPr="00AD2792" w:rsidR="00854ACE">
        <w:rPr>
          <w:rFonts w:asciiTheme="majorHAnsi" w:hAnsiTheme="majorHAnsi" w:cstheme="majorHAnsi"/>
          <w:sz w:val="22"/>
          <w:szCs w:val="22"/>
        </w:rPr>
        <w:t>DMIA (both refer to promotion of</w:t>
      </w:r>
      <w:r w:rsidRPr="00AD2792" w:rsidR="00673896">
        <w:rPr>
          <w:rFonts w:asciiTheme="majorHAnsi" w:hAnsiTheme="majorHAnsi" w:cstheme="majorHAnsi"/>
          <w:sz w:val="22"/>
          <w:szCs w:val="22"/>
        </w:rPr>
        <w:t xml:space="preserve"> </w:t>
      </w:r>
      <w:r w:rsidRPr="00AD2792" w:rsidR="006214C7">
        <w:rPr>
          <w:rFonts w:asciiTheme="majorHAnsi" w:hAnsiTheme="majorHAnsi" w:cstheme="majorHAnsi"/>
          <w:sz w:val="22"/>
          <w:szCs w:val="22"/>
        </w:rPr>
        <w:t xml:space="preserve">responsible investment, that is investments that contribute to </w:t>
      </w:r>
      <w:r w:rsidRPr="00AD2792" w:rsidR="00673896">
        <w:rPr>
          <w:rFonts w:asciiTheme="majorHAnsi" w:hAnsiTheme="majorHAnsi" w:cstheme="majorHAnsi"/>
          <w:sz w:val="22"/>
          <w:szCs w:val="22"/>
        </w:rPr>
        <w:t>sustainable development</w:t>
      </w:r>
      <w:r w:rsidRPr="00AD2792" w:rsidR="00854ACE">
        <w:rPr>
          <w:rFonts w:asciiTheme="majorHAnsi" w:hAnsiTheme="majorHAnsi" w:cstheme="majorHAnsi"/>
          <w:sz w:val="22"/>
          <w:szCs w:val="22"/>
        </w:rPr>
        <w:t>)</w:t>
      </w:r>
      <w:r w:rsidRPr="00AD2792" w:rsidR="00815135">
        <w:rPr>
          <w:rFonts w:asciiTheme="majorHAnsi" w:hAnsiTheme="majorHAnsi" w:cstheme="majorHAnsi"/>
          <w:sz w:val="22"/>
          <w:szCs w:val="22"/>
        </w:rPr>
        <w:t xml:space="preserve">. </w:t>
      </w:r>
      <w:r w:rsidRPr="00AD2792" w:rsidR="00334C55">
        <w:rPr>
          <w:rFonts w:asciiTheme="majorHAnsi" w:hAnsiTheme="majorHAnsi" w:cstheme="majorHAnsi"/>
          <w:sz w:val="22"/>
          <w:szCs w:val="22"/>
        </w:rPr>
        <w:t>Hence, the</w:t>
      </w:r>
      <w:r w:rsidR="007E78FD">
        <w:rPr>
          <w:rFonts w:asciiTheme="majorHAnsi" w:hAnsiTheme="majorHAnsi" w:cstheme="majorHAnsi"/>
          <w:sz w:val="22"/>
          <w:szCs w:val="22"/>
        </w:rPr>
        <w:t xml:space="preserve"> investor protection provisions</w:t>
      </w:r>
      <w:r w:rsidRPr="00AD2792" w:rsidR="00815135">
        <w:rPr>
          <w:rFonts w:asciiTheme="majorHAnsi" w:hAnsiTheme="majorHAnsi" w:cstheme="majorHAnsi"/>
          <w:sz w:val="22"/>
          <w:szCs w:val="22"/>
        </w:rPr>
        <w:t xml:space="preserve"> </w:t>
      </w:r>
      <w:r w:rsidRPr="00AD2792" w:rsidR="00C77E73">
        <w:rPr>
          <w:rFonts w:asciiTheme="majorHAnsi" w:hAnsiTheme="majorHAnsi" w:cstheme="majorHAnsi"/>
          <w:sz w:val="22"/>
          <w:szCs w:val="22"/>
        </w:rPr>
        <w:t>have to</w:t>
      </w:r>
      <w:r w:rsidRPr="00AD2792" w:rsidR="00334C55">
        <w:rPr>
          <w:rFonts w:asciiTheme="majorHAnsi" w:hAnsiTheme="majorHAnsi" w:cstheme="majorHAnsi"/>
          <w:sz w:val="22"/>
          <w:szCs w:val="22"/>
        </w:rPr>
        <w:t xml:space="preserve"> be understood </w:t>
      </w:r>
      <w:r w:rsidRPr="00AD2792" w:rsidR="004D244A">
        <w:rPr>
          <w:rFonts w:asciiTheme="majorHAnsi" w:hAnsiTheme="majorHAnsi" w:cstheme="majorHAnsi"/>
          <w:sz w:val="22"/>
          <w:szCs w:val="22"/>
        </w:rPr>
        <w:t xml:space="preserve">not only in the light </w:t>
      </w:r>
      <w:r w:rsidRPr="00AD2792" w:rsidR="00B8476E">
        <w:rPr>
          <w:rFonts w:asciiTheme="majorHAnsi" w:hAnsiTheme="majorHAnsi" w:cstheme="majorHAnsi"/>
          <w:sz w:val="22"/>
          <w:szCs w:val="22"/>
        </w:rPr>
        <w:t xml:space="preserve">of </w:t>
      </w:r>
      <w:r w:rsidRPr="00AD2792" w:rsidR="00A55E96">
        <w:rPr>
          <w:rFonts w:asciiTheme="majorHAnsi" w:hAnsiTheme="majorHAnsi" w:cstheme="majorHAnsi"/>
          <w:sz w:val="22"/>
          <w:szCs w:val="22"/>
        </w:rPr>
        <w:t xml:space="preserve">the objective of the </w:t>
      </w:r>
      <w:r w:rsidRPr="00AD2792" w:rsidR="00E505F6">
        <w:rPr>
          <w:rFonts w:asciiTheme="majorHAnsi" w:hAnsiTheme="majorHAnsi" w:cstheme="majorHAnsi"/>
          <w:sz w:val="22"/>
          <w:szCs w:val="22"/>
        </w:rPr>
        <w:t>protection of foreign investment</w:t>
      </w:r>
      <w:r w:rsidRPr="00AD2792" w:rsidR="00A55E96">
        <w:rPr>
          <w:rFonts w:asciiTheme="majorHAnsi" w:hAnsiTheme="majorHAnsi" w:cstheme="majorHAnsi"/>
          <w:sz w:val="22"/>
          <w:szCs w:val="22"/>
        </w:rPr>
        <w:t xml:space="preserve">, but also with due consideration </w:t>
      </w:r>
      <w:r w:rsidRPr="00AD2792" w:rsidR="00854ACE">
        <w:rPr>
          <w:rFonts w:asciiTheme="majorHAnsi" w:hAnsiTheme="majorHAnsi" w:cstheme="majorHAnsi"/>
          <w:sz w:val="22"/>
          <w:szCs w:val="22"/>
        </w:rPr>
        <w:t>to</w:t>
      </w:r>
      <w:r w:rsidRPr="00AD2792" w:rsidR="00A55E96">
        <w:rPr>
          <w:rFonts w:asciiTheme="majorHAnsi" w:hAnsiTheme="majorHAnsi" w:cstheme="majorHAnsi"/>
          <w:sz w:val="22"/>
          <w:szCs w:val="22"/>
        </w:rPr>
        <w:t xml:space="preserve"> the </w:t>
      </w:r>
      <w:r w:rsidRPr="00AD2792" w:rsidR="00854ACE">
        <w:rPr>
          <w:rFonts w:asciiTheme="majorHAnsi" w:hAnsiTheme="majorHAnsi" w:cstheme="majorHAnsi"/>
          <w:sz w:val="22"/>
          <w:szCs w:val="22"/>
        </w:rPr>
        <w:t>objective</w:t>
      </w:r>
      <w:r w:rsidRPr="00AD2792" w:rsidR="00A55E96">
        <w:rPr>
          <w:rFonts w:asciiTheme="majorHAnsi" w:hAnsiTheme="majorHAnsi" w:cstheme="majorHAnsi"/>
          <w:sz w:val="22"/>
          <w:szCs w:val="22"/>
        </w:rPr>
        <w:t xml:space="preserve"> of </w:t>
      </w:r>
      <w:r w:rsidRPr="00AD2792" w:rsidR="00A47BA6">
        <w:rPr>
          <w:rFonts w:asciiTheme="majorHAnsi" w:hAnsiTheme="majorHAnsi" w:cstheme="majorHAnsi"/>
          <w:sz w:val="22"/>
          <w:szCs w:val="22"/>
        </w:rPr>
        <w:t>contributing to</w:t>
      </w:r>
      <w:r w:rsidRPr="00AD2792" w:rsidR="00E505F6">
        <w:rPr>
          <w:rFonts w:asciiTheme="majorHAnsi" w:hAnsiTheme="majorHAnsi" w:cstheme="majorHAnsi"/>
          <w:sz w:val="22"/>
          <w:szCs w:val="22"/>
        </w:rPr>
        <w:t xml:space="preserve"> sustainable development </w:t>
      </w:r>
      <w:r w:rsidR="008174C8">
        <w:rPr>
          <w:rFonts w:asciiTheme="majorHAnsi" w:hAnsiTheme="majorHAnsi" w:cstheme="majorHAnsi"/>
          <w:sz w:val="22"/>
          <w:szCs w:val="22"/>
        </w:rPr>
        <w:t>in</w:t>
      </w:r>
      <w:r w:rsidRPr="00AD2792" w:rsidR="00E505F6">
        <w:rPr>
          <w:rFonts w:asciiTheme="majorHAnsi" w:hAnsiTheme="majorHAnsi" w:cstheme="majorHAnsi"/>
          <w:sz w:val="22"/>
          <w:szCs w:val="22"/>
        </w:rPr>
        <w:t xml:space="preserve"> </w:t>
      </w:r>
      <w:r w:rsidRPr="00AD2792" w:rsidR="00334C55">
        <w:rPr>
          <w:rFonts w:asciiTheme="majorHAnsi" w:hAnsiTheme="majorHAnsi" w:cstheme="majorHAnsi"/>
          <w:sz w:val="22"/>
          <w:szCs w:val="22"/>
        </w:rPr>
        <w:t>the</w:t>
      </w:r>
      <w:r w:rsidRPr="00AD2792" w:rsidR="00E505F6">
        <w:rPr>
          <w:rFonts w:asciiTheme="majorHAnsi" w:hAnsiTheme="majorHAnsi" w:cstheme="majorHAnsi"/>
          <w:sz w:val="22"/>
          <w:szCs w:val="22"/>
        </w:rPr>
        <w:t xml:space="preserve"> host state. </w:t>
      </w:r>
    </w:p>
    <w:p w:rsidRPr="00AD2792" w:rsidR="008710A5" w:rsidP="00DC6FA6" w:rsidRDefault="008710A5">
      <w:pPr>
        <w:jc w:val="both"/>
        <w:rPr>
          <w:rFonts w:asciiTheme="majorHAnsi" w:hAnsiTheme="majorHAnsi" w:cstheme="majorHAnsi"/>
          <w:sz w:val="22"/>
          <w:szCs w:val="22"/>
        </w:rPr>
      </w:pPr>
    </w:p>
    <w:p w:rsidRPr="00AD2792" w:rsidR="004D244A" w:rsidP="00DC6FA6" w:rsidRDefault="009A7080">
      <w:pPr>
        <w:jc w:val="both"/>
        <w:rPr>
          <w:rFonts w:asciiTheme="majorHAnsi" w:hAnsiTheme="majorHAnsi" w:cstheme="majorHAnsi"/>
          <w:sz w:val="22"/>
          <w:szCs w:val="22"/>
          <w:lang w:val="en-US"/>
        </w:rPr>
      </w:pPr>
      <w:r w:rsidRPr="00AD2792">
        <w:rPr>
          <w:rFonts w:asciiTheme="majorHAnsi" w:hAnsiTheme="majorHAnsi" w:cstheme="majorHAnsi"/>
          <w:i/>
          <w:sz w:val="22"/>
          <w:szCs w:val="22"/>
        </w:rPr>
        <w:t>Thirdly</w:t>
      </w:r>
      <w:r w:rsidRPr="00AD2792">
        <w:rPr>
          <w:rFonts w:asciiTheme="majorHAnsi" w:hAnsiTheme="majorHAnsi" w:cstheme="majorHAnsi"/>
          <w:sz w:val="22"/>
          <w:szCs w:val="22"/>
        </w:rPr>
        <w:t>, Article 7</w:t>
      </w:r>
      <w:r w:rsidRPr="00AD2792" w:rsidR="008710A5">
        <w:rPr>
          <w:rFonts w:asciiTheme="majorHAnsi" w:hAnsiTheme="majorHAnsi" w:cstheme="majorHAnsi"/>
          <w:sz w:val="22"/>
          <w:szCs w:val="22"/>
        </w:rPr>
        <w:t>(3)</w:t>
      </w:r>
      <w:r w:rsidRPr="00AD2792">
        <w:rPr>
          <w:rFonts w:asciiTheme="majorHAnsi" w:hAnsiTheme="majorHAnsi" w:cstheme="majorHAnsi"/>
          <w:sz w:val="22"/>
          <w:szCs w:val="22"/>
        </w:rPr>
        <w:t xml:space="preserve"> of </w:t>
      </w:r>
      <w:r w:rsidRPr="00AD2792" w:rsidR="008C05F8">
        <w:rPr>
          <w:rFonts w:asciiTheme="majorHAnsi" w:hAnsiTheme="majorHAnsi" w:cstheme="majorHAnsi"/>
          <w:sz w:val="22"/>
          <w:szCs w:val="22"/>
        </w:rPr>
        <w:t xml:space="preserve">the </w:t>
      </w:r>
      <w:r w:rsidRPr="00AD2792">
        <w:rPr>
          <w:rFonts w:asciiTheme="majorHAnsi" w:hAnsiTheme="majorHAnsi" w:cstheme="majorHAnsi"/>
          <w:sz w:val="22"/>
          <w:szCs w:val="22"/>
        </w:rPr>
        <w:t xml:space="preserve">DMIA </w:t>
      </w:r>
      <w:r w:rsidRPr="00AD2792" w:rsidR="008710A5">
        <w:rPr>
          <w:rFonts w:asciiTheme="majorHAnsi" w:hAnsiTheme="majorHAnsi" w:cstheme="majorHAnsi"/>
          <w:sz w:val="22"/>
          <w:szCs w:val="22"/>
        </w:rPr>
        <w:t>reaffirms the importance of</w:t>
      </w:r>
      <w:r w:rsidRPr="00AD2792">
        <w:rPr>
          <w:rFonts w:asciiTheme="majorHAnsi" w:hAnsiTheme="majorHAnsi" w:cstheme="majorHAnsi"/>
          <w:sz w:val="22"/>
          <w:szCs w:val="22"/>
        </w:rPr>
        <w:t xml:space="preserve"> </w:t>
      </w:r>
      <w:r w:rsidR="008516DB">
        <w:rPr>
          <w:rFonts w:asciiTheme="majorHAnsi" w:hAnsiTheme="majorHAnsi" w:cstheme="majorHAnsi"/>
          <w:sz w:val="22"/>
          <w:szCs w:val="22"/>
        </w:rPr>
        <w:t xml:space="preserve">the </w:t>
      </w:r>
      <w:r w:rsidRPr="00AD2792">
        <w:rPr>
          <w:rFonts w:asciiTheme="majorHAnsi" w:hAnsiTheme="majorHAnsi" w:cstheme="majorHAnsi"/>
          <w:sz w:val="22"/>
          <w:szCs w:val="22"/>
        </w:rPr>
        <w:t xml:space="preserve">investor’s </w:t>
      </w:r>
      <w:r w:rsidRPr="00AD2792" w:rsidR="009A5478">
        <w:rPr>
          <w:rFonts w:asciiTheme="majorHAnsi" w:hAnsiTheme="majorHAnsi" w:cstheme="majorHAnsi"/>
          <w:sz w:val="22"/>
          <w:szCs w:val="22"/>
        </w:rPr>
        <w:t xml:space="preserve">duty to conduct a </w:t>
      </w:r>
      <w:r w:rsidRPr="00AD2792">
        <w:rPr>
          <w:rFonts w:asciiTheme="majorHAnsi" w:hAnsiTheme="majorHAnsi" w:cstheme="majorHAnsi"/>
          <w:sz w:val="22"/>
          <w:szCs w:val="22"/>
        </w:rPr>
        <w:t>due diligence</w:t>
      </w:r>
      <w:r w:rsidRPr="00AD2792" w:rsidR="009A5478">
        <w:rPr>
          <w:rFonts w:asciiTheme="majorHAnsi" w:hAnsiTheme="majorHAnsi" w:cstheme="majorHAnsi"/>
          <w:sz w:val="22"/>
          <w:szCs w:val="22"/>
        </w:rPr>
        <w:t xml:space="preserve"> process to identify, prevent, mitigate and account for the environmental and social risks and impacts of its investment.</w:t>
      </w:r>
      <w:r w:rsidRPr="00AD2792">
        <w:rPr>
          <w:rFonts w:asciiTheme="majorHAnsi" w:hAnsiTheme="majorHAnsi" w:cstheme="majorHAnsi"/>
          <w:sz w:val="22"/>
          <w:szCs w:val="22"/>
        </w:rPr>
        <w:t xml:space="preserve"> </w:t>
      </w:r>
      <w:r w:rsidRPr="00AD2792" w:rsidR="009A5478">
        <w:rPr>
          <w:rFonts w:asciiTheme="majorHAnsi" w:hAnsiTheme="majorHAnsi" w:cstheme="majorHAnsi"/>
          <w:sz w:val="22"/>
          <w:szCs w:val="22"/>
        </w:rPr>
        <w:t>This</w:t>
      </w:r>
      <w:r w:rsidRPr="00AD2792" w:rsidR="008710A5">
        <w:rPr>
          <w:rFonts w:asciiTheme="majorHAnsi" w:hAnsiTheme="majorHAnsi" w:cstheme="majorHAnsi"/>
          <w:sz w:val="22"/>
          <w:szCs w:val="22"/>
        </w:rPr>
        <w:t xml:space="preserve"> </w:t>
      </w:r>
      <w:r w:rsidRPr="00AD2792" w:rsidR="0090757C">
        <w:rPr>
          <w:rFonts w:asciiTheme="majorHAnsi" w:hAnsiTheme="majorHAnsi" w:cstheme="majorHAnsi"/>
          <w:sz w:val="22"/>
          <w:szCs w:val="22"/>
        </w:rPr>
        <w:t xml:space="preserve">is in line with </w:t>
      </w:r>
      <w:r w:rsidRPr="00AD2792" w:rsidR="00DD0B49">
        <w:rPr>
          <w:rFonts w:asciiTheme="majorHAnsi" w:hAnsiTheme="majorHAnsi" w:cstheme="majorHAnsi"/>
          <w:sz w:val="22"/>
          <w:szCs w:val="22"/>
        </w:rPr>
        <w:t xml:space="preserve">an investor’s duty under the </w:t>
      </w:r>
      <w:r w:rsidRPr="00AD2792" w:rsidR="0090757C">
        <w:rPr>
          <w:rFonts w:asciiTheme="majorHAnsi" w:hAnsiTheme="majorHAnsi" w:cstheme="majorHAnsi"/>
          <w:sz w:val="22"/>
          <w:szCs w:val="22"/>
        </w:rPr>
        <w:t xml:space="preserve">CSR provisions stipulated in the OECD Guidelines for Multinational Enterprises, the United Nations </w:t>
      </w:r>
      <w:r w:rsidRPr="00AD2792" w:rsidR="0090757C">
        <w:rPr>
          <w:rFonts w:asciiTheme="majorHAnsi" w:hAnsiTheme="majorHAnsi" w:cstheme="majorHAnsi"/>
          <w:sz w:val="22"/>
          <w:szCs w:val="22"/>
        </w:rPr>
        <w:lastRenderedPageBreak/>
        <w:t>Guiding Principles on Business and Human Rights, and the Recommendation CM/REC(2016) of the Committee of Ministers to Member States on human rights and business.</w:t>
      </w:r>
      <w:r w:rsidRPr="00AD2792" w:rsidR="002A270D">
        <w:rPr>
          <w:rStyle w:val="FootnoteReference"/>
          <w:rFonts w:asciiTheme="majorHAnsi" w:hAnsiTheme="majorHAnsi" w:cstheme="majorHAnsi"/>
          <w:sz w:val="22"/>
          <w:szCs w:val="22"/>
        </w:rPr>
        <w:footnoteReference w:id="9"/>
      </w:r>
      <w:r w:rsidRPr="00AD2792" w:rsidR="00DD0B49">
        <w:rPr>
          <w:rFonts w:asciiTheme="majorHAnsi" w:hAnsiTheme="majorHAnsi" w:cstheme="majorHAnsi"/>
          <w:sz w:val="22"/>
          <w:szCs w:val="22"/>
        </w:rPr>
        <w:t xml:space="preserve"> It is </w:t>
      </w:r>
      <w:r w:rsidR="00F5277B">
        <w:rPr>
          <w:rFonts w:asciiTheme="majorHAnsi" w:hAnsiTheme="majorHAnsi" w:cstheme="majorHAnsi"/>
          <w:sz w:val="22"/>
          <w:szCs w:val="22"/>
        </w:rPr>
        <w:t xml:space="preserve">effective </w:t>
      </w:r>
      <w:r w:rsidRPr="00AD2792" w:rsidR="00DD0B49">
        <w:rPr>
          <w:rFonts w:asciiTheme="majorHAnsi" w:hAnsiTheme="majorHAnsi" w:cstheme="majorHAnsi"/>
          <w:sz w:val="22"/>
          <w:szCs w:val="22"/>
        </w:rPr>
        <w:t xml:space="preserve">from the perspective of coherence of policies to </w:t>
      </w:r>
      <w:r w:rsidRPr="00AD2792" w:rsidR="001721DA">
        <w:rPr>
          <w:rFonts w:asciiTheme="majorHAnsi" w:hAnsiTheme="majorHAnsi" w:cstheme="majorHAnsi"/>
          <w:sz w:val="22"/>
          <w:szCs w:val="22"/>
        </w:rPr>
        <w:t>include t</w:t>
      </w:r>
      <w:r w:rsidRPr="00AD2792" w:rsidR="00DD0B49">
        <w:rPr>
          <w:rFonts w:asciiTheme="majorHAnsi" w:hAnsiTheme="majorHAnsi" w:cstheme="majorHAnsi"/>
          <w:sz w:val="22"/>
          <w:szCs w:val="22"/>
        </w:rPr>
        <w:t xml:space="preserve">his </w:t>
      </w:r>
      <w:r w:rsidRPr="00AD2792" w:rsidR="008710A5">
        <w:rPr>
          <w:rFonts w:asciiTheme="majorHAnsi" w:hAnsiTheme="majorHAnsi" w:cstheme="majorHAnsi"/>
          <w:sz w:val="22"/>
          <w:szCs w:val="22"/>
        </w:rPr>
        <w:t>provision</w:t>
      </w:r>
      <w:r w:rsidRPr="00AD2792">
        <w:rPr>
          <w:rFonts w:eastAsia="Times New Roman" w:asciiTheme="majorHAnsi" w:hAnsiTheme="majorHAnsi" w:cstheme="majorHAnsi"/>
          <w:sz w:val="22"/>
          <w:szCs w:val="22"/>
        </w:rPr>
        <w:t xml:space="preserve"> </w:t>
      </w:r>
      <w:r w:rsidRPr="00AD2792" w:rsidR="001721DA">
        <w:rPr>
          <w:rFonts w:eastAsia="Times New Roman" w:asciiTheme="majorHAnsi" w:hAnsiTheme="majorHAnsi" w:cstheme="majorHAnsi"/>
          <w:sz w:val="22"/>
          <w:szCs w:val="22"/>
        </w:rPr>
        <w:t xml:space="preserve">in the DMIA. It </w:t>
      </w:r>
      <w:r w:rsidRPr="00AD2792" w:rsidR="00DD0B49">
        <w:rPr>
          <w:rFonts w:eastAsia="Times New Roman" w:asciiTheme="majorHAnsi" w:hAnsiTheme="majorHAnsi" w:cstheme="majorHAnsi"/>
          <w:sz w:val="22"/>
          <w:szCs w:val="22"/>
        </w:rPr>
        <w:t xml:space="preserve">will </w:t>
      </w:r>
      <w:r w:rsidRPr="00AD2792">
        <w:rPr>
          <w:rFonts w:eastAsia="Times New Roman" w:asciiTheme="majorHAnsi" w:hAnsiTheme="majorHAnsi" w:cstheme="majorHAnsi"/>
          <w:sz w:val="22"/>
          <w:szCs w:val="22"/>
        </w:rPr>
        <w:t>help to create a better balance between the rights and obligations of states and investors</w:t>
      </w:r>
      <w:r w:rsidRPr="00AD2792" w:rsidR="009105EB">
        <w:rPr>
          <w:rFonts w:eastAsia="Times New Roman" w:asciiTheme="majorHAnsi" w:hAnsiTheme="majorHAnsi" w:cstheme="majorHAnsi"/>
          <w:sz w:val="22"/>
          <w:szCs w:val="22"/>
        </w:rPr>
        <w:t xml:space="preserve">. </w:t>
      </w:r>
      <w:r w:rsidRPr="00AD2792">
        <w:rPr>
          <w:rFonts w:eastAsia="Times New Roman" w:asciiTheme="majorHAnsi" w:hAnsiTheme="majorHAnsi" w:cstheme="majorHAnsi"/>
          <w:sz w:val="22"/>
          <w:szCs w:val="22"/>
        </w:rPr>
        <w:t xml:space="preserve">The importance of </w:t>
      </w:r>
      <w:r w:rsidRPr="00AD2792" w:rsidR="00AD48F8">
        <w:rPr>
          <w:rFonts w:eastAsia="Times New Roman" w:asciiTheme="majorHAnsi" w:hAnsiTheme="majorHAnsi" w:cstheme="majorHAnsi"/>
          <w:sz w:val="22"/>
          <w:szCs w:val="22"/>
        </w:rPr>
        <w:t>investor</w:t>
      </w:r>
      <w:r w:rsidRPr="00AD2792" w:rsidR="000F462A">
        <w:rPr>
          <w:rFonts w:eastAsia="Times New Roman" w:asciiTheme="majorHAnsi" w:hAnsiTheme="majorHAnsi" w:cstheme="majorHAnsi"/>
          <w:sz w:val="22"/>
          <w:szCs w:val="22"/>
        </w:rPr>
        <w:t>s</w:t>
      </w:r>
      <w:r w:rsidRPr="00AD2792" w:rsidR="00AD48F8">
        <w:rPr>
          <w:rFonts w:eastAsia="Times New Roman" w:asciiTheme="majorHAnsi" w:hAnsiTheme="majorHAnsi" w:cstheme="majorHAnsi"/>
          <w:sz w:val="22"/>
          <w:szCs w:val="22"/>
        </w:rPr>
        <w:t>’</w:t>
      </w:r>
      <w:r w:rsidRPr="00AD2792" w:rsidR="000F462A">
        <w:rPr>
          <w:rFonts w:eastAsia="Times New Roman" w:asciiTheme="majorHAnsi" w:hAnsiTheme="majorHAnsi" w:cstheme="majorHAnsi"/>
          <w:sz w:val="22"/>
          <w:szCs w:val="22"/>
        </w:rPr>
        <w:t xml:space="preserve"> </w:t>
      </w:r>
      <w:r w:rsidRPr="00AD2792">
        <w:rPr>
          <w:rFonts w:eastAsia="Times New Roman" w:asciiTheme="majorHAnsi" w:hAnsiTheme="majorHAnsi" w:cstheme="majorHAnsi"/>
          <w:sz w:val="22"/>
          <w:szCs w:val="22"/>
        </w:rPr>
        <w:t xml:space="preserve">due diligence </w:t>
      </w:r>
      <w:r w:rsidRPr="00AD2792" w:rsidR="00AD48F8">
        <w:rPr>
          <w:rFonts w:eastAsia="Times New Roman" w:asciiTheme="majorHAnsi" w:hAnsiTheme="majorHAnsi" w:cstheme="majorHAnsi"/>
          <w:sz w:val="22"/>
          <w:szCs w:val="22"/>
        </w:rPr>
        <w:t xml:space="preserve">also </w:t>
      </w:r>
      <w:r w:rsidRPr="00AD2792" w:rsidR="00753CC7">
        <w:rPr>
          <w:rFonts w:eastAsia="Times New Roman" w:asciiTheme="majorHAnsi" w:hAnsiTheme="majorHAnsi" w:cstheme="majorHAnsi"/>
          <w:sz w:val="22"/>
          <w:szCs w:val="22"/>
        </w:rPr>
        <w:t>emerged in</w:t>
      </w:r>
      <w:r w:rsidRPr="00AD2792">
        <w:rPr>
          <w:rFonts w:eastAsia="Times New Roman" w:asciiTheme="majorHAnsi" w:hAnsiTheme="majorHAnsi" w:cstheme="majorHAnsi"/>
          <w:sz w:val="22"/>
          <w:szCs w:val="22"/>
        </w:rPr>
        <w:t xml:space="preserve"> </w:t>
      </w:r>
      <w:r w:rsidRPr="00AD2792" w:rsidR="00753CC7">
        <w:rPr>
          <w:rFonts w:eastAsia="Times New Roman" w:asciiTheme="majorHAnsi" w:hAnsiTheme="majorHAnsi" w:cstheme="majorHAnsi"/>
          <w:sz w:val="22"/>
          <w:szCs w:val="22"/>
        </w:rPr>
        <w:t>several</w:t>
      </w:r>
      <w:r w:rsidRPr="00AD2792">
        <w:rPr>
          <w:rFonts w:eastAsia="Times New Roman" w:asciiTheme="majorHAnsi" w:hAnsiTheme="majorHAnsi" w:cstheme="majorHAnsi"/>
          <w:sz w:val="22"/>
          <w:szCs w:val="22"/>
        </w:rPr>
        <w:t xml:space="preserve"> investme</w:t>
      </w:r>
      <w:r w:rsidRPr="00AD2792" w:rsidR="008710A5">
        <w:rPr>
          <w:rFonts w:eastAsia="Times New Roman" w:asciiTheme="majorHAnsi" w:hAnsiTheme="majorHAnsi" w:cstheme="majorHAnsi"/>
          <w:sz w:val="22"/>
          <w:szCs w:val="22"/>
        </w:rPr>
        <w:t xml:space="preserve">nt </w:t>
      </w:r>
      <w:r w:rsidRPr="00AD2792" w:rsidR="00AD48F8">
        <w:rPr>
          <w:rFonts w:eastAsia="Times New Roman" w:asciiTheme="majorHAnsi" w:hAnsiTheme="majorHAnsi" w:cstheme="majorHAnsi"/>
          <w:sz w:val="22"/>
          <w:szCs w:val="22"/>
        </w:rPr>
        <w:t xml:space="preserve">law </w:t>
      </w:r>
      <w:r w:rsidRPr="00AD2792" w:rsidR="00DC15FB">
        <w:rPr>
          <w:rFonts w:eastAsia="Times New Roman" w:asciiTheme="majorHAnsi" w:hAnsiTheme="majorHAnsi" w:cstheme="majorHAnsi"/>
          <w:sz w:val="22"/>
          <w:szCs w:val="22"/>
        </w:rPr>
        <w:t xml:space="preserve">decisions </w:t>
      </w:r>
      <w:r w:rsidRPr="00AD2792" w:rsidR="00753CC7">
        <w:rPr>
          <w:rFonts w:eastAsia="Times New Roman" w:asciiTheme="majorHAnsi" w:hAnsiTheme="majorHAnsi" w:cstheme="majorHAnsi"/>
          <w:sz w:val="22"/>
          <w:szCs w:val="22"/>
        </w:rPr>
        <w:t>concerning</w:t>
      </w:r>
      <w:r w:rsidRPr="00AD2792" w:rsidR="00CF7651">
        <w:rPr>
          <w:rFonts w:eastAsia="Times New Roman" w:asciiTheme="majorHAnsi" w:hAnsiTheme="majorHAnsi" w:cstheme="majorHAnsi"/>
          <w:sz w:val="22"/>
          <w:szCs w:val="22"/>
        </w:rPr>
        <w:t xml:space="preserve"> the</w:t>
      </w:r>
      <w:r w:rsidRPr="00AD2792" w:rsidR="00DC15FB">
        <w:rPr>
          <w:rFonts w:eastAsia="Times New Roman" w:asciiTheme="majorHAnsi" w:hAnsiTheme="majorHAnsi" w:cstheme="majorHAnsi"/>
          <w:sz w:val="22"/>
          <w:szCs w:val="22"/>
        </w:rPr>
        <w:t xml:space="preserve"> protection of the</w:t>
      </w:r>
      <w:r w:rsidRPr="00AD2792" w:rsidR="00CF7651">
        <w:rPr>
          <w:rFonts w:eastAsia="Times New Roman" w:asciiTheme="majorHAnsi" w:hAnsiTheme="majorHAnsi" w:cstheme="majorHAnsi"/>
          <w:sz w:val="22"/>
          <w:szCs w:val="22"/>
        </w:rPr>
        <w:t xml:space="preserve"> </w:t>
      </w:r>
      <w:r w:rsidRPr="00AD2792" w:rsidR="000D5520">
        <w:rPr>
          <w:rFonts w:eastAsia="Times New Roman" w:asciiTheme="majorHAnsi" w:hAnsiTheme="majorHAnsi" w:cstheme="majorHAnsi"/>
          <w:sz w:val="22"/>
          <w:szCs w:val="22"/>
        </w:rPr>
        <w:t>FET standard.</w:t>
      </w:r>
      <w:r w:rsidRPr="00AD2792" w:rsidR="009105EB">
        <w:rPr>
          <w:rStyle w:val="FootnoteReference"/>
          <w:rFonts w:asciiTheme="majorHAnsi" w:hAnsiTheme="majorHAnsi" w:cstheme="majorHAnsi"/>
          <w:sz w:val="22"/>
          <w:szCs w:val="22"/>
        </w:rPr>
        <w:footnoteReference w:id="10"/>
      </w:r>
      <w:r w:rsidRPr="00AD2792" w:rsidR="00CF7651">
        <w:rPr>
          <w:rFonts w:eastAsia="Times New Roman" w:asciiTheme="majorHAnsi" w:hAnsiTheme="majorHAnsi" w:cstheme="majorHAnsi"/>
          <w:sz w:val="22"/>
          <w:szCs w:val="22"/>
        </w:rPr>
        <w:t xml:space="preserve"> Some tribunals underlined that an investor bears the responsibility of appraising the reality and the context of the state, in which the investment is/will be made, by performing a due diligence investigation and conducting risk assessments. </w:t>
      </w:r>
      <w:r w:rsidRPr="00AD2792" w:rsidR="008710A5">
        <w:rPr>
          <w:rFonts w:eastAsia="Times New Roman" w:asciiTheme="majorHAnsi" w:hAnsiTheme="majorHAnsi" w:cstheme="majorHAnsi"/>
          <w:sz w:val="22"/>
          <w:szCs w:val="22"/>
        </w:rPr>
        <w:t>In some investment decisions, t</w:t>
      </w:r>
      <w:r w:rsidRPr="00AD2792">
        <w:rPr>
          <w:rFonts w:eastAsia="Times New Roman" w:asciiTheme="majorHAnsi" w:hAnsiTheme="majorHAnsi" w:cstheme="majorHAnsi"/>
          <w:sz w:val="22"/>
          <w:szCs w:val="22"/>
        </w:rPr>
        <w:t>he extent of an investo</w:t>
      </w:r>
      <w:r w:rsidRPr="00AD2792" w:rsidR="008710A5">
        <w:rPr>
          <w:rFonts w:eastAsia="Times New Roman" w:asciiTheme="majorHAnsi" w:hAnsiTheme="majorHAnsi" w:cstheme="majorHAnsi"/>
          <w:sz w:val="22"/>
          <w:szCs w:val="22"/>
        </w:rPr>
        <w:t xml:space="preserve">r’s due diligence investigation constituted a precondition for </w:t>
      </w:r>
      <w:r w:rsidRPr="00AD2792" w:rsidR="00B602EF">
        <w:rPr>
          <w:rFonts w:eastAsia="Times New Roman" w:asciiTheme="majorHAnsi" w:hAnsiTheme="majorHAnsi" w:cstheme="majorHAnsi"/>
          <w:sz w:val="22"/>
          <w:szCs w:val="22"/>
        </w:rPr>
        <w:t xml:space="preserve">the </w:t>
      </w:r>
      <w:r w:rsidRPr="00AD2792" w:rsidR="008710A5">
        <w:rPr>
          <w:rFonts w:eastAsia="Times New Roman" w:asciiTheme="majorHAnsi" w:hAnsiTheme="majorHAnsi" w:cstheme="majorHAnsi"/>
          <w:sz w:val="22"/>
          <w:szCs w:val="22"/>
        </w:rPr>
        <w:t xml:space="preserve">protection of legitimate </w:t>
      </w:r>
      <w:r w:rsidRPr="00AD2792" w:rsidR="00B602EF">
        <w:rPr>
          <w:rFonts w:eastAsia="Times New Roman" w:asciiTheme="majorHAnsi" w:hAnsiTheme="majorHAnsi" w:cstheme="majorHAnsi"/>
          <w:sz w:val="22"/>
          <w:szCs w:val="22"/>
        </w:rPr>
        <w:t xml:space="preserve">expectations </w:t>
      </w:r>
      <w:r w:rsidRPr="00AD2792" w:rsidR="00B667F3">
        <w:rPr>
          <w:rFonts w:eastAsia="Times New Roman" w:asciiTheme="majorHAnsi" w:hAnsiTheme="majorHAnsi" w:cstheme="majorHAnsi"/>
          <w:sz w:val="22"/>
          <w:szCs w:val="22"/>
        </w:rPr>
        <w:t>under the FET standard</w:t>
      </w:r>
      <w:r w:rsidRPr="00AD2792" w:rsidR="008710A5">
        <w:rPr>
          <w:rFonts w:eastAsia="Times New Roman" w:asciiTheme="majorHAnsi" w:hAnsiTheme="majorHAnsi" w:cstheme="majorHAnsi"/>
          <w:sz w:val="22"/>
          <w:szCs w:val="22"/>
        </w:rPr>
        <w:t xml:space="preserve">. </w:t>
      </w:r>
      <w:r w:rsidRPr="00AD2792" w:rsidR="00375492">
        <w:rPr>
          <w:rFonts w:eastAsia="Times New Roman" w:asciiTheme="majorHAnsi" w:hAnsiTheme="majorHAnsi" w:cstheme="majorHAnsi"/>
          <w:sz w:val="22"/>
          <w:szCs w:val="22"/>
        </w:rPr>
        <w:t>The DMIA provision is also coherent with</w:t>
      </w:r>
      <w:r w:rsidRPr="00AD2792" w:rsidR="00941DC8">
        <w:rPr>
          <w:rFonts w:eastAsia="Times New Roman" w:asciiTheme="majorHAnsi" w:hAnsiTheme="majorHAnsi" w:cstheme="majorHAnsi"/>
          <w:sz w:val="22"/>
          <w:szCs w:val="22"/>
        </w:rPr>
        <w:t xml:space="preserve"> new </w:t>
      </w:r>
      <w:r w:rsidRPr="00AD2792" w:rsidR="00225F11">
        <w:rPr>
          <w:rFonts w:eastAsia="Times New Roman" w:asciiTheme="majorHAnsi" w:hAnsiTheme="majorHAnsi" w:cstheme="majorHAnsi"/>
          <w:sz w:val="22"/>
          <w:szCs w:val="22"/>
        </w:rPr>
        <w:t xml:space="preserve">national </w:t>
      </w:r>
      <w:r w:rsidRPr="00AD2792" w:rsidR="00941DC8">
        <w:rPr>
          <w:rFonts w:eastAsia="Times New Roman" w:asciiTheme="majorHAnsi" w:hAnsiTheme="majorHAnsi" w:cstheme="majorHAnsi"/>
          <w:sz w:val="22"/>
          <w:szCs w:val="22"/>
        </w:rPr>
        <w:t xml:space="preserve">laws that require </w:t>
      </w:r>
      <w:r w:rsidRPr="00AD2792" w:rsidR="00225F11">
        <w:rPr>
          <w:rFonts w:eastAsia="Times New Roman" w:asciiTheme="majorHAnsi" w:hAnsiTheme="majorHAnsi" w:cstheme="majorHAnsi"/>
          <w:sz w:val="22"/>
          <w:szCs w:val="22"/>
        </w:rPr>
        <w:t xml:space="preserve">companies to perform </w:t>
      </w:r>
      <w:r w:rsidRPr="00AD2792" w:rsidR="00473F87">
        <w:rPr>
          <w:rFonts w:asciiTheme="majorHAnsi" w:hAnsiTheme="majorHAnsi" w:cstheme="majorHAnsi"/>
          <w:sz w:val="22"/>
          <w:szCs w:val="22"/>
          <w:lang w:val="en-US"/>
        </w:rPr>
        <w:t xml:space="preserve">human rights due diligence </w:t>
      </w:r>
      <w:r w:rsidRPr="00AD2792" w:rsidR="00225F11">
        <w:rPr>
          <w:rFonts w:asciiTheme="majorHAnsi" w:hAnsiTheme="majorHAnsi" w:cstheme="majorHAnsi"/>
          <w:sz w:val="22"/>
          <w:szCs w:val="22"/>
          <w:lang w:val="en-US"/>
        </w:rPr>
        <w:t xml:space="preserve">in their international supply chains </w:t>
      </w:r>
      <w:r w:rsidRPr="00AD2792" w:rsidR="00473F87">
        <w:rPr>
          <w:rFonts w:asciiTheme="majorHAnsi" w:hAnsiTheme="majorHAnsi" w:cstheme="majorHAnsi"/>
          <w:sz w:val="22"/>
          <w:szCs w:val="22"/>
          <w:lang w:val="en-US"/>
        </w:rPr>
        <w:t xml:space="preserve">(e.g. </w:t>
      </w:r>
      <w:r w:rsidRPr="00AD2792" w:rsidR="00812A0B">
        <w:rPr>
          <w:rFonts w:asciiTheme="majorHAnsi" w:hAnsiTheme="majorHAnsi" w:cstheme="majorHAnsi"/>
          <w:sz w:val="22"/>
          <w:szCs w:val="22"/>
          <w:lang w:val="en-US"/>
        </w:rPr>
        <w:t>the ‘UK Modern Slavery Act 2015</w:t>
      </w:r>
      <w:r w:rsidRPr="00AD2792" w:rsidR="00253914">
        <w:rPr>
          <w:rFonts w:asciiTheme="majorHAnsi" w:hAnsiTheme="majorHAnsi" w:cstheme="majorHAnsi"/>
          <w:sz w:val="22"/>
          <w:szCs w:val="22"/>
          <w:lang w:val="en-US"/>
        </w:rPr>
        <w:t>’</w:t>
      </w:r>
      <w:r w:rsidRPr="00AD2792" w:rsidR="00B835D6">
        <w:rPr>
          <w:rFonts w:asciiTheme="majorHAnsi" w:hAnsiTheme="majorHAnsi" w:cstheme="majorHAnsi"/>
          <w:sz w:val="22"/>
          <w:szCs w:val="22"/>
          <w:lang w:val="en-US"/>
        </w:rPr>
        <w:t>;</w:t>
      </w:r>
      <w:r w:rsidRPr="00AD2792" w:rsidR="00253914">
        <w:rPr>
          <w:rStyle w:val="FootnoteReference"/>
          <w:rFonts w:asciiTheme="majorHAnsi" w:hAnsiTheme="majorHAnsi" w:cstheme="majorHAnsi"/>
          <w:sz w:val="22"/>
          <w:szCs w:val="22"/>
        </w:rPr>
        <w:footnoteReference w:id="11"/>
      </w:r>
      <w:r w:rsidRPr="00AD2792" w:rsidR="00812A0B">
        <w:rPr>
          <w:rFonts w:asciiTheme="majorHAnsi" w:hAnsiTheme="majorHAnsi" w:cstheme="majorHAnsi"/>
          <w:sz w:val="22"/>
          <w:szCs w:val="22"/>
          <w:lang w:val="en-US"/>
        </w:rPr>
        <w:t xml:space="preserve"> </w:t>
      </w:r>
      <w:r w:rsidRPr="00AD2792" w:rsidR="00473F87">
        <w:rPr>
          <w:rFonts w:asciiTheme="majorHAnsi" w:hAnsiTheme="majorHAnsi" w:cstheme="majorHAnsi"/>
          <w:sz w:val="22"/>
          <w:szCs w:val="22"/>
          <w:lang w:val="en-US"/>
        </w:rPr>
        <w:t>France</w:t>
      </w:r>
      <w:r w:rsidRPr="00AD2792" w:rsidR="00D13240">
        <w:rPr>
          <w:rFonts w:asciiTheme="majorHAnsi" w:hAnsiTheme="majorHAnsi" w:cstheme="majorHAnsi"/>
          <w:sz w:val="22"/>
          <w:szCs w:val="22"/>
          <w:lang w:val="en-US"/>
        </w:rPr>
        <w:t>’s</w:t>
      </w:r>
      <w:r w:rsidRPr="00AD2792" w:rsidR="00473F87">
        <w:rPr>
          <w:rFonts w:asciiTheme="majorHAnsi" w:hAnsiTheme="majorHAnsi" w:cstheme="majorHAnsi"/>
          <w:sz w:val="22"/>
          <w:szCs w:val="22"/>
          <w:lang w:val="en-US"/>
        </w:rPr>
        <w:t xml:space="preserve"> ‘</w:t>
      </w:r>
      <w:r w:rsidRPr="00AD2792" w:rsidR="00473F87">
        <w:rPr>
          <w:rFonts w:eastAsia="MS Mincho" w:asciiTheme="majorHAnsi" w:hAnsiTheme="majorHAnsi" w:cstheme="majorHAnsi"/>
          <w:sz w:val="22"/>
          <w:szCs w:val="22"/>
        </w:rPr>
        <w:t>duty of vigilance law</w:t>
      </w:r>
      <w:r w:rsidRPr="00AD2792" w:rsidR="00D13240">
        <w:rPr>
          <w:rFonts w:eastAsia="MS Mincho" w:asciiTheme="majorHAnsi" w:hAnsiTheme="majorHAnsi" w:cstheme="majorHAnsi"/>
          <w:sz w:val="22"/>
          <w:szCs w:val="22"/>
        </w:rPr>
        <w:t>’ of 2017</w:t>
      </w:r>
      <w:r w:rsidRPr="00AD2792" w:rsidR="00B835D6">
        <w:rPr>
          <w:rFonts w:eastAsia="MS Mincho" w:asciiTheme="majorHAnsi" w:hAnsiTheme="majorHAnsi" w:cstheme="majorHAnsi"/>
          <w:sz w:val="22"/>
          <w:szCs w:val="22"/>
        </w:rPr>
        <w:t>;</w:t>
      </w:r>
      <w:r w:rsidRPr="00AD2792" w:rsidR="006D05F2">
        <w:rPr>
          <w:rStyle w:val="FootnoteReference"/>
          <w:rFonts w:asciiTheme="majorHAnsi" w:hAnsiTheme="majorHAnsi" w:cstheme="majorHAnsi"/>
          <w:sz w:val="22"/>
          <w:szCs w:val="22"/>
        </w:rPr>
        <w:footnoteReference w:id="12"/>
      </w:r>
      <w:r w:rsidRPr="00AD2792" w:rsidR="00473F87">
        <w:rPr>
          <w:rFonts w:eastAsia="MS Mincho" w:asciiTheme="majorHAnsi" w:hAnsiTheme="majorHAnsi" w:cstheme="majorHAnsi"/>
          <w:sz w:val="22"/>
          <w:szCs w:val="22"/>
        </w:rPr>
        <w:t xml:space="preserve"> </w:t>
      </w:r>
      <w:r w:rsidRPr="00AD2792" w:rsidR="00375492">
        <w:rPr>
          <w:rFonts w:eastAsia="MS Mincho" w:asciiTheme="majorHAnsi" w:hAnsiTheme="majorHAnsi" w:cstheme="majorHAnsi"/>
          <w:sz w:val="22"/>
          <w:szCs w:val="22"/>
        </w:rPr>
        <w:t xml:space="preserve">and in the </w:t>
      </w:r>
      <w:r w:rsidRPr="00AD2792" w:rsidR="00473F87">
        <w:rPr>
          <w:rFonts w:eastAsia="MS Mincho" w:asciiTheme="majorHAnsi" w:hAnsiTheme="majorHAnsi" w:cstheme="majorHAnsi"/>
          <w:sz w:val="22"/>
          <w:szCs w:val="22"/>
        </w:rPr>
        <w:t>Netherlands</w:t>
      </w:r>
      <w:r w:rsidRPr="00AD2792" w:rsidR="00B835D6">
        <w:rPr>
          <w:rFonts w:eastAsia="MS Mincho" w:asciiTheme="majorHAnsi" w:hAnsiTheme="majorHAnsi" w:cstheme="majorHAnsi"/>
          <w:sz w:val="22"/>
          <w:szCs w:val="22"/>
        </w:rPr>
        <w:t>, the</w:t>
      </w:r>
      <w:r w:rsidRPr="00AD2792" w:rsidR="00473F87">
        <w:rPr>
          <w:rFonts w:eastAsia="MS Mincho" w:asciiTheme="majorHAnsi" w:hAnsiTheme="majorHAnsi" w:cstheme="majorHAnsi"/>
          <w:sz w:val="22"/>
          <w:szCs w:val="22"/>
        </w:rPr>
        <w:t xml:space="preserve"> ‘</w:t>
      </w:r>
      <w:r w:rsidRPr="00AD2792" w:rsidR="00473F87">
        <w:rPr>
          <w:rFonts w:eastAsia="MS Mincho" w:asciiTheme="majorHAnsi" w:hAnsiTheme="majorHAnsi" w:cstheme="majorHAnsi"/>
          <w:sz w:val="22"/>
          <w:szCs w:val="22"/>
          <w:lang w:val="en-US"/>
        </w:rPr>
        <w:t xml:space="preserve">Child </w:t>
      </w:r>
      <w:proofErr w:type="spellStart"/>
      <w:r w:rsidRPr="00AD2792" w:rsidR="00473F87">
        <w:rPr>
          <w:rFonts w:eastAsia="MS Mincho" w:asciiTheme="majorHAnsi" w:hAnsiTheme="majorHAnsi" w:cstheme="majorHAnsi"/>
          <w:sz w:val="22"/>
          <w:szCs w:val="22"/>
          <w:lang w:val="en-US"/>
        </w:rPr>
        <w:t>Labo</w:t>
      </w:r>
      <w:r w:rsidRPr="00AD2792" w:rsidR="00812A0B">
        <w:rPr>
          <w:rFonts w:eastAsia="MS Mincho" w:asciiTheme="majorHAnsi" w:hAnsiTheme="majorHAnsi" w:cstheme="majorHAnsi"/>
          <w:sz w:val="22"/>
          <w:szCs w:val="22"/>
          <w:lang w:val="en-US"/>
        </w:rPr>
        <w:t>u</w:t>
      </w:r>
      <w:r w:rsidRPr="00AD2792" w:rsidR="00473F87">
        <w:rPr>
          <w:rFonts w:eastAsia="MS Mincho" w:asciiTheme="majorHAnsi" w:hAnsiTheme="majorHAnsi" w:cstheme="majorHAnsi"/>
          <w:sz w:val="22"/>
          <w:szCs w:val="22"/>
          <w:lang w:val="en-US"/>
        </w:rPr>
        <w:t>r</w:t>
      </w:r>
      <w:proofErr w:type="spellEnd"/>
      <w:r w:rsidRPr="00AD2792" w:rsidR="00473F87">
        <w:rPr>
          <w:rFonts w:eastAsia="MS Mincho" w:asciiTheme="majorHAnsi" w:hAnsiTheme="majorHAnsi" w:cstheme="majorHAnsi"/>
          <w:sz w:val="22"/>
          <w:szCs w:val="22"/>
          <w:lang w:val="en-US"/>
        </w:rPr>
        <w:t xml:space="preserve"> Due Diligence Bill</w:t>
      </w:r>
      <w:r w:rsidRPr="00AD2792" w:rsidR="00375492">
        <w:rPr>
          <w:rFonts w:eastAsia="MS Mincho" w:asciiTheme="majorHAnsi" w:hAnsiTheme="majorHAnsi" w:cstheme="majorHAnsi"/>
          <w:sz w:val="22"/>
          <w:szCs w:val="22"/>
          <w:lang w:val="en-US"/>
        </w:rPr>
        <w:t>’</w:t>
      </w:r>
      <w:r w:rsidRPr="00AD2792" w:rsidR="00473F87">
        <w:rPr>
          <w:rFonts w:eastAsia="MS Mincho" w:asciiTheme="majorHAnsi" w:hAnsiTheme="majorHAnsi" w:cstheme="majorHAnsi"/>
          <w:sz w:val="22"/>
          <w:szCs w:val="22"/>
          <w:lang w:val="en-US"/>
        </w:rPr>
        <w:t>, l</w:t>
      </w:r>
      <w:r w:rsidRPr="00AD2792" w:rsidR="00375492">
        <w:rPr>
          <w:rFonts w:eastAsia="MS Mincho" w:asciiTheme="majorHAnsi" w:hAnsiTheme="majorHAnsi" w:cstheme="majorHAnsi"/>
          <w:sz w:val="22"/>
          <w:szCs w:val="22"/>
          <w:lang w:val="en-US"/>
        </w:rPr>
        <w:t>egislative</w:t>
      </w:r>
      <w:r w:rsidRPr="00AD2792" w:rsidR="00473F87">
        <w:rPr>
          <w:rFonts w:eastAsia="MS Mincho" w:asciiTheme="majorHAnsi" w:hAnsiTheme="majorHAnsi" w:cstheme="majorHAnsi"/>
          <w:sz w:val="22"/>
          <w:szCs w:val="22"/>
          <w:lang w:val="en-US"/>
        </w:rPr>
        <w:t xml:space="preserve"> proposal, 2017</w:t>
      </w:r>
      <w:r w:rsidRPr="00AD2792" w:rsidR="00B835D6">
        <w:rPr>
          <w:rStyle w:val="FootnoteReference"/>
          <w:rFonts w:asciiTheme="majorHAnsi" w:hAnsiTheme="majorHAnsi" w:cstheme="majorHAnsi"/>
          <w:sz w:val="22"/>
          <w:szCs w:val="22"/>
        </w:rPr>
        <w:footnoteReference w:id="13"/>
      </w:r>
      <w:r w:rsidRPr="00AD2792" w:rsidR="00473F87">
        <w:rPr>
          <w:rFonts w:eastAsia="MS Mincho" w:asciiTheme="majorHAnsi" w:hAnsiTheme="majorHAnsi" w:cstheme="majorHAnsi"/>
          <w:sz w:val="22"/>
          <w:szCs w:val="22"/>
        </w:rPr>
        <w:t>)</w:t>
      </w:r>
      <w:r w:rsidRPr="00AD2792" w:rsidR="00225F11">
        <w:rPr>
          <w:rFonts w:eastAsia="MS Mincho" w:asciiTheme="majorHAnsi" w:hAnsiTheme="majorHAnsi" w:cstheme="majorHAnsi"/>
          <w:sz w:val="22"/>
          <w:szCs w:val="22"/>
        </w:rPr>
        <w:t>,</w:t>
      </w:r>
      <w:r w:rsidRPr="00AD2792" w:rsidR="00473F87">
        <w:rPr>
          <w:rFonts w:eastAsia="MS Mincho" w:asciiTheme="majorHAnsi" w:hAnsiTheme="majorHAnsi" w:cstheme="majorHAnsi"/>
          <w:sz w:val="22"/>
          <w:szCs w:val="22"/>
        </w:rPr>
        <w:t xml:space="preserve"> </w:t>
      </w:r>
      <w:r w:rsidRPr="00AD2792" w:rsidR="00473F87">
        <w:rPr>
          <w:rFonts w:asciiTheme="majorHAnsi" w:hAnsiTheme="majorHAnsi" w:cstheme="majorHAnsi"/>
          <w:sz w:val="22"/>
          <w:szCs w:val="22"/>
          <w:lang w:val="en-US"/>
        </w:rPr>
        <w:t xml:space="preserve">and </w:t>
      </w:r>
      <w:r w:rsidRPr="00AD2792" w:rsidR="00225F11">
        <w:rPr>
          <w:rFonts w:asciiTheme="majorHAnsi" w:hAnsiTheme="majorHAnsi" w:cstheme="majorHAnsi"/>
          <w:sz w:val="22"/>
          <w:szCs w:val="22"/>
          <w:lang w:val="en-US"/>
        </w:rPr>
        <w:t>EU regulations</w:t>
      </w:r>
      <w:r w:rsidRPr="00AD2792" w:rsidR="00E03E5D">
        <w:rPr>
          <w:rFonts w:asciiTheme="majorHAnsi" w:hAnsiTheme="majorHAnsi" w:cstheme="majorHAnsi"/>
          <w:sz w:val="22"/>
          <w:szCs w:val="22"/>
          <w:lang w:val="en-US"/>
        </w:rPr>
        <w:t xml:space="preserve"> </w:t>
      </w:r>
      <w:r w:rsidRPr="00AD2792" w:rsidR="00706013">
        <w:rPr>
          <w:rFonts w:asciiTheme="majorHAnsi" w:hAnsiTheme="majorHAnsi" w:cstheme="majorHAnsi"/>
          <w:sz w:val="22"/>
          <w:szCs w:val="22"/>
          <w:lang w:val="en-US"/>
        </w:rPr>
        <w:t xml:space="preserve">(on timber, conflict minerals and chemicals) </w:t>
      </w:r>
      <w:r w:rsidRPr="00AD2792" w:rsidR="00E03E5D">
        <w:rPr>
          <w:rFonts w:asciiTheme="majorHAnsi" w:hAnsiTheme="majorHAnsi" w:cstheme="majorHAnsi"/>
          <w:sz w:val="22"/>
          <w:szCs w:val="22"/>
          <w:lang w:val="en-US"/>
        </w:rPr>
        <w:t>and OECD policy guidelines</w:t>
      </w:r>
      <w:r w:rsidRPr="00AD2792" w:rsidR="00706013">
        <w:rPr>
          <w:rFonts w:asciiTheme="majorHAnsi" w:hAnsiTheme="majorHAnsi" w:cstheme="majorHAnsi"/>
          <w:sz w:val="22"/>
          <w:szCs w:val="22"/>
          <w:lang w:val="en-US"/>
        </w:rPr>
        <w:t xml:space="preserve"> (</w:t>
      </w:r>
      <w:r w:rsidR="00997A05">
        <w:rPr>
          <w:rFonts w:asciiTheme="majorHAnsi" w:hAnsiTheme="majorHAnsi" w:cstheme="majorHAnsi"/>
          <w:sz w:val="22"/>
          <w:szCs w:val="22"/>
          <w:lang w:val="en-US"/>
        </w:rPr>
        <w:t xml:space="preserve">e.g. </w:t>
      </w:r>
      <w:r w:rsidRPr="00AD2792" w:rsidR="003F69F1">
        <w:rPr>
          <w:rFonts w:asciiTheme="majorHAnsi" w:hAnsiTheme="majorHAnsi" w:cstheme="majorHAnsi"/>
          <w:sz w:val="22"/>
          <w:szCs w:val="22"/>
          <w:lang w:val="en-US"/>
        </w:rPr>
        <w:t>concerning doing business in fragile states, and in the textile and footwear sector)</w:t>
      </w:r>
      <w:r w:rsidRPr="00AD2792" w:rsidR="00473F87">
        <w:rPr>
          <w:rFonts w:asciiTheme="majorHAnsi" w:hAnsiTheme="majorHAnsi" w:cstheme="majorHAnsi"/>
          <w:sz w:val="22"/>
          <w:szCs w:val="22"/>
          <w:lang w:val="en-US"/>
        </w:rPr>
        <w:t>.</w:t>
      </w:r>
      <w:r w:rsidRPr="00AD2792" w:rsidR="00473F87">
        <w:rPr>
          <w:rStyle w:val="FootnoteReference"/>
          <w:rFonts w:asciiTheme="majorHAnsi" w:hAnsiTheme="majorHAnsi" w:cstheme="majorHAnsi"/>
          <w:sz w:val="22"/>
          <w:szCs w:val="22"/>
        </w:rPr>
        <w:footnoteReference w:id="14"/>
      </w:r>
      <w:r w:rsidRPr="00AD2792" w:rsidR="00473F87">
        <w:rPr>
          <w:rFonts w:asciiTheme="majorHAnsi" w:hAnsiTheme="majorHAnsi" w:cstheme="majorHAnsi"/>
          <w:sz w:val="22"/>
          <w:szCs w:val="22"/>
          <w:lang w:val="en-US"/>
        </w:rPr>
        <w:t xml:space="preserve">  </w:t>
      </w:r>
    </w:p>
    <w:p w:rsidRPr="00AD2792" w:rsidR="007750CC" w:rsidP="00DC6FA6" w:rsidRDefault="007750CC">
      <w:pPr>
        <w:jc w:val="both"/>
        <w:rPr>
          <w:rFonts w:asciiTheme="majorHAnsi" w:hAnsiTheme="majorHAnsi" w:cstheme="majorHAnsi"/>
          <w:sz w:val="22"/>
          <w:szCs w:val="22"/>
          <w:lang w:val="en-US"/>
        </w:rPr>
      </w:pPr>
    </w:p>
    <w:p w:rsidRPr="00AD2792" w:rsidR="003B45E3" w:rsidP="00DC6FA6" w:rsidRDefault="00B30F68">
      <w:pPr>
        <w:jc w:val="both"/>
        <w:rPr>
          <w:rFonts w:asciiTheme="majorHAnsi" w:hAnsiTheme="majorHAnsi" w:cstheme="majorHAnsi"/>
          <w:sz w:val="22"/>
          <w:szCs w:val="22"/>
        </w:rPr>
      </w:pPr>
      <w:r w:rsidRPr="00AD2792">
        <w:rPr>
          <w:rFonts w:asciiTheme="majorHAnsi" w:hAnsiTheme="majorHAnsi" w:cstheme="majorHAnsi"/>
          <w:i/>
          <w:sz w:val="22"/>
          <w:szCs w:val="22"/>
          <w:lang w:val="en-US"/>
        </w:rPr>
        <w:t xml:space="preserve">Fourthly, </w:t>
      </w:r>
      <w:r w:rsidRPr="00AD2792">
        <w:rPr>
          <w:rFonts w:asciiTheme="majorHAnsi" w:hAnsiTheme="majorHAnsi" w:cstheme="majorHAnsi"/>
          <w:sz w:val="22"/>
          <w:szCs w:val="22"/>
          <w:lang w:val="en-US"/>
        </w:rPr>
        <w:t xml:space="preserve">the inclusion of Article 7 on </w:t>
      </w:r>
      <w:r w:rsidRPr="00AD2792" w:rsidR="00623EC2">
        <w:rPr>
          <w:rFonts w:asciiTheme="majorHAnsi" w:hAnsiTheme="majorHAnsi" w:cstheme="majorHAnsi"/>
          <w:sz w:val="22"/>
          <w:szCs w:val="22"/>
          <w:lang w:val="en-US"/>
        </w:rPr>
        <w:t>CSR</w:t>
      </w:r>
      <w:r w:rsidRPr="00AD2792">
        <w:rPr>
          <w:rFonts w:asciiTheme="majorHAnsi" w:hAnsiTheme="majorHAnsi" w:cstheme="majorHAnsi"/>
          <w:sz w:val="22"/>
          <w:szCs w:val="22"/>
          <w:lang w:val="en-US"/>
        </w:rPr>
        <w:t xml:space="preserve"> is a positive development. However, Article 7(2)</w:t>
      </w:r>
      <w:r w:rsidRPr="00AD2792" w:rsidR="00623EC2">
        <w:rPr>
          <w:rFonts w:asciiTheme="majorHAnsi" w:hAnsiTheme="majorHAnsi" w:cstheme="majorHAnsi"/>
          <w:sz w:val="22"/>
          <w:szCs w:val="22"/>
          <w:lang w:val="en-US"/>
        </w:rPr>
        <w:t>,</w:t>
      </w:r>
      <w:r w:rsidRPr="00AD2792">
        <w:rPr>
          <w:rFonts w:asciiTheme="majorHAnsi" w:hAnsiTheme="majorHAnsi" w:cstheme="majorHAnsi"/>
          <w:sz w:val="22"/>
          <w:szCs w:val="22"/>
          <w:lang w:val="en-US"/>
        </w:rPr>
        <w:t xml:space="preserve"> wh</w:t>
      </w:r>
      <w:r w:rsidRPr="00AD2792" w:rsidR="00623EC2">
        <w:rPr>
          <w:rFonts w:asciiTheme="majorHAnsi" w:hAnsiTheme="majorHAnsi" w:cstheme="majorHAnsi"/>
          <w:sz w:val="22"/>
          <w:szCs w:val="22"/>
          <w:lang w:val="en-US"/>
        </w:rPr>
        <w:t>ich clarifies</w:t>
      </w:r>
      <w:r w:rsidRPr="00AD2792">
        <w:rPr>
          <w:rFonts w:asciiTheme="majorHAnsi" w:hAnsiTheme="majorHAnsi" w:cstheme="majorHAnsi"/>
          <w:sz w:val="22"/>
          <w:szCs w:val="22"/>
          <w:lang w:val="en-US"/>
        </w:rPr>
        <w:t xml:space="preserve"> the CSR responsibilities</w:t>
      </w:r>
      <w:r w:rsidRPr="00AD2792" w:rsidR="00A12507">
        <w:rPr>
          <w:rFonts w:asciiTheme="majorHAnsi" w:hAnsiTheme="majorHAnsi" w:cstheme="majorHAnsi"/>
          <w:sz w:val="22"/>
          <w:szCs w:val="22"/>
          <w:lang w:val="en-US"/>
        </w:rPr>
        <w:t>,</w:t>
      </w:r>
      <w:r w:rsidRPr="00AD2792">
        <w:rPr>
          <w:rFonts w:asciiTheme="majorHAnsi" w:hAnsiTheme="majorHAnsi" w:cstheme="majorHAnsi"/>
          <w:sz w:val="22"/>
          <w:szCs w:val="22"/>
          <w:lang w:val="en-US"/>
        </w:rPr>
        <w:t xml:space="preserve"> does no</w:t>
      </w:r>
      <w:r w:rsidRPr="00AD2792" w:rsidR="00A12507">
        <w:rPr>
          <w:rFonts w:asciiTheme="majorHAnsi" w:hAnsiTheme="majorHAnsi" w:cstheme="majorHAnsi"/>
          <w:sz w:val="22"/>
          <w:szCs w:val="22"/>
          <w:lang w:val="en-US"/>
        </w:rPr>
        <w:t>t</w:t>
      </w:r>
      <w:r w:rsidRPr="00AD2792">
        <w:rPr>
          <w:rFonts w:asciiTheme="majorHAnsi" w:hAnsiTheme="majorHAnsi" w:cstheme="majorHAnsi"/>
          <w:sz w:val="22"/>
          <w:szCs w:val="22"/>
          <w:lang w:val="en-US"/>
        </w:rPr>
        <w:t xml:space="preserve"> go further than merely ‘to reaffirm the importance of each Contracting Party to</w:t>
      </w:r>
      <w:r w:rsidRPr="00AD2792" w:rsidR="003B45E3">
        <w:rPr>
          <w:rFonts w:asciiTheme="majorHAnsi" w:hAnsiTheme="majorHAnsi" w:cstheme="majorHAnsi"/>
          <w:sz w:val="22"/>
          <w:szCs w:val="22"/>
          <w:lang w:val="en-US"/>
        </w:rPr>
        <w:t xml:space="preserve"> </w:t>
      </w:r>
      <w:r w:rsidRPr="00AD2792">
        <w:rPr>
          <w:rFonts w:asciiTheme="majorHAnsi" w:hAnsiTheme="majorHAnsi" w:cstheme="majorHAnsi"/>
          <w:sz w:val="22"/>
          <w:szCs w:val="22"/>
          <w:lang w:val="en-US"/>
        </w:rPr>
        <w:t>encourage investors</w:t>
      </w:r>
      <w:r w:rsidRPr="00AD2792" w:rsidR="003B45E3">
        <w:rPr>
          <w:rFonts w:asciiTheme="majorHAnsi" w:hAnsiTheme="majorHAnsi" w:cstheme="majorHAnsi"/>
          <w:sz w:val="22"/>
          <w:szCs w:val="22"/>
          <w:lang w:val="en-US"/>
        </w:rPr>
        <w:t xml:space="preserve"> </w:t>
      </w:r>
      <w:r w:rsidRPr="00AD2792" w:rsidR="00630161">
        <w:rPr>
          <w:rFonts w:asciiTheme="majorHAnsi" w:hAnsiTheme="majorHAnsi" w:cstheme="majorHAnsi"/>
          <w:sz w:val="22"/>
          <w:szCs w:val="22"/>
          <w:lang w:val="en-US"/>
        </w:rPr>
        <w:t xml:space="preserve">operating within its territory or subject to its jurisdiction </w:t>
      </w:r>
      <w:r w:rsidRPr="00AD2792" w:rsidR="003B45E3">
        <w:rPr>
          <w:rFonts w:asciiTheme="majorHAnsi" w:hAnsiTheme="majorHAnsi" w:cstheme="majorHAnsi"/>
          <w:sz w:val="22"/>
          <w:szCs w:val="22"/>
          <w:lang w:val="en-US"/>
        </w:rPr>
        <w:t>to</w:t>
      </w:r>
      <w:r w:rsidRPr="00AD2792" w:rsidR="00A12507">
        <w:rPr>
          <w:rFonts w:asciiTheme="majorHAnsi" w:hAnsiTheme="majorHAnsi" w:cstheme="majorHAnsi"/>
          <w:sz w:val="22"/>
          <w:szCs w:val="22"/>
          <w:lang w:val="en-US"/>
        </w:rPr>
        <w:t xml:space="preserve"> voluntarily </w:t>
      </w:r>
      <w:r w:rsidRPr="00AD2792" w:rsidR="003B45E3">
        <w:rPr>
          <w:rFonts w:asciiTheme="majorHAnsi" w:hAnsiTheme="majorHAnsi" w:cstheme="majorHAnsi"/>
          <w:sz w:val="22"/>
          <w:szCs w:val="22"/>
          <w:lang w:val="en-US"/>
        </w:rPr>
        <w:t xml:space="preserve">incorporate </w:t>
      </w:r>
      <w:r w:rsidRPr="00AD2792" w:rsidR="00A12507">
        <w:rPr>
          <w:rFonts w:asciiTheme="majorHAnsi" w:hAnsiTheme="majorHAnsi" w:cstheme="majorHAnsi"/>
          <w:sz w:val="22"/>
          <w:szCs w:val="22"/>
          <w:lang w:val="en-US"/>
        </w:rPr>
        <w:t xml:space="preserve">into their internal policies those </w:t>
      </w:r>
      <w:r w:rsidRPr="00AD2792" w:rsidR="003B45E3">
        <w:rPr>
          <w:rFonts w:asciiTheme="majorHAnsi" w:hAnsiTheme="majorHAnsi" w:cstheme="majorHAnsi"/>
          <w:sz w:val="22"/>
          <w:szCs w:val="22"/>
          <w:lang w:val="en-US"/>
        </w:rPr>
        <w:t xml:space="preserve">internationally </w:t>
      </w:r>
      <w:proofErr w:type="spellStart"/>
      <w:r w:rsidRPr="00AD2792" w:rsidR="003B45E3">
        <w:rPr>
          <w:rFonts w:asciiTheme="majorHAnsi" w:hAnsiTheme="majorHAnsi" w:cstheme="majorHAnsi"/>
          <w:sz w:val="22"/>
          <w:szCs w:val="22"/>
          <w:lang w:val="en-US"/>
        </w:rPr>
        <w:t>recogni</w:t>
      </w:r>
      <w:r w:rsidRPr="00AD2792" w:rsidR="00A12507">
        <w:rPr>
          <w:rFonts w:asciiTheme="majorHAnsi" w:hAnsiTheme="majorHAnsi" w:cstheme="majorHAnsi"/>
          <w:sz w:val="22"/>
          <w:szCs w:val="22"/>
          <w:lang w:val="en-US"/>
        </w:rPr>
        <w:t>s</w:t>
      </w:r>
      <w:r w:rsidRPr="00AD2792" w:rsidR="003B45E3">
        <w:rPr>
          <w:rFonts w:asciiTheme="majorHAnsi" w:hAnsiTheme="majorHAnsi" w:cstheme="majorHAnsi"/>
          <w:sz w:val="22"/>
          <w:szCs w:val="22"/>
          <w:lang w:val="en-US"/>
        </w:rPr>
        <w:t>ed</w:t>
      </w:r>
      <w:proofErr w:type="spellEnd"/>
      <w:r w:rsidRPr="00AD2792" w:rsidR="003B45E3">
        <w:rPr>
          <w:rFonts w:asciiTheme="majorHAnsi" w:hAnsiTheme="majorHAnsi" w:cstheme="majorHAnsi"/>
          <w:sz w:val="22"/>
          <w:szCs w:val="22"/>
          <w:lang w:val="en-US"/>
        </w:rPr>
        <w:t xml:space="preserve"> CSR standards</w:t>
      </w:r>
      <w:r w:rsidRPr="00AD2792" w:rsidR="00630161">
        <w:rPr>
          <w:rFonts w:asciiTheme="majorHAnsi" w:hAnsiTheme="majorHAnsi" w:cstheme="majorHAnsi"/>
          <w:sz w:val="22"/>
          <w:szCs w:val="22"/>
          <w:lang w:val="en-US"/>
        </w:rPr>
        <w:t xml:space="preserve"> …’</w:t>
      </w:r>
      <w:r w:rsidRPr="00AD2792" w:rsidR="003B45E3">
        <w:rPr>
          <w:rFonts w:asciiTheme="majorHAnsi" w:hAnsiTheme="majorHAnsi" w:cstheme="majorHAnsi"/>
          <w:sz w:val="22"/>
          <w:szCs w:val="22"/>
          <w:lang w:val="en-US"/>
        </w:rPr>
        <w:t xml:space="preserve">. </w:t>
      </w:r>
      <w:r w:rsidR="00023100">
        <w:rPr>
          <w:rFonts w:asciiTheme="majorHAnsi" w:hAnsiTheme="majorHAnsi" w:cstheme="majorHAnsi"/>
          <w:sz w:val="22"/>
          <w:szCs w:val="22"/>
          <w:lang w:val="en-US"/>
        </w:rPr>
        <w:t>S</w:t>
      </w:r>
      <w:r w:rsidR="00F5277B">
        <w:rPr>
          <w:rFonts w:asciiTheme="majorHAnsi" w:hAnsiTheme="majorHAnsi" w:cstheme="majorHAnsi"/>
          <w:sz w:val="22"/>
          <w:szCs w:val="22"/>
          <w:lang w:val="en-US"/>
        </w:rPr>
        <w:t xml:space="preserve">ince </w:t>
      </w:r>
      <w:r w:rsidRPr="00AD2792" w:rsidR="00013F53">
        <w:rPr>
          <w:rFonts w:asciiTheme="majorHAnsi" w:hAnsiTheme="majorHAnsi" w:cstheme="majorHAnsi"/>
          <w:sz w:val="22"/>
          <w:szCs w:val="22"/>
          <w:lang w:val="en-US"/>
        </w:rPr>
        <w:t xml:space="preserve">the goal </w:t>
      </w:r>
      <w:r w:rsidR="00023100">
        <w:rPr>
          <w:rFonts w:asciiTheme="majorHAnsi" w:hAnsiTheme="majorHAnsi" w:cstheme="majorHAnsi"/>
          <w:sz w:val="22"/>
          <w:szCs w:val="22"/>
          <w:lang w:val="en-US"/>
        </w:rPr>
        <w:t>of this provision</w:t>
      </w:r>
      <w:r w:rsidRPr="00AD2792" w:rsidR="00013F53">
        <w:rPr>
          <w:rFonts w:asciiTheme="majorHAnsi" w:hAnsiTheme="majorHAnsi" w:cstheme="majorHAnsi"/>
          <w:sz w:val="22"/>
          <w:szCs w:val="22"/>
          <w:lang w:val="en-US"/>
        </w:rPr>
        <w:t xml:space="preserve"> is </w:t>
      </w:r>
      <w:r w:rsidR="00563E95">
        <w:rPr>
          <w:rFonts w:asciiTheme="majorHAnsi" w:hAnsiTheme="majorHAnsi" w:cstheme="majorHAnsi"/>
          <w:sz w:val="22"/>
          <w:szCs w:val="22"/>
          <w:lang w:val="en-US"/>
        </w:rPr>
        <w:t xml:space="preserve">to stimulate </w:t>
      </w:r>
      <w:r w:rsidRPr="00AD2792" w:rsidR="00013F53">
        <w:rPr>
          <w:rFonts w:asciiTheme="majorHAnsi" w:hAnsiTheme="majorHAnsi" w:cstheme="majorHAnsi"/>
          <w:sz w:val="22"/>
          <w:szCs w:val="22"/>
          <w:lang w:val="en-US"/>
        </w:rPr>
        <w:lastRenderedPageBreak/>
        <w:t xml:space="preserve">that all investors fulfill the internationally </w:t>
      </w:r>
      <w:proofErr w:type="spellStart"/>
      <w:r w:rsidRPr="00AD2792" w:rsidR="00013F53">
        <w:rPr>
          <w:rFonts w:asciiTheme="majorHAnsi" w:hAnsiTheme="majorHAnsi" w:cstheme="majorHAnsi"/>
          <w:sz w:val="22"/>
          <w:szCs w:val="22"/>
          <w:lang w:val="en-US"/>
        </w:rPr>
        <w:t>recognised</w:t>
      </w:r>
      <w:proofErr w:type="spellEnd"/>
      <w:r w:rsidRPr="00AD2792" w:rsidR="00013F53">
        <w:rPr>
          <w:rFonts w:asciiTheme="majorHAnsi" w:hAnsiTheme="majorHAnsi" w:cstheme="majorHAnsi"/>
          <w:sz w:val="22"/>
          <w:szCs w:val="22"/>
          <w:lang w:val="en-US"/>
        </w:rPr>
        <w:t xml:space="preserve"> CSR standards,</w:t>
      </w:r>
      <w:r w:rsidRPr="00AD2792" w:rsidR="00013F53">
        <w:rPr>
          <w:rFonts w:asciiTheme="majorHAnsi" w:hAnsiTheme="majorHAnsi" w:cstheme="majorHAnsi"/>
          <w:sz w:val="22"/>
          <w:szCs w:val="22"/>
        </w:rPr>
        <w:t xml:space="preserve"> w</w:t>
      </w:r>
      <w:proofErr w:type="spellStart"/>
      <w:r w:rsidRPr="00AD2792" w:rsidR="00630161">
        <w:rPr>
          <w:rFonts w:asciiTheme="majorHAnsi" w:hAnsiTheme="majorHAnsi" w:cstheme="majorHAnsi"/>
          <w:sz w:val="22"/>
          <w:szCs w:val="22"/>
          <w:lang w:val="en-US"/>
        </w:rPr>
        <w:t>e</w:t>
      </w:r>
      <w:proofErr w:type="spellEnd"/>
      <w:r w:rsidRPr="00AD2792" w:rsidR="00630161">
        <w:rPr>
          <w:rFonts w:asciiTheme="majorHAnsi" w:hAnsiTheme="majorHAnsi" w:cstheme="majorHAnsi"/>
          <w:sz w:val="22"/>
          <w:szCs w:val="22"/>
          <w:lang w:val="en-US"/>
        </w:rPr>
        <w:t xml:space="preserve"> wonder why it contains the word ‘voluntarily’</w:t>
      </w:r>
      <w:r w:rsidR="00B230D5">
        <w:rPr>
          <w:rFonts w:asciiTheme="majorHAnsi" w:hAnsiTheme="majorHAnsi" w:cstheme="majorHAnsi"/>
          <w:sz w:val="22"/>
          <w:szCs w:val="22"/>
          <w:lang w:val="en-US"/>
        </w:rPr>
        <w:t>. The provision</w:t>
      </w:r>
      <w:r w:rsidRPr="00AD2792" w:rsidR="00CF2F9D">
        <w:rPr>
          <w:rFonts w:asciiTheme="majorHAnsi" w:hAnsiTheme="majorHAnsi" w:cstheme="majorHAnsi"/>
          <w:sz w:val="22"/>
          <w:szCs w:val="22"/>
          <w:lang w:val="en-US"/>
        </w:rPr>
        <w:t xml:space="preserve"> could have been phrased without that word, </w:t>
      </w:r>
      <w:r w:rsidR="00B230D5">
        <w:rPr>
          <w:rFonts w:asciiTheme="majorHAnsi" w:hAnsiTheme="majorHAnsi" w:cstheme="majorHAnsi"/>
          <w:sz w:val="22"/>
          <w:szCs w:val="22"/>
          <w:lang w:val="en-US"/>
        </w:rPr>
        <w:t xml:space="preserve">or, </w:t>
      </w:r>
      <w:r w:rsidRPr="00AD2792" w:rsidR="00CF2F9D">
        <w:rPr>
          <w:rFonts w:asciiTheme="majorHAnsi" w:hAnsiTheme="majorHAnsi" w:cstheme="majorHAnsi"/>
          <w:sz w:val="22"/>
          <w:szCs w:val="22"/>
          <w:lang w:val="en-US"/>
        </w:rPr>
        <w:t>in order to make the encouragement stronger</w:t>
      </w:r>
      <w:r w:rsidRPr="00AD2792" w:rsidR="00586BFE">
        <w:rPr>
          <w:rFonts w:asciiTheme="majorHAnsi" w:hAnsiTheme="majorHAnsi" w:cstheme="majorHAnsi"/>
          <w:sz w:val="22"/>
          <w:szCs w:val="22"/>
          <w:lang w:val="en-US"/>
        </w:rPr>
        <w:t xml:space="preserve">, </w:t>
      </w:r>
      <w:r w:rsidRPr="00AD2792" w:rsidR="00013F53">
        <w:rPr>
          <w:rFonts w:asciiTheme="majorHAnsi" w:hAnsiTheme="majorHAnsi" w:cstheme="majorHAnsi"/>
          <w:sz w:val="22"/>
          <w:szCs w:val="22"/>
          <w:lang w:val="en-US"/>
        </w:rPr>
        <w:t>th</w:t>
      </w:r>
      <w:r w:rsidR="00B230D5">
        <w:rPr>
          <w:rFonts w:asciiTheme="majorHAnsi" w:hAnsiTheme="majorHAnsi" w:cstheme="majorHAnsi"/>
          <w:sz w:val="22"/>
          <w:szCs w:val="22"/>
          <w:lang w:val="en-US"/>
        </w:rPr>
        <w:t>is</w:t>
      </w:r>
      <w:r w:rsidRPr="00AD2792" w:rsidR="00013F53">
        <w:rPr>
          <w:rFonts w:asciiTheme="majorHAnsi" w:hAnsiTheme="majorHAnsi" w:cstheme="majorHAnsi"/>
          <w:sz w:val="22"/>
          <w:szCs w:val="22"/>
          <w:lang w:val="en-US"/>
        </w:rPr>
        <w:t xml:space="preserve"> text could have </w:t>
      </w:r>
      <w:r w:rsidRPr="00AD2792" w:rsidR="00586BFE">
        <w:rPr>
          <w:rFonts w:asciiTheme="majorHAnsi" w:hAnsiTheme="majorHAnsi" w:cstheme="majorHAnsi"/>
          <w:sz w:val="22"/>
          <w:szCs w:val="22"/>
          <w:lang w:val="en-US"/>
        </w:rPr>
        <w:t>directly addressed the investors</w:t>
      </w:r>
      <w:r w:rsidRPr="00AD2792" w:rsidR="00CF2F9D">
        <w:rPr>
          <w:rFonts w:asciiTheme="majorHAnsi" w:hAnsiTheme="majorHAnsi" w:cstheme="majorHAnsi"/>
          <w:sz w:val="22"/>
          <w:szCs w:val="22"/>
          <w:lang w:val="en-US"/>
        </w:rPr>
        <w:t>.</w:t>
      </w:r>
      <w:r w:rsidRPr="00AD2792" w:rsidR="00A84F48">
        <w:rPr>
          <w:rStyle w:val="FootnoteReference"/>
          <w:rFonts w:asciiTheme="majorHAnsi" w:hAnsiTheme="majorHAnsi" w:cstheme="majorHAnsi"/>
          <w:sz w:val="22"/>
          <w:szCs w:val="22"/>
        </w:rPr>
        <w:footnoteReference w:id="15"/>
      </w:r>
      <w:r w:rsidRPr="00AD2792" w:rsidR="00CF2F9D">
        <w:rPr>
          <w:rFonts w:asciiTheme="majorHAnsi" w:hAnsiTheme="majorHAnsi" w:cstheme="majorHAnsi"/>
          <w:sz w:val="22"/>
          <w:szCs w:val="22"/>
          <w:lang w:val="en-US"/>
        </w:rPr>
        <w:t xml:space="preserve"> </w:t>
      </w:r>
      <w:r w:rsidRPr="00AD2792" w:rsidR="003B45E3">
        <w:rPr>
          <w:rFonts w:asciiTheme="majorHAnsi" w:hAnsiTheme="majorHAnsi" w:cstheme="majorHAnsi"/>
          <w:sz w:val="22"/>
          <w:szCs w:val="22"/>
        </w:rPr>
        <w:t xml:space="preserve">Examples </w:t>
      </w:r>
      <w:r w:rsidRPr="00AD2792" w:rsidR="00A84F48">
        <w:rPr>
          <w:rFonts w:asciiTheme="majorHAnsi" w:hAnsiTheme="majorHAnsi" w:cstheme="majorHAnsi"/>
          <w:sz w:val="22"/>
          <w:szCs w:val="22"/>
        </w:rPr>
        <w:t>t</w:t>
      </w:r>
      <w:r w:rsidRPr="00AD2792" w:rsidR="003B45E3">
        <w:rPr>
          <w:rFonts w:asciiTheme="majorHAnsi" w:hAnsiTheme="majorHAnsi" w:cstheme="majorHAnsi"/>
          <w:sz w:val="22"/>
          <w:szCs w:val="22"/>
        </w:rPr>
        <w:t xml:space="preserve">hereof </w:t>
      </w:r>
      <w:r w:rsidRPr="00AD2792" w:rsidR="003B45E3">
        <w:rPr>
          <w:rFonts w:eastAsia="Calibri" w:asciiTheme="majorHAnsi" w:hAnsiTheme="majorHAnsi" w:cstheme="majorHAnsi"/>
          <w:sz w:val="22"/>
          <w:szCs w:val="22"/>
        </w:rPr>
        <w:t>are the 2016 Morocco-Nigeria Bilateral Investment Agreement (BIT),</w:t>
      </w:r>
      <w:r w:rsidRPr="00AD2792" w:rsidR="003B45E3">
        <w:rPr>
          <w:rStyle w:val="FootnoteReference"/>
          <w:rFonts w:eastAsia="Calibri" w:asciiTheme="majorHAnsi" w:hAnsiTheme="majorHAnsi" w:cstheme="majorHAnsi"/>
          <w:sz w:val="22"/>
          <w:szCs w:val="22"/>
        </w:rPr>
        <w:footnoteReference w:id="16"/>
      </w:r>
      <w:r w:rsidRPr="00AD2792" w:rsidR="003B45E3">
        <w:rPr>
          <w:rFonts w:eastAsia="Calibri" w:asciiTheme="majorHAnsi" w:hAnsiTheme="majorHAnsi" w:cstheme="majorHAnsi"/>
          <w:sz w:val="22"/>
          <w:szCs w:val="22"/>
        </w:rPr>
        <w:t xml:space="preserve"> the 2016 Pan-African Investment Code,</w:t>
      </w:r>
      <w:r w:rsidRPr="00AD2792" w:rsidR="003B45E3">
        <w:rPr>
          <w:rFonts w:eastAsia="Calibri" w:asciiTheme="majorHAnsi" w:hAnsiTheme="majorHAnsi" w:cstheme="majorHAnsi"/>
          <w:sz w:val="22"/>
          <w:szCs w:val="22"/>
          <w:vertAlign w:val="superscript"/>
        </w:rPr>
        <w:footnoteReference w:id="17"/>
      </w:r>
      <w:r w:rsidRPr="00AD2792" w:rsidR="003B45E3">
        <w:rPr>
          <w:rFonts w:eastAsia="Calibri" w:asciiTheme="majorHAnsi" w:hAnsiTheme="majorHAnsi" w:cstheme="majorHAnsi"/>
          <w:sz w:val="22"/>
          <w:szCs w:val="22"/>
        </w:rPr>
        <w:t xml:space="preserve"> and </w:t>
      </w:r>
      <w:r w:rsidRPr="00AD2792" w:rsidR="003B45E3">
        <w:rPr>
          <w:rFonts w:asciiTheme="majorHAnsi" w:hAnsiTheme="majorHAnsi" w:cstheme="majorHAnsi"/>
          <w:sz w:val="22"/>
          <w:szCs w:val="22"/>
        </w:rPr>
        <w:t>the 2012 South African Development Community (SADC) Model Bilateral Investment Treaty Template.</w:t>
      </w:r>
      <w:r w:rsidRPr="00AD2792" w:rsidR="003B45E3">
        <w:rPr>
          <w:rFonts w:asciiTheme="majorHAnsi" w:hAnsiTheme="majorHAnsi" w:cstheme="majorHAnsi"/>
          <w:sz w:val="22"/>
          <w:szCs w:val="22"/>
          <w:vertAlign w:val="superscript"/>
        </w:rPr>
        <w:footnoteReference w:id="18"/>
      </w:r>
    </w:p>
    <w:p w:rsidRPr="00AD2792" w:rsidR="00B30F68" w:rsidP="00DC6FA6" w:rsidRDefault="00B30F68">
      <w:pPr>
        <w:jc w:val="both"/>
        <w:rPr>
          <w:rFonts w:asciiTheme="majorHAnsi" w:hAnsiTheme="majorHAnsi" w:cstheme="majorHAnsi"/>
          <w:sz w:val="22"/>
          <w:szCs w:val="22"/>
          <w:lang w:val="en-US"/>
        </w:rPr>
      </w:pPr>
    </w:p>
    <w:p w:rsidRPr="00AD2792" w:rsidR="000D1E52" w:rsidP="00DC6FA6" w:rsidRDefault="00023105">
      <w:pPr>
        <w:jc w:val="both"/>
        <w:rPr>
          <w:rFonts w:asciiTheme="majorHAnsi" w:hAnsiTheme="majorHAnsi" w:cstheme="majorHAnsi"/>
          <w:sz w:val="22"/>
          <w:szCs w:val="22"/>
          <w:lang w:val="en-US"/>
        </w:rPr>
      </w:pPr>
      <w:r w:rsidRPr="00AD2792">
        <w:rPr>
          <w:rFonts w:asciiTheme="majorHAnsi" w:hAnsiTheme="majorHAnsi" w:cstheme="majorHAnsi"/>
          <w:i/>
          <w:sz w:val="22"/>
          <w:szCs w:val="22"/>
          <w:lang w:val="en-US"/>
        </w:rPr>
        <w:t>Finally,</w:t>
      </w:r>
      <w:r w:rsidRPr="00AD2792">
        <w:rPr>
          <w:rFonts w:asciiTheme="majorHAnsi" w:hAnsiTheme="majorHAnsi" w:cstheme="majorHAnsi"/>
          <w:sz w:val="22"/>
          <w:szCs w:val="22"/>
          <w:lang w:val="en-US"/>
        </w:rPr>
        <w:t xml:space="preserve"> it would be advisable to incorporate into </w:t>
      </w:r>
      <w:r w:rsidR="00DB5BF3">
        <w:rPr>
          <w:rFonts w:asciiTheme="majorHAnsi" w:hAnsiTheme="majorHAnsi" w:cstheme="majorHAnsi"/>
          <w:sz w:val="22"/>
          <w:szCs w:val="22"/>
          <w:lang w:val="en-US"/>
        </w:rPr>
        <w:t xml:space="preserve">the </w:t>
      </w:r>
      <w:r w:rsidRPr="00AD2792">
        <w:rPr>
          <w:rFonts w:asciiTheme="majorHAnsi" w:hAnsiTheme="majorHAnsi" w:cstheme="majorHAnsi"/>
          <w:sz w:val="22"/>
          <w:szCs w:val="22"/>
          <w:lang w:val="en-US"/>
        </w:rPr>
        <w:t xml:space="preserve">DMIA </w:t>
      </w:r>
      <w:r w:rsidR="00DB5BF3">
        <w:rPr>
          <w:rFonts w:asciiTheme="majorHAnsi" w:hAnsiTheme="majorHAnsi" w:cstheme="majorHAnsi"/>
          <w:sz w:val="22"/>
          <w:szCs w:val="22"/>
          <w:lang w:val="en-US"/>
        </w:rPr>
        <w:t>a</w:t>
      </w:r>
      <w:r w:rsidRPr="00AD2792">
        <w:rPr>
          <w:rFonts w:asciiTheme="majorHAnsi" w:hAnsiTheme="majorHAnsi" w:cstheme="majorHAnsi"/>
          <w:sz w:val="22"/>
          <w:szCs w:val="22"/>
          <w:lang w:val="en-US"/>
        </w:rPr>
        <w:t xml:space="preserve"> </w:t>
      </w:r>
      <w:r w:rsidRPr="00AD2792" w:rsidR="00B91C25">
        <w:rPr>
          <w:rFonts w:asciiTheme="majorHAnsi" w:hAnsiTheme="majorHAnsi" w:cstheme="majorHAnsi"/>
          <w:sz w:val="22"/>
          <w:szCs w:val="22"/>
          <w:lang w:val="en-US"/>
        </w:rPr>
        <w:t xml:space="preserve">provision </w:t>
      </w:r>
      <w:r w:rsidR="00DB5BF3">
        <w:rPr>
          <w:rFonts w:asciiTheme="majorHAnsi" w:hAnsiTheme="majorHAnsi" w:cstheme="majorHAnsi"/>
          <w:sz w:val="22"/>
          <w:szCs w:val="22"/>
          <w:lang w:val="en-US"/>
        </w:rPr>
        <w:t>creating</w:t>
      </w:r>
      <w:r w:rsidRPr="00AD2792" w:rsidR="00B91C25">
        <w:rPr>
          <w:rFonts w:asciiTheme="majorHAnsi" w:hAnsiTheme="majorHAnsi" w:cstheme="majorHAnsi"/>
          <w:sz w:val="22"/>
          <w:szCs w:val="22"/>
          <w:lang w:val="en-US"/>
        </w:rPr>
        <w:t xml:space="preserve"> the possibility </w:t>
      </w:r>
      <w:r w:rsidRPr="00AD2792" w:rsidR="000D1E52">
        <w:rPr>
          <w:rFonts w:asciiTheme="majorHAnsi" w:hAnsiTheme="majorHAnsi" w:cstheme="majorHAnsi"/>
          <w:sz w:val="22"/>
          <w:szCs w:val="22"/>
          <w:lang w:val="en-US"/>
        </w:rPr>
        <w:t xml:space="preserve">for a host state to initiate </w:t>
      </w:r>
      <w:r w:rsidR="00DB5BF3">
        <w:rPr>
          <w:rFonts w:asciiTheme="majorHAnsi" w:hAnsiTheme="majorHAnsi" w:cstheme="majorHAnsi"/>
          <w:sz w:val="22"/>
          <w:szCs w:val="22"/>
          <w:lang w:val="en-US"/>
        </w:rPr>
        <w:t xml:space="preserve">a counterclaim </w:t>
      </w:r>
      <w:r w:rsidRPr="00AD2792" w:rsidR="000D1E52">
        <w:rPr>
          <w:rFonts w:asciiTheme="majorHAnsi" w:hAnsiTheme="majorHAnsi" w:cstheme="majorHAnsi"/>
          <w:sz w:val="22"/>
          <w:szCs w:val="22"/>
          <w:lang w:val="en-US"/>
        </w:rPr>
        <w:t xml:space="preserve">against a foreign investor. The </w:t>
      </w:r>
      <w:r w:rsidRPr="00AD2792" w:rsidR="00B91C25">
        <w:rPr>
          <w:rFonts w:asciiTheme="majorHAnsi" w:hAnsiTheme="majorHAnsi" w:cstheme="majorHAnsi"/>
          <w:sz w:val="22"/>
          <w:szCs w:val="22"/>
          <w:lang w:val="en-US"/>
        </w:rPr>
        <w:t>option</w:t>
      </w:r>
      <w:r w:rsidRPr="00AD2792" w:rsidR="000D1E52">
        <w:rPr>
          <w:rFonts w:asciiTheme="majorHAnsi" w:hAnsiTheme="majorHAnsi" w:cstheme="majorHAnsi"/>
          <w:sz w:val="22"/>
          <w:szCs w:val="22"/>
          <w:lang w:val="en-US"/>
        </w:rPr>
        <w:t xml:space="preserve"> to file a counterclaim against an investor offers a </w:t>
      </w:r>
      <w:r w:rsidRPr="00AD2792" w:rsidR="00B91C25">
        <w:rPr>
          <w:rFonts w:asciiTheme="majorHAnsi" w:hAnsiTheme="majorHAnsi" w:cstheme="majorHAnsi"/>
          <w:sz w:val="22"/>
          <w:szCs w:val="22"/>
          <w:lang w:val="en-US"/>
        </w:rPr>
        <w:t xml:space="preserve">host </w:t>
      </w:r>
      <w:r w:rsidRPr="00AD2792" w:rsidR="000D1E52">
        <w:rPr>
          <w:rFonts w:asciiTheme="majorHAnsi" w:hAnsiTheme="majorHAnsi" w:cstheme="majorHAnsi"/>
          <w:sz w:val="22"/>
          <w:szCs w:val="22"/>
          <w:lang w:val="en-US"/>
        </w:rPr>
        <w:t xml:space="preserve">state an opportunity to remedy and to hold the investor responsible for </w:t>
      </w:r>
      <w:r w:rsidR="00DB5BF3">
        <w:rPr>
          <w:rFonts w:asciiTheme="majorHAnsi" w:hAnsiTheme="majorHAnsi" w:cstheme="majorHAnsi"/>
          <w:sz w:val="22"/>
          <w:szCs w:val="22"/>
          <w:lang w:val="en-US"/>
        </w:rPr>
        <w:t xml:space="preserve">any </w:t>
      </w:r>
      <w:r w:rsidRPr="00AD2792" w:rsidR="000D1E52">
        <w:rPr>
          <w:rFonts w:asciiTheme="majorHAnsi" w:hAnsiTheme="majorHAnsi" w:cstheme="majorHAnsi"/>
          <w:sz w:val="22"/>
          <w:szCs w:val="22"/>
          <w:lang w:val="en-US"/>
        </w:rPr>
        <w:t xml:space="preserve">human rights abuses </w:t>
      </w:r>
      <w:r w:rsidR="00DB5BF3">
        <w:rPr>
          <w:rFonts w:asciiTheme="majorHAnsi" w:hAnsiTheme="majorHAnsi" w:cstheme="majorHAnsi"/>
          <w:sz w:val="22"/>
          <w:szCs w:val="22"/>
          <w:lang w:val="en-US"/>
        </w:rPr>
        <w:t xml:space="preserve">or other violations </w:t>
      </w:r>
      <w:r w:rsidRPr="00AD2792" w:rsidR="000D1E52">
        <w:rPr>
          <w:rFonts w:asciiTheme="majorHAnsi" w:hAnsiTheme="majorHAnsi" w:cstheme="majorHAnsi"/>
          <w:sz w:val="22"/>
          <w:szCs w:val="22"/>
          <w:lang w:val="en-US"/>
        </w:rPr>
        <w:t>related to an investment.</w:t>
      </w:r>
      <w:r w:rsidRPr="00AD2792" w:rsidR="00B667F3">
        <w:rPr>
          <w:rStyle w:val="FootnoteReference"/>
          <w:rFonts w:asciiTheme="majorHAnsi" w:hAnsiTheme="majorHAnsi" w:cstheme="majorHAnsi"/>
          <w:sz w:val="22"/>
          <w:szCs w:val="22"/>
        </w:rPr>
        <w:footnoteReference w:id="19"/>
      </w:r>
      <w:r w:rsidRPr="00AD2792" w:rsidR="000D1E52">
        <w:rPr>
          <w:rFonts w:asciiTheme="majorHAnsi" w:hAnsiTheme="majorHAnsi" w:cstheme="majorHAnsi"/>
          <w:sz w:val="22"/>
          <w:szCs w:val="22"/>
          <w:lang w:val="en-US"/>
        </w:rPr>
        <w:t xml:space="preserve"> </w:t>
      </w:r>
      <w:r w:rsidRPr="00AD2792" w:rsidR="00B91C25">
        <w:rPr>
          <w:rFonts w:asciiTheme="majorHAnsi" w:hAnsiTheme="majorHAnsi" w:cstheme="majorHAnsi"/>
          <w:sz w:val="22"/>
          <w:szCs w:val="22"/>
          <w:lang w:val="en-US"/>
        </w:rPr>
        <w:t xml:space="preserve">In practice, states have not used the mechanism of counterclaims very often. It has to do with the fact that </w:t>
      </w:r>
      <w:r w:rsidRPr="00AD2792" w:rsidR="00B91C25">
        <w:rPr>
          <w:rFonts w:asciiTheme="majorHAnsi" w:hAnsiTheme="majorHAnsi" w:cstheme="majorHAnsi"/>
          <w:sz w:val="22"/>
          <w:szCs w:val="22"/>
        </w:rPr>
        <w:t>t</w:t>
      </w:r>
      <w:r w:rsidRPr="00AD2792" w:rsidR="00B91C25">
        <w:rPr>
          <w:rFonts w:eastAsia="Calibri" w:asciiTheme="majorHAnsi" w:hAnsiTheme="majorHAnsi" w:cstheme="majorHAnsi"/>
          <w:sz w:val="22"/>
          <w:szCs w:val="22"/>
        </w:rPr>
        <w:t>he jurisdictional requirements for a state to file a counterclaim have proven to be challenging for states to fulfil.</w:t>
      </w:r>
      <w:r w:rsidRPr="00AD2792" w:rsidR="00B91C25">
        <w:rPr>
          <w:rFonts w:asciiTheme="majorHAnsi" w:hAnsiTheme="majorHAnsi" w:cstheme="majorHAnsi"/>
          <w:sz w:val="22"/>
          <w:szCs w:val="22"/>
          <w:lang w:val="en-US"/>
        </w:rPr>
        <w:t xml:space="preserve"> </w:t>
      </w:r>
      <w:r w:rsidRPr="00AD2792" w:rsidR="00B91C25">
        <w:rPr>
          <w:rFonts w:asciiTheme="majorHAnsi" w:hAnsiTheme="majorHAnsi" w:cstheme="majorHAnsi"/>
          <w:sz w:val="22"/>
          <w:szCs w:val="22"/>
        </w:rPr>
        <w:t xml:space="preserve">In order to avoid reliance on the discretion of tribunals in ruling on potential human rights counterclaims, </w:t>
      </w:r>
      <w:r w:rsidRPr="00AD2792" w:rsidR="00810200">
        <w:rPr>
          <w:rFonts w:asciiTheme="majorHAnsi" w:hAnsiTheme="majorHAnsi" w:cstheme="majorHAnsi"/>
          <w:sz w:val="22"/>
          <w:szCs w:val="22"/>
        </w:rPr>
        <w:t>a provision allowing a host state to file a counterclaim should</w:t>
      </w:r>
      <w:r w:rsidRPr="00AD2792" w:rsidR="00B667F3">
        <w:rPr>
          <w:rFonts w:asciiTheme="majorHAnsi" w:hAnsiTheme="majorHAnsi" w:cstheme="majorHAnsi"/>
          <w:sz w:val="22"/>
          <w:szCs w:val="22"/>
        </w:rPr>
        <w:t xml:space="preserve"> </w:t>
      </w:r>
      <w:r w:rsidR="002429D4">
        <w:rPr>
          <w:rFonts w:asciiTheme="majorHAnsi" w:hAnsiTheme="majorHAnsi" w:cstheme="majorHAnsi"/>
          <w:sz w:val="22"/>
          <w:szCs w:val="22"/>
        </w:rPr>
        <w:t xml:space="preserve">in our view </w:t>
      </w:r>
      <w:r w:rsidRPr="00AD2792" w:rsidR="00B667F3">
        <w:rPr>
          <w:rFonts w:asciiTheme="majorHAnsi" w:hAnsiTheme="majorHAnsi" w:cstheme="majorHAnsi"/>
          <w:sz w:val="22"/>
          <w:szCs w:val="22"/>
        </w:rPr>
        <w:t xml:space="preserve">be included in the </w:t>
      </w:r>
      <w:r w:rsidRPr="00AD2792" w:rsidR="00810200">
        <w:rPr>
          <w:rFonts w:asciiTheme="majorHAnsi" w:hAnsiTheme="majorHAnsi" w:cstheme="majorHAnsi"/>
          <w:sz w:val="22"/>
          <w:szCs w:val="22"/>
        </w:rPr>
        <w:t>text</w:t>
      </w:r>
      <w:r w:rsidRPr="00AD2792" w:rsidR="00B667F3">
        <w:rPr>
          <w:rFonts w:asciiTheme="majorHAnsi" w:hAnsiTheme="majorHAnsi" w:cstheme="majorHAnsi"/>
          <w:sz w:val="22"/>
          <w:szCs w:val="22"/>
        </w:rPr>
        <w:t xml:space="preserve"> of DMIA</w:t>
      </w:r>
      <w:r w:rsidRPr="00AD2792" w:rsidR="00B91C25">
        <w:rPr>
          <w:rFonts w:asciiTheme="majorHAnsi" w:hAnsiTheme="majorHAnsi" w:cstheme="majorHAnsi"/>
          <w:sz w:val="22"/>
          <w:szCs w:val="22"/>
        </w:rPr>
        <w:t xml:space="preserve">, as has been done is the SADC Model BIT and </w:t>
      </w:r>
      <w:r w:rsidR="002429D4">
        <w:rPr>
          <w:rFonts w:asciiTheme="majorHAnsi" w:hAnsiTheme="majorHAnsi" w:cstheme="majorHAnsi"/>
          <w:sz w:val="22"/>
          <w:szCs w:val="22"/>
        </w:rPr>
        <w:t xml:space="preserve">the </w:t>
      </w:r>
      <w:r w:rsidRPr="00AD2792" w:rsidR="00B91C25">
        <w:rPr>
          <w:rFonts w:asciiTheme="majorHAnsi" w:hAnsiTheme="majorHAnsi" w:cstheme="majorHAnsi"/>
          <w:sz w:val="22"/>
          <w:szCs w:val="22"/>
        </w:rPr>
        <w:t>Draft Pan African Model Code.</w:t>
      </w:r>
    </w:p>
    <w:sectPr w:rsidRPr="00AD2792" w:rsidR="000D1E52" w:rsidSect="00C04579">
      <w:footerReference w:type="default" r:id="rId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670" w:rsidRDefault="00B72670" w:rsidP="003D0FEC">
      <w:r>
        <w:separator/>
      </w:r>
    </w:p>
  </w:endnote>
  <w:endnote w:type="continuationSeparator" w:id="0">
    <w:p w:rsidR="00B72670" w:rsidRDefault="00B72670" w:rsidP="003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069242"/>
      <w:docPartObj>
        <w:docPartGallery w:val="Page Numbers (Bottom of Page)"/>
        <w:docPartUnique/>
      </w:docPartObj>
    </w:sdtPr>
    <w:sdtEndPr>
      <w:rPr>
        <w:noProof/>
      </w:rPr>
    </w:sdtEndPr>
    <w:sdtContent>
      <w:p w:rsidR="00F44CCB" w:rsidRDefault="00F44CCB">
        <w:pPr>
          <w:pStyle w:val="Footer"/>
          <w:jc w:val="center"/>
        </w:pPr>
        <w:r>
          <w:fldChar w:fldCharType="begin"/>
        </w:r>
        <w:r>
          <w:instrText xml:space="preserve"> PAGE   \* MERGEFORMAT </w:instrText>
        </w:r>
        <w:r>
          <w:fldChar w:fldCharType="separate"/>
        </w:r>
        <w:r w:rsidR="008B3BC7">
          <w:rPr>
            <w:noProof/>
          </w:rPr>
          <w:t>4</w:t>
        </w:r>
        <w:r>
          <w:rPr>
            <w:noProof/>
          </w:rPr>
          <w:fldChar w:fldCharType="end"/>
        </w:r>
      </w:p>
    </w:sdtContent>
  </w:sdt>
  <w:p w:rsidR="00F44CCB" w:rsidRDefault="00F44C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670" w:rsidRDefault="00B72670" w:rsidP="003D0FEC">
      <w:r>
        <w:separator/>
      </w:r>
    </w:p>
  </w:footnote>
  <w:footnote w:type="continuationSeparator" w:id="0">
    <w:p w:rsidR="00B72670" w:rsidRDefault="00B72670" w:rsidP="003D0FEC">
      <w:r>
        <w:continuationSeparator/>
      </w:r>
    </w:p>
  </w:footnote>
  <w:footnote w:id="1">
    <w:p w:rsidR="00F44CCB" w:rsidRPr="00B81399" w:rsidRDefault="00F44CCB" w:rsidP="00DC6FA6">
      <w:pPr>
        <w:pStyle w:val="FootnoteText"/>
        <w:jc w:val="both"/>
        <w:rPr>
          <w:rFonts w:asciiTheme="majorHAnsi" w:hAnsiTheme="majorHAnsi" w:cstheme="majorHAnsi"/>
          <w:sz w:val="16"/>
          <w:szCs w:val="16"/>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Public Citizen Global Trade Watch, ‘Termination of Bilateral Investment Treaties Has Not Negatively Affected Countries’ Foreign Direct Investment Inflows’, Public Citizen Research Brief, April 2018; </w:t>
      </w:r>
      <w:hyperlink r:id="rId1" w:history="1">
        <w:r w:rsidRPr="00B81399">
          <w:rPr>
            <w:rStyle w:val="Hyperlink"/>
            <w:rFonts w:asciiTheme="majorHAnsi" w:hAnsiTheme="majorHAnsi" w:cstheme="majorHAnsi"/>
            <w:color w:val="auto"/>
            <w:sz w:val="16"/>
            <w:szCs w:val="16"/>
          </w:rPr>
          <w:t>https://www.citizen.org/sites/default/files/pcgtw_fdi-inflows-from-bit-termination_0.pdf</w:t>
        </w:r>
      </w:hyperlink>
      <w:r w:rsidRPr="00B81399">
        <w:rPr>
          <w:rFonts w:asciiTheme="majorHAnsi" w:hAnsiTheme="majorHAnsi" w:cstheme="majorHAnsi"/>
          <w:sz w:val="16"/>
          <w:szCs w:val="16"/>
        </w:rPr>
        <w:t>.</w:t>
      </w:r>
    </w:p>
  </w:footnote>
  <w:footnote w:id="2">
    <w:p w:rsidR="00F44CCB" w:rsidRPr="00B81399" w:rsidRDefault="00F44CCB" w:rsidP="00DC6FA6">
      <w:pPr>
        <w:pStyle w:val="Heading1"/>
        <w:shd w:val="clear" w:color="auto" w:fill="FFFFFF"/>
        <w:spacing w:before="0"/>
        <w:jc w:val="both"/>
        <w:textAlignment w:val="baseline"/>
        <w:rPr>
          <w:rFonts w:eastAsia="Times New Roman" w:cstheme="majorHAnsi"/>
          <w:b/>
          <w:bCs/>
          <w:caps/>
          <w:color w:val="auto"/>
          <w:kern w:val="36"/>
          <w:sz w:val="16"/>
          <w:szCs w:val="16"/>
          <w:lang w:val="en-US"/>
        </w:rPr>
      </w:pPr>
      <w:r w:rsidRPr="00B81399">
        <w:rPr>
          <w:rStyle w:val="FootnoteReference"/>
          <w:rFonts w:asciiTheme="majorHAnsi" w:hAnsiTheme="majorHAnsi" w:cstheme="majorHAnsi"/>
          <w:color w:val="auto"/>
          <w:szCs w:val="16"/>
        </w:rPr>
        <w:footnoteRef/>
      </w:r>
      <w:r w:rsidRPr="00B81399">
        <w:rPr>
          <w:rFonts w:cstheme="majorHAnsi"/>
          <w:color w:val="auto"/>
          <w:sz w:val="16"/>
          <w:szCs w:val="16"/>
        </w:rPr>
        <w:t xml:space="preserve"> Herbert Smith Freehills Arbitration Notes, ‘M</w:t>
      </w:r>
      <w:proofErr w:type="spellStart"/>
      <w:r w:rsidRPr="00B81399">
        <w:rPr>
          <w:rFonts w:eastAsia="Times New Roman" w:cstheme="majorHAnsi"/>
          <w:bCs/>
          <w:color w:val="auto"/>
          <w:kern w:val="36"/>
          <w:sz w:val="16"/>
          <w:szCs w:val="16"/>
          <w:lang w:val="en-US"/>
        </w:rPr>
        <w:t>ixed</w:t>
      </w:r>
      <w:proofErr w:type="spellEnd"/>
      <w:r w:rsidRPr="00B81399">
        <w:rPr>
          <w:rFonts w:eastAsia="Times New Roman" w:cstheme="majorHAnsi"/>
          <w:bCs/>
          <w:color w:val="auto"/>
          <w:kern w:val="36"/>
          <w:sz w:val="16"/>
          <w:szCs w:val="16"/>
          <w:lang w:val="en-US"/>
        </w:rPr>
        <w:t xml:space="preserve"> messages to investors as India quietly terminates bilateral investment treaties with 58 countries</w:t>
      </w:r>
      <w:r w:rsidRPr="00B81399">
        <w:rPr>
          <w:rFonts w:eastAsia="Times New Roman" w:cstheme="majorHAnsi"/>
          <w:bCs/>
          <w:caps/>
          <w:color w:val="auto"/>
          <w:kern w:val="36"/>
          <w:sz w:val="16"/>
          <w:szCs w:val="16"/>
          <w:lang w:val="en-US"/>
        </w:rPr>
        <w:t xml:space="preserve">’, </w:t>
      </w:r>
      <w:r w:rsidRPr="00B81399">
        <w:rPr>
          <w:rFonts w:eastAsia="Times New Roman" w:cstheme="majorHAnsi"/>
          <w:bCs/>
          <w:color w:val="auto"/>
          <w:kern w:val="36"/>
          <w:sz w:val="16"/>
          <w:szCs w:val="16"/>
          <w:lang w:val="en-US"/>
        </w:rPr>
        <w:t>16 March 2017</w:t>
      </w:r>
      <w:r w:rsidRPr="00B81399">
        <w:rPr>
          <w:rFonts w:eastAsia="Times New Roman" w:cstheme="majorHAnsi"/>
          <w:bCs/>
          <w:caps/>
          <w:color w:val="auto"/>
          <w:kern w:val="36"/>
          <w:sz w:val="16"/>
          <w:szCs w:val="16"/>
          <w:lang w:val="en-US"/>
        </w:rPr>
        <w:t>;</w:t>
      </w:r>
    </w:p>
    <w:p w:rsidR="00F44CCB" w:rsidRPr="00B81399" w:rsidRDefault="00A5282E" w:rsidP="00DC6FA6">
      <w:pPr>
        <w:pStyle w:val="FootnoteText"/>
        <w:jc w:val="both"/>
        <w:rPr>
          <w:rFonts w:asciiTheme="majorHAnsi" w:hAnsiTheme="majorHAnsi" w:cstheme="majorHAnsi"/>
          <w:sz w:val="16"/>
          <w:szCs w:val="16"/>
        </w:rPr>
      </w:pPr>
      <w:hyperlink r:id="rId2" w:history="1">
        <w:r w:rsidR="00F44CCB" w:rsidRPr="00B81399">
          <w:rPr>
            <w:rStyle w:val="Hyperlink"/>
            <w:rFonts w:asciiTheme="majorHAnsi" w:hAnsiTheme="majorHAnsi" w:cstheme="majorHAnsi"/>
            <w:color w:val="auto"/>
            <w:sz w:val="16"/>
            <w:szCs w:val="16"/>
          </w:rPr>
          <w:t>https://hsfnotes.com/arbitration/2017/03/16/mixed-messages-to-investors-as-india-quietly-terminates-bilateral-investment-treaties-with-58-countries/</w:t>
        </w:r>
      </w:hyperlink>
      <w:r w:rsidR="00F44CCB" w:rsidRPr="00B81399">
        <w:rPr>
          <w:rFonts w:asciiTheme="majorHAnsi" w:hAnsiTheme="majorHAnsi" w:cstheme="majorHAnsi"/>
          <w:sz w:val="16"/>
          <w:szCs w:val="16"/>
        </w:rPr>
        <w:t>.</w:t>
      </w:r>
    </w:p>
  </w:footnote>
  <w:footnote w:id="3">
    <w:p w:rsidR="00F44CCB" w:rsidRPr="00B81399" w:rsidRDefault="00F44CCB" w:rsidP="00DC6FA6">
      <w:pPr>
        <w:pStyle w:val="FootnoteText"/>
        <w:jc w:val="both"/>
        <w:rPr>
          <w:rFonts w:asciiTheme="majorHAnsi" w:hAnsiTheme="majorHAnsi" w:cstheme="majorHAnsi"/>
          <w:sz w:val="16"/>
          <w:szCs w:val="16"/>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Allen &amp; </w:t>
      </w:r>
      <w:proofErr w:type="spellStart"/>
      <w:r w:rsidRPr="00B81399">
        <w:rPr>
          <w:rFonts w:asciiTheme="majorHAnsi" w:hAnsiTheme="majorHAnsi" w:cstheme="majorHAnsi"/>
          <w:sz w:val="16"/>
          <w:szCs w:val="16"/>
        </w:rPr>
        <w:t>Overy</w:t>
      </w:r>
      <w:proofErr w:type="spellEnd"/>
      <w:r w:rsidRPr="00B81399">
        <w:rPr>
          <w:rFonts w:asciiTheme="majorHAnsi" w:hAnsiTheme="majorHAnsi" w:cstheme="majorHAnsi"/>
          <w:sz w:val="16"/>
          <w:szCs w:val="16"/>
        </w:rPr>
        <w:t xml:space="preserve">, ‘Trends in investment treaty arbitration: a perspective on Brazil’, 7 November 2017; </w:t>
      </w:r>
      <w:hyperlink r:id="rId3" w:history="1">
        <w:r w:rsidRPr="00B81399">
          <w:rPr>
            <w:rStyle w:val="Hyperlink"/>
            <w:rFonts w:asciiTheme="majorHAnsi" w:hAnsiTheme="majorHAnsi" w:cstheme="majorHAnsi"/>
            <w:color w:val="auto"/>
            <w:sz w:val="16"/>
            <w:szCs w:val="16"/>
          </w:rPr>
          <w:t>http://www.allenovery.com/publications/en-gb/Pages/Trends-in-investment-treaty-arbitration-a-perspective-on-Brazil.aspx</w:t>
        </w:r>
      </w:hyperlink>
      <w:r w:rsidRPr="00B81399">
        <w:rPr>
          <w:rFonts w:asciiTheme="majorHAnsi" w:hAnsiTheme="majorHAnsi" w:cstheme="majorHAnsi"/>
          <w:sz w:val="16"/>
          <w:szCs w:val="16"/>
        </w:rPr>
        <w:t>.</w:t>
      </w:r>
    </w:p>
  </w:footnote>
  <w:footnote w:id="4">
    <w:p w:rsidR="00F44CCB" w:rsidRPr="00B81399" w:rsidRDefault="00F44CCB" w:rsidP="00DC6FA6">
      <w:pPr>
        <w:jc w:val="both"/>
        <w:rPr>
          <w:rFonts w:asciiTheme="majorHAnsi" w:hAnsiTheme="majorHAnsi" w:cstheme="majorHAnsi"/>
          <w:sz w:val="16"/>
          <w:szCs w:val="16"/>
          <w:lang w:val="en-US"/>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T.E. </w:t>
      </w:r>
      <w:proofErr w:type="spellStart"/>
      <w:r w:rsidRPr="00B81399">
        <w:rPr>
          <w:rFonts w:asciiTheme="majorHAnsi" w:hAnsiTheme="majorHAnsi" w:cstheme="majorHAnsi"/>
          <w:sz w:val="16"/>
          <w:szCs w:val="16"/>
        </w:rPr>
        <w:t>Lambooy</w:t>
      </w:r>
      <w:proofErr w:type="spellEnd"/>
      <w:r w:rsidRPr="00B81399">
        <w:rPr>
          <w:rFonts w:asciiTheme="majorHAnsi" w:hAnsiTheme="majorHAnsi" w:cstheme="majorHAnsi"/>
          <w:sz w:val="16"/>
          <w:szCs w:val="16"/>
        </w:rPr>
        <w:t xml:space="preserve">, </w:t>
      </w:r>
      <w:r w:rsidR="00232E97" w:rsidRPr="00B81399">
        <w:rPr>
          <w:rFonts w:asciiTheme="majorHAnsi" w:eastAsia="Times New Roman" w:hAnsiTheme="majorHAnsi" w:cstheme="majorHAnsi"/>
          <w:iCs/>
          <w:sz w:val="16"/>
          <w:szCs w:val="16"/>
          <w:lang w:val="en-US"/>
        </w:rPr>
        <w:t>‘</w:t>
      </w:r>
      <w:r w:rsidRPr="00B81399">
        <w:rPr>
          <w:rFonts w:asciiTheme="majorHAnsi" w:eastAsia="Times New Roman" w:hAnsiTheme="majorHAnsi" w:cstheme="majorHAnsi"/>
          <w:iCs/>
          <w:sz w:val="16"/>
          <w:szCs w:val="16"/>
          <w:lang w:val="en-US"/>
        </w:rPr>
        <w:t>Corporate social responsibility: legal and semi-legal frameworks supporting CSR</w:t>
      </w:r>
      <w:r w:rsidR="00232E97" w:rsidRPr="00B81399">
        <w:rPr>
          <w:rFonts w:asciiTheme="majorHAnsi" w:eastAsia="Times New Roman" w:hAnsiTheme="majorHAnsi" w:cstheme="majorHAnsi"/>
          <w:iCs/>
          <w:sz w:val="16"/>
          <w:szCs w:val="16"/>
          <w:lang w:val="en-US"/>
        </w:rPr>
        <w:t xml:space="preserve">’, </w:t>
      </w:r>
      <w:r w:rsidRPr="00B81399">
        <w:rPr>
          <w:rFonts w:asciiTheme="majorHAnsi" w:eastAsia="Times New Roman" w:hAnsiTheme="majorHAnsi" w:cstheme="majorHAnsi"/>
          <w:iCs/>
          <w:sz w:val="16"/>
          <w:szCs w:val="16"/>
          <w:lang w:val="en-US"/>
        </w:rPr>
        <w:t>Kluwer, 2010; &lt;</w:t>
      </w:r>
      <w:hyperlink r:id="rId4" w:tgtFrame="_blank" w:history="1">
        <w:r w:rsidRPr="00B81399">
          <w:rPr>
            <w:rFonts w:asciiTheme="majorHAnsi" w:eastAsia="Times New Roman" w:hAnsiTheme="majorHAnsi" w:cstheme="majorHAnsi"/>
            <w:iCs/>
            <w:sz w:val="16"/>
            <w:szCs w:val="16"/>
            <w:lang w:val="en-US"/>
          </w:rPr>
          <w:t>https://openaccess.leidenuniv.nl/handle/1887/16169</w:t>
        </w:r>
      </w:hyperlink>
      <w:r w:rsidRPr="00B81399">
        <w:rPr>
          <w:rFonts w:asciiTheme="majorHAnsi" w:eastAsia="Times New Roman" w:hAnsiTheme="majorHAnsi" w:cstheme="majorHAnsi"/>
          <w:sz w:val="16"/>
          <w:szCs w:val="16"/>
          <w:lang w:val="en-US"/>
        </w:rPr>
        <w:t>&gt;.</w:t>
      </w:r>
    </w:p>
  </w:footnote>
  <w:footnote w:id="5">
    <w:p w:rsidR="00F44CCB" w:rsidRPr="00B81399" w:rsidRDefault="00F44CCB" w:rsidP="00DC6FA6">
      <w:pPr>
        <w:pStyle w:val="FootnoteText"/>
        <w:jc w:val="both"/>
        <w:rPr>
          <w:rFonts w:asciiTheme="majorHAnsi" w:hAnsiTheme="majorHAnsi" w:cstheme="majorHAnsi"/>
          <w:sz w:val="16"/>
          <w:szCs w:val="16"/>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w:t>
      </w:r>
      <w:r w:rsidRPr="00B81399">
        <w:rPr>
          <w:rFonts w:asciiTheme="majorHAnsi" w:hAnsiTheme="majorHAnsi" w:cstheme="majorHAnsi"/>
          <w:sz w:val="16"/>
          <w:szCs w:val="16"/>
          <w:bdr w:val="none" w:sz="0" w:space="0" w:color="auto" w:frame="1"/>
          <w:shd w:val="clear" w:color="auto" w:fill="FFFFFF"/>
        </w:rPr>
        <w:t>In </w:t>
      </w:r>
      <w:proofErr w:type="spellStart"/>
      <w:r w:rsidRPr="00B81399">
        <w:rPr>
          <w:rStyle w:val="Emphasis"/>
          <w:rFonts w:asciiTheme="majorHAnsi" w:hAnsiTheme="majorHAnsi" w:cstheme="majorHAnsi"/>
          <w:sz w:val="16"/>
          <w:szCs w:val="16"/>
          <w:bdr w:val="none" w:sz="0" w:space="0" w:color="auto" w:frame="1"/>
          <w:shd w:val="clear" w:color="auto" w:fill="FFFFFF"/>
        </w:rPr>
        <w:t>Slowakische</w:t>
      </w:r>
      <w:proofErr w:type="spellEnd"/>
      <w:r w:rsidRPr="00B81399">
        <w:rPr>
          <w:rStyle w:val="Emphasis"/>
          <w:rFonts w:asciiTheme="majorHAnsi" w:hAnsiTheme="majorHAnsi" w:cstheme="majorHAnsi"/>
          <w:sz w:val="16"/>
          <w:szCs w:val="16"/>
          <w:bdr w:val="none" w:sz="0" w:space="0" w:color="auto" w:frame="1"/>
          <w:shd w:val="clear" w:color="auto" w:fill="FFFFFF"/>
        </w:rPr>
        <w:t xml:space="preserve"> </w:t>
      </w:r>
      <w:proofErr w:type="spellStart"/>
      <w:r w:rsidRPr="00B81399">
        <w:rPr>
          <w:rStyle w:val="Emphasis"/>
          <w:rFonts w:asciiTheme="majorHAnsi" w:hAnsiTheme="majorHAnsi" w:cstheme="majorHAnsi"/>
          <w:sz w:val="16"/>
          <w:szCs w:val="16"/>
          <w:bdr w:val="none" w:sz="0" w:space="0" w:color="auto" w:frame="1"/>
          <w:shd w:val="clear" w:color="auto" w:fill="FFFFFF"/>
        </w:rPr>
        <w:t>Republik</w:t>
      </w:r>
      <w:proofErr w:type="spellEnd"/>
      <w:r w:rsidRPr="00B81399">
        <w:rPr>
          <w:rStyle w:val="Emphasis"/>
          <w:rFonts w:asciiTheme="majorHAnsi" w:hAnsiTheme="majorHAnsi" w:cstheme="majorHAnsi"/>
          <w:sz w:val="16"/>
          <w:szCs w:val="16"/>
          <w:bdr w:val="none" w:sz="0" w:space="0" w:color="auto" w:frame="1"/>
          <w:shd w:val="clear" w:color="auto" w:fill="FFFFFF"/>
        </w:rPr>
        <w:t xml:space="preserve"> (Slovak Republic) v </w:t>
      </w:r>
      <w:proofErr w:type="spellStart"/>
      <w:r w:rsidRPr="00B81399">
        <w:rPr>
          <w:rStyle w:val="Emphasis"/>
          <w:rFonts w:asciiTheme="majorHAnsi" w:hAnsiTheme="majorHAnsi" w:cstheme="majorHAnsi"/>
          <w:sz w:val="16"/>
          <w:szCs w:val="16"/>
          <w:bdr w:val="none" w:sz="0" w:space="0" w:color="auto" w:frame="1"/>
          <w:shd w:val="clear" w:color="auto" w:fill="FFFFFF"/>
        </w:rPr>
        <w:t>Achmea</w:t>
      </w:r>
      <w:proofErr w:type="spellEnd"/>
      <w:r w:rsidRPr="00B81399">
        <w:rPr>
          <w:rStyle w:val="Emphasis"/>
          <w:rFonts w:asciiTheme="majorHAnsi" w:hAnsiTheme="majorHAnsi" w:cstheme="majorHAnsi"/>
          <w:sz w:val="16"/>
          <w:szCs w:val="16"/>
          <w:bdr w:val="none" w:sz="0" w:space="0" w:color="auto" w:frame="1"/>
          <w:shd w:val="clear" w:color="auto" w:fill="FFFFFF"/>
        </w:rPr>
        <w:t xml:space="preserve"> BV </w:t>
      </w:r>
      <w:r w:rsidRPr="00B81399">
        <w:rPr>
          <w:rFonts w:asciiTheme="majorHAnsi" w:hAnsiTheme="majorHAnsi" w:cstheme="majorHAnsi"/>
          <w:sz w:val="16"/>
          <w:szCs w:val="16"/>
          <w:bdr w:val="none" w:sz="0" w:space="0" w:color="auto" w:frame="1"/>
          <w:shd w:val="clear" w:color="auto" w:fill="FFFFFF"/>
        </w:rPr>
        <w:t>(Case C-284/16), the E</w:t>
      </w:r>
      <w:r w:rsidR="002302D0" w:rsidRPr="00B81399">
        <w:rPr>
          <w:rFonts w:asciiTheme="majorHAnsi" w:hAnsiTheme="majorHAnsi" w:cstheme="majorHAnsi"/>
          <w:sz w:val="16"/>
          <w:szCs w:val="16"/>
          <w:bdr w:val="none" w:sz="0" w:space="0" w:color="auto" w:frame="1"/>
          <w:shd w:val="clear" w:color="auto" w:fill="FFFFFF"/>
        </w:rPr>
        <w:t>uropean Court of Justice</w:t>
      </w:r>
      <w:r w:rsidRPr="00B81399">
        <w:rPr>
          <w:rFonts w:asciiTheme="majorHAnsi" w:hAnsiTheme="majorHAnsi" w:cstheme="majorHAnsi"/>
          <w:sz w:val="16"/>
          <w:szCs w:val="16"/>
          <w:bdr w:val="none" w:sz="0" w:space="0" w:color="auto" w:frame="1"/>
          <w:shd w:val="clear" w:color="auto" w:fill="FFFFFF"/>
        </w:rPr>
        <w:t xml:space="preserve"> </w:t>
      </w:r>
      <w:r w:rsidR="002302D0" w:rsidRPr="00B81399">
        <w:rPr>
          <w:rFonts w:asciiTheme="majorHAnsi" w:hAnsiTheme="majorHAnsi" w:cstheme="majorHAnsi"/>
          <w:sz w:val="16"/>
          <w:szCs w:val="16"/>
          <w:bdr w:val="none" w:sz="0" w:space="0" w:color="auto" w:frame="1"/>
          <w:shd w:val="clear" w:color="auto" w:fill="FFFFFF"/>
        </w:rPr>
        <w:t xml:space="preserve">(ECJ) </w:t>
      </w:r>
      <w:r w:rsidRPr="00B81399">
        <w:rPr>
          <w:rFonts w:asciiTheme="majorHAnsi" w:hAnsiTheme="majorHAnsi" w:cstheme="majorHAnsi"/>
          <w:sz w:val="16"/>
          <w:szCs w:val="16"/>
          <w:bdr w:val="none" w:sz="0" w:space="0" w:color="auto" w:frame="1"/>
          <w:shd w:val="clear" w:color="auto" w:fill="FFFFFF"/>
        </w:rPr>
        <w:t xml:space="preserve">held that the ISDS provisions comprised within intra-EU BITs are incompatible with EU law and therefore unenforceable. On 31 October 2018, Germany's Federal Court of Justice, following the ECJ's ruling, set aside the UNCITRAL arbitration award in favour of </w:t>
      </w:r>
      <w:proofErr w:type="spellStart"/>
      <w:r w:rsidRPr="00B81399">
        <w:rPr>
          <w:rFonts w:asciiTheme="majorHAnsi" w:hAnsiTheme="majorHAnsi" w:cstheme="majorHAnsi"/>
          <w:sz w:val="16"/>
          <w:szCs w:val="16"/>
          <w:bdr w:val="none" w:sz="0" w:space="0" w:color="auto" w:frame="1"/>
          <w:shd w:val="clear" w:color="auto" w:fill="FFFFFF"/>
        </w:rPr>
        <w:t>Achmea</w:t>
      </w:r>
      <w:proofErr w:type="spellEnd"/>
      <w:r w:rsidRPr="00B81399">
        <w:rPr>
          <w:rFonts w:asciiTheme="majorHAnsi" w:hAnsiTheme="majorHAnsi" w:cstheme="majorHAnsi"/>
          <w:sz w:val="16"/>
          <w:szCs w:val="16"/>
          <w:bdr w:val="none" w:sz="0" w:space="0" w:color="auto" w:frame="1"/>
          <w:shd w:val="clear" w:color="auto" w:fill="FFFFFF"/>
        </w:rPr>
        <w:t>.</w:t>
      </w:r>
    </w:p>
  </w:footnote>
  <w:footnote w:id="6">
    <w:p w:rsidR="00F44CCB" w:rsidRPr="00B81399" w:rsidRDefault="00F44CCB" w:rsidP="00DC6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16"/>
          <w:szCs w:val="16"/>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Comprehensive Economic and Trade Agreement between the EU and Canada (CETA</w:t>
      </w:r>
      <w:r w:rsidR="002302D0" w:rsidRPr="00B81399">
        <w:rPr>
          <w:rFonts w:asciiTheme="majorHAnsi" w:hAnsiTheme="majorHAnsi" w:cstheme="majorHAnsi"/>
          <w:sz w:val="16"/>
          <w:szCs w:val="16"/>
        </w:rPr>
        <w:t xml:space="preserve">; </w:t>
      </w:r>
      <w:r w:rsidRPr="00B81399">
        <w:rPr>
          <w:rFonts w:asciiTheme="majorHAnsi" w:hAnsiTheme="majorHAnsi" w:cstheme="majorHAnsi"/>
          <w:sz w:val="16"/>
          <w:szCs w:val="16"/>
        </w:rPr>
        <w:t>signed</w:t>
      </w:r>
      <w:r w:rsidR="002550D7" w:rsidRPr="00B81399">
        <w:rPr>
          <w:rFonts w:asciiTheme="majorHAnsi" w:hAnsiTheme="majorHAnsi" w:cstheme="majorHAnsi"/>
          <w:sz w:val="16"/>
          <w:szCs w:val="16"/>
        </w:rPr>
        <w:t xml:space="preserve"> on</w:t>
      </w:r>
      <w:r w:rsidRPr="00B81399">
        <w:rPr>
          <w:rFonts w:asciiTheme="majorHAnsi" w:hAnsiTheme="majorHAnsi" w:cstheme="majorHAnsi"/>
          <w:sz w:val="16"/>
          <w:szCs w:val="16"/>
        </w:rPr>
        <w:t xml:space="preserve"> 30 October 2016)</w:t>
      </w:r>
      <w:r w:rsidR="002550D7" w:rsidRPr="00B81399">
        <w:rPr>
          <w:rFonts w:asciiTheme="majorHAnsi" w:hAnsiTheme="majorHAnsi" w:cstheme="majorHAnsi"/>
          <w:sz w:val="16"/>
          <w:szCs w:val="16"/>
        </w:rPr>
        <w:t>;</w:t>
      </w:r>
      <w:r w:rsidRPr="00B81399">
        <w:rPr>
          <w:rFonts w:asciiTheme="majorHAnsi" w:hAnsiTheme="majorHAnsi" w:cstheme="majorHAnsi"/>
          <w:sz w:val="16"/>
          <w:szCs w:val="16"/>
        </w:rPr>
        <w:t xml:space="preserve"> &lt;</w:t>
      </w:r>
      <w:hyperlink r:id="rId5" w:history="1">
        <w:r w:rsidRPr="00B81399">
          <w:rPr>
            <w:rStyle w:val="Hyperlink"/>
            <w:rFonts w:asciiTheme="majorHAnsi" w:eastAsiaTheme="majorEastAsia" w:hAnsiTheme="majorHAnsi" w:cstheme="majorHAnsi"/>
            <w:color w:val="auto"/>
            <w:sz w:val="16"/>
            <w:szCs w:val="16"/>
          </w:rPr>
          <w:t>http://ec.europa.eu/trade/policy/in-focus/ceta/</w:t>
        </w:r>
      </w:hyperlink>
      <w:r w:rsidRPr="00B81399">
        <w:rPr>
          <w:rFonts w:asciiTheme="majorHAnsi" w:hAnsiTheme="majorHAnsi" w:cstheme="majorHAnsi"/>
          <w:sz w:val="16"/>
          <w:szCs w:val="16"/>
        </w:rPr>
        <w:t xml:space="preserve">&gt;.  </w:t>
      </w:r>
    </w:p>
  </w:footnote>
  <w:footnote w:id="7">
    <w:p w:rsidR="00F44CCB" w:rsidRPr="00B81399" w:rsidRDefault="00F44CCB" w:rsidP="00DC6FA6">
      <w:pPr>
        <w:pStyle w:val="FootnoteText"/>
        <w:jc w:val="both"/>
        <w:rPr>
          <w:rFonts w:asciiTheme="majorHAnsi" w:hAnsiTheme="majorHAnsi" w:cstheme="majorHAnsi"/>
          <w:sz w:val="16"/>
          <w:szCs w:val="16"/>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The EU-Vietnam FTA, draft text (January 2016)</w:t>
      </w:r>
      <w:r w:rsidR="002550D7" w:rsidRPr="00B81399">
        <w:rPr>
          <w:rFonts w:asciiTheme="majorHAnsi" w:hAnsiTheme="majorHAnsi" w:cstheme="majorHAnsi"/>
          <w:sz w:val="16"/>
          <w:szCs w:val="16"/>
        </w:rPr>
        <w:t>;</w:t>
      </w:r>
      <w:r w:rsidRPr="00B81399">
        <w:rPr>
          <w:rFonts w:asciiTheme="majorHAnsi" w:hAnsiTheme="majorHAnsi" w:cstheme="majorHAnsi"/>
          <w:sz w:val="16"/>
          <w:szCs w:val="16"/>
        </w:rPr>
        <w:t xml:space="preserve"> &lt;http://trade.ec.europa.eu/doclib/press/index.cfm?id=1437&gt;.  </w:t>
      </w:r>
    </w:p>
  </w:footnote>
  <w:footnote w:id="8">
    <w:p w:rsidR="007A4731" w:rsidRDefault="00F44CCB" w:rsidP="00DC6FA6">
      <w:pPr>
        <w:pStyle w:val="FootnoteText"/>
        <w:jc w:val="both"/>
        <w:rPr>
          <w:rFonts w:asciiTheme="majorHAnsi" w:eastAsia="Cambria" w:hAnsiTheme="majorHAnsi" w:cstheme="majorHAnsi"/>
          <w:sz w:val="16"/>
          <w:szCs w:val="16"/>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The EU-Singapore FTA (April 2018),</w:t>
      </w:r>
      <w:r w:rsidRPr="00B81399">
        <w:rPr>
          <w:rFonts w:asciiTheme="majorHAnsi" w:eastAsia="Cambria" w:hAnsiTheme="majorHAnsi" w:cstheme="majorHAnsi"/>
          <w:sz w:val="16"/>
          <w:szCs w:val="16"/>
        </w:rPr>
        <w:t xml:space="preserve"> Investment Protection Agreement</w:t>
      </w:r>
      <w:r w:rsidR="002550D7" w:rsidRPr="00B81399">
        <w:rPr>
          <w:rFonts w:asciiTheme="majorHAnsi" w:eastAsia="Cambria" w:hAnsiTheme="majorHAnsi" w:cstheme="majorHAnsi"/>
          <w:sz w:val="16"/>
          <w:szCs w:val="16"/>
        </w:rPr>
        <w:t>;</w:t>
      </w:r>
    </w:p>
    <w:p w:rsidR="00F44CCB" w:rsidRPr="00B81399" w:rsidRDefault="002550D7" w:rsidP="00DC6FA6">
      <w:pPr>
        <w:pStyle w:val="FootnoteText"/>
        <w:jc w:val="both"/>
        <w:rPr>
          <w:rFonts w:asciiTheme="majorHAnsi" w:hAnsiTheme="majorHAnsi" w:cstheme="majorHAnsi"/>
          <w:sz w:val="16"/>
          <w:szCs w:val="16"/>
          <w:lang w:val="en"/>
        </w:rPr>
      </w:pPr>
      <w:r w:rsidRPr="00B81399">
        <w:rPr>
          <w:rFonts w:asciiTheme="majorHAnsi" w:eastAsia="Cambria" w:hAnsiTheme="majorHAnsi" w:cstheme="majorHAnsi"/>
          <w:sz w:val="16"/>
          <w:szCs w:val="16"/>
        </w:rPr>
        <w:t xml:space="preserve"> </w:t>
      </w:r>
      <w:r w:rsidR="00F44CCB" w:rsidRPr="00B81399">
        <w:rPr>
          <w:rFonts w:asciiTheme="majorHAnsi" w:hAnsiTheme="majorHAnsi" w:cstheme="majorHAnsi"/>
          <w:sz w:val="16"/>
          <w:szCs w:val="16"/>
        </w:rPr>
        <w:t>&lt;http://trade.ec.europa.eu/doclib/press/index.cfm?id=961&gt;</w:t>
      </w:r>
      <w:r w:rsidR="00F44CCB" w:rsidRPr="00B81399">
        <w:rPr>
          <w:rFonts w:asciiTheme="majorHAnsi" w:hAnsiTheme="majorHAnsi" w:cstheme="majorHAnsi"/>
          <w:sz w:val="16"/>
          <w:szCs w:val="16"/>
          <w:lang w:val="en"/>
        </w:rPr>
        <w:t>.</w:t>
      </w:r>
    </w:p>
  </w:footnote>
  <w:footnote w:id="9">
    <w:p w:rsidR="00F44CCB" w:rsidRPr="00B81399" w:rsidRDefault="00F44CCB" w:rsidP="00DC6FA6">
      <w:pPr>
        <w:pStyle w:val="NormalWeb"/>
        <w:shd w:val="clear" w:color="auto" w:fill="FFFFFF"/>
        <w:spacing w:before="0" w:beforeAutospacing="0" w:after="0" w:afterAutospacing="0"/>
        <w:jc w:val="both"/>
        <w:rPr>
          <w:rFonts w:asciiTheme="majorHAnsi" w:hAnsiTheme="majorHAnsi" w:cstheme="majorHAnsi"/>
          <w:sz w:val="16"/>
          <w:szCs w:val="16"/>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Newsroom, </w:t>
      </w:r>
      <w:r w:rsidR="00232E97" w:rsidRPr="00B81399">
        <w:rPr>
          <w:rFonts w:asciiTheme="majorHAnsi" w:hAnsiTheme="majorHAnsi" w:cstheme="majorHAnsi"/>
          <w:sz w:val="16"/>
          <w:szCs w:val="16"/>
        </w:rPr>
        <w:t>‘</w:t>
      </w:r>
      <w:r w:rsidRPr="00B81399">
        <w:rPr>
          <w:rFonts w:asciiTheme="majorHAnsi" w:hAnsiTheme="majorHAnsi" w:cstheme="majorHAnsi"/>
          <w:sz w:val="16"/>
          <w:szCs w:val="16"/>
        </w:rPr>
        <w:t>Committee of Ministers adopted Recommendation on human rights and business</w:t>
      </w:r>
      <w:r w:rsidR="00232E97" w:rsidRPr="00B81399">
        <w:rPr>
          <w:rFonts w:asciiTheme="majorHAnsi" w:hAnsiTheme="majorHAnsi" w:cstheme="majorHAnsi"/>
          <w:sz w:val="16"/>
          <w:szCs w:val="16"/>
        </w:rPr>
        <w:t>’,</w:t>
      </w:r>
      <w:r w:rsidRPr="00B81399">
        <w:rPr>
          <w:rFonts w:asciiTheme="majorHAnsi" w:hAnsiTheme="majorHAnsi" w:cstheme="majorHAnsi"/>
          <w:sz w:val="16"/>
          <w:szCs w:val="16"/>
        </w:rPr>
        <w:t xml:space="preserve"> </w:t>
      </w:r>
      <w:r w:rsidR="006D3E59" w:rsidRPr="00B81399">
        <w:rPr>
          <w:rFonts w:asciiTheme="majorHAnsi" w:hAnsiTheme="majorHAnsi" w:cstheme="majorHAnsi"/>
          <w:sz w:val="16"/>
          <w:szCs w:val="16"/>
        </w:rPr>
        <w:t xml:space="preserve">Strasbourg, 7 March </w:t>
      </w:r>
      <w:r w:rsidRPr="00B81399">
        <w:rPr>
          <w:rFonts w:asciiTheme="majorHAnsi" w:hAnsiTheme="majorHAnsi" w:cstheme="majorHAnsi"/>
          <w:sz w:val="16"/>
          <w:szCs w:val="16"/>
        </w:rPr>
        <w:t>2016</w:t>
      </w:r>
      <w:r w:rsidRPr="00B81399">
        <w:rPr>
          <w:rFonts w:asciiTheme="majorHAnsi" w:hAnsiTheme="majorHAnsi" w:cstheme="majorHAnsi"/>
          <w:caps/>
          <w:spacing w:val="15"/>
          <w:sz w:val="16"/>
          <w:szCs w:val="16"/>
        </w:rPr>
        <w:t xml:space="preserve">; </w:t>
      </w:r>
      <w:r w:rsidRPr="00B81399">
        <w:rPr>
          <w:rFonts w:asciiTheme="majorHAnsi" w:hAnsiTheme="majorHAnsi" w:cstheme="majorHAnsi"/>
          <w:sz w:val="16"/>
          <w:szCs w:val="16"/>
        </w:rPr>
        <w:t xml:space="preserve">&lt;https://www.coe.int/en/web/human-rights-rule-of-law/-/human-rights-and-busine-1&gt;. </w:t>
      </w:r>
      <w:r w:rsidR="00DC6FA6" w:rsidRPr="00B81399">
        <w:rPr>
          <w:rFonts w:asciiTheme="majorHAnsi" w:hAnsiTheme="majorHAnsi" w:cstheme="majorHAnsi"/>
          <w:sz w:val="16"/>
          <w:szCs w:val="16"/>
        </w:rPr>
        <w:t xml:space="preserve">It states: </w:t>
      </w:r>
      <w:r w:rsidRPr="00B81399">
        <w:rPr>
          <w:rFonts w:asciiTheme="majorHAnsi" w:hAnsiTheme="majorHAnsi" w:cstheme="majorHAnsi"/>
          <w:sz w:val="16"/>
          <w:szCs w:val="16"/>
        </w:rPr>
        <w:t xml:space="preserve">Building on the 2011 UN Guiding Principles, the Committee of Ministers of the Council of Europe </w:t>
      </w:r>
      <w:r w:rsidR="006D3E59" w:rsidRPr="00B81399">
        <w:rPr>
          <w:rFonts w:asciiTheme="majorHAnsi" w:hAnsiTheme="majorHAnsi" w:cstheme="majorHAnsi"/>
          <w:sz w:val="16"/>
          <w:szCs w:val="16"/>
        </w:rPr>
        <w:t>a</w:t>
      </w:r>
      <w:r w:rsidRPr="00B81399">
        <w:rPr>
          <w:rFonts w:asciiTheme="majorHAnsi" w:hAnsiTheme="majorHAnsi" w:cstheme="majorHAnsi"/>
          <w:sz w:val="16"/>
          <w:szCs w:val="16"/>
        </w:rPr>
        <w:t>dopted Recommendation CM/</w:t>
      </w:r>
      <w:proofErr w:type="gramStart"/>
      <w:r w:rsidRPr="00B81399">
        <w:rPr>
          <w:rFonts w:asciiTheme="majorHAnsi" w:hAnsiTheme="majorHAnsi" w:cstheme="majorHAnsi"/>
          <w:sz w:val="16"/>
          <w:szCs w:val="16"/>
        </w:rPr>
        <w:t>Rec(</w:t>
      </w:r>
      <w:proofErr w:type="gramEnd"/>
      <w:r w:rsidRPr="00B81399">
        <w:rPr>
          <w:rFonts w:asciiTheme="majorHAnsi" w:hAnsiTheme="majorHAnsi" w:cstheme="majorHAnsi"/>
          <w:sz w:val="16"/>
          <w:szCs w:val="16"/>
        </w:rPr>
        <w:t>2016)3</w:t>
      </w:r>
      <w:r w:rsidRPr="00B81399">
        <w:rPr>
          <w:rFonts w:asciiTheme="majorHAnsi" w:hAnsiTheme="majorHAnsi" w:cstheme="majorHAnsi"/>
          <w:b/>
          <w:bCs/>
          <w:sz w:val="16"/>
          <w:szCs w:val="16"/>
        </w:rPr>
        <w:t> </w:t>
      </w:r>
      <w:r w:rsidRPr="00B81399">
        <w:rPr>
          <w:rFonts w:asciiTheme="majorHAnsi" w:hAnsiTheme="majorHAnsi" w:cstheme="majorHAnsi"/>
          <w:sz w:val="16"/>
          <w:szCs w:val="16"/>
        </w:rPr>
        <w:t>on human rights and business, a text that provides more specific guidance to assist member States in preventing and remedying human rights violations by business enterprises and also insists on measures to induce business to respect human rights. The Recommendation elaborates on access to judicial remedy, drawing on Council of Europe expertise and legal standards in the field (civil and criminal liability, reduction of judicial barriers, legal aid, collective claims</w:t>
      </w:r>
      <w:r w:rsidR="00232E97" w:rsidRPr="00B81399">
        <w:rPr>
          <w:rFonts w:asciiTheme="majorHAnsi" w:hAnsiTheme="majorHAnsi" w:cstheme="majorHAnsi"/>
          <w:sz w:val="16"/>
          <w:szCs w:val="16"/>
        </w:rPr>
        <w:t>,</w:t>
      </w:r>
      <w:r w:rsidRPr="00B81399">
        <w:rPr>
          <w:rFonts w:asciiTheme="majorHAnsi" w:hAnsiTheme="majorHAnsi" w:cstheme="majorHAnsi"/>
          <w:sz w:val="16"/>
          <w:szCs w:val="16"/>
        </w:rPr>
        <w:t xml:space="preserve"> etc</w:t>
      </w:r>
      <w:r w:rsidR="00232E97" w:rsidRPr="00B81399">
        <w:rPr>
          <w:rFonts w:asciiTheme="majorHAnsi" w:hAnsiTheme="majorHAnsi" w:cstheme="majorHAnsi"/>
          <w:sz w:val="16"/>
          <w:szCs w:val="16"/>
        </w:rPr>
        <w:t>.</w:t>
      </w:r>
      <w:r w:rsidRPr="00B81399">
        <w:rPr>
          <w:rFonts w:asciiTheme="majorHAnsi" w:hAnsiTheme="majorHAnsi" w:cstheme="majorHAnsi"/>
          <w:sz w:val="16"/>
          <w:szCs w:val="16"/>
        </w:rPr>
        <w:t>). It puts special emphasis on the additional protection needs of workers, children, indigenous people and human rights defenders.</w:t>
      </w:r>
    </w:p>
  </w:footnote>
  <w:footnote w:id="10">
    <w:p w:rsidR="00F44CCB" w:rsidRPr="00B81399" w:rsidRDefault="00F44CCB" w:rsidP="00DC6FA6">
      <w:pPr>
        <w:pStyle w:val="FootnoteText"/>
        <w:jc w:val="both"/>
        <w:rPr>
          <w:rFonts w:asciiTheme="majorHAnsi" w:hAnsiTheme="majorHAnsi" w:cstheme="majorHAnsi"/>
          <w:sz w:val="16"/>
          <w:szCs w:val="16"/>
          <w:lang w:val="en-US"/>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This information is based on the study of Y. Levashova, </w:t>
      </w:r>
      <w:r w:rsidRPr="00B81399">
        <w:rPr>
          <w:rFonts w:asciiTheme="majorHAnsi" w:hAnsiTheme="majorHAnsi" w:cstheme="majorHAnsi"/>
          <w:sz w:val="16"/>
          <w:szCs w:val="16"/>
          <w:lang w:val="en-US"/>
        </w:rPr>
        <w:t>‘The Right of States to Regulate in the Public Interest and the Right of Investors to Receive Fair and Equitable Treatment,’</w:t>
      </w:r>
      <w:r w:rsidRPr="00B81399">
        <w:rPr>
          <w:rFonts w:asciiTheme="majorHAnsi" w:hAnsiTheme="majorHAnsi" w:cstheme="majorHAnsi"/>
          <w:sz w:val="16"/>
          <w:szCs w:val="16"/>
        </w:rPr>
        <w:t xml:space="preserve"> </w:t>
      </w:r>
      <w:r w:rsidRPr="00B81399">
        <w:rPr>
          <w:rFonts w:asciiTheme="majorHAnsi" w:hAnsiTheme="majorHAnsi" w:cstheme="majorHAnsi"/>
          <w:sz w:val="16"/>
          <w:szCs w:val="16"/>
          <w:lang w:val="en-US"/>
        </w:rPr>
        <w:t xml:space="preserve">Kluwer International Arbitration Law Library, </w:t>
      </w:r>
      <w:r w:rsidRPr="00B81399">
        <w:rPr>
          <w:rFonts w:asciiTheme="majorHAnsi" w:hAnsiTheme="majorHAnsi" w:cstheme="majorHAnsi"/>
          <w:sz w:val="16"/>
          <w:szCs w:val="16"/>
        </w:rPr>
        <w:t>forthcoming in 2019</w:t>
      </w:r>
      <w:r w:rsidRPr="00B81399">
        <w:rPr>
          <w:rFonts w:asciiTheme="majorHAnsi" w:hAnsiTheme="majorHAnsi" w:cstheme="majorHAnsi"/>
          <w:sz w:val="16"/>
          <w:szCs w:val="16"/>
          <w:lang w:val="en-US"/>
        </w:rPr>
        <w:t xml:space="preserve">.  </w:t>
      </w:r>
    </w:p>
  </w:footnote>
  <w:footnote w:id="11">
    <w:p w:rsidR="0041573E" w:rsidRPr="00B81399" w:rsidRDefault="00F44CCB" w:rsidP="00DC6FA6">
      <w:pPr>
        <w:pStyle w:val="FootnoteText"/>
        <w:jc w:val="both"/>
        <w:rPr>
          <w:rFonts w:asciiTheme="majorHAnsi" w:hAnsiTheme="majorHAnsi" w:cstheme="majorHAnsi"/>
          <w:sz w:val="16"/>
          <w:szCs w:val="16"/>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w:t>
      </w:r>
      <w:r w:rsidR="00622567" w:rsidRPr="00B81399">
        <w:rPr>
          <w:rFonts w:asciiTheme="majorHAnsi" w:hAnsiTheme="majorHAnsi" w:cstheme="majorHAnsi"/>
          <w:sz w:val="16"/>
          <w:szCs w:val="16"/>
        </w:rPr>
        <w:t>Ernst &amp; Young, 2017 publication, ‘The UK Modern Slavery Act 2015 What are the requirements and how should businesses respond?’;</w:t>
      </w:r>
    </w:p>
    <w:p w:rsidR="00F44CCB" w:rsidRPr="00B81399" w:rsidRDefault="00622567" w:rsidP="00DC6FA6">
      <w:pPr>
        <w:pStyle w:val="FootnoteText"/>
        <w:jc w:val="both"/>
        <w:rPr>
          <w:rFonts w:asciiTheme="majorHAnsi" w:hAnsiTheme="majorHAnsi" w:cstheme="majorHAnsi"/>
          <w:sz w:val="16"/>
          <w:szCs w:val="16"/>
        </w:rPr>
      </w:pPr>
      <w:r w:rsidRPr="00B81399">
        <w:rPr>
          <w:rFonts w:asciiTheme="majorHAnsi" w:hAnsiTheme="majorHAnsi" w:cstheme="majorHAnsi"/>
          <w:sz w:val="16"/>
          <w:szCs w:val="16"/>
        </w:rPr>
        <w:t xml:space="preserve"> </w:t>
      </w:r>
      <w:hyperlink r:id="rId6" w:history="1">
        <w:r w:rsidRPr="00B81399">
          <w:rPr>
            <w:rStyle w:val="Hyperlink"/>
            <w:rFonts w:asciiTheme="majorHAnsi" w:hAnsiTheme="majorHAnsi" w:cstheme="majorHAnsi"/>
            <w:sz w:val="16"/>
            <w:szCs w:val="16"/>
          </w:rPr>
          <w:t>https://www.ey.com/Publication/vwLUAssets/ey-the-uk-modern-slavery-act-2015/$FILE/ey-the-uk-modern-slavery-act-2015.pdf</w:t>
        </w:r>
      </w:hyperlink>
      <w:r w:rsidRPr="00B81399">
        <w:rPr>
          <w:rFonts w:asciiTheme="majorHAnsi" w:hAnsiTheme="majorHAnsi" w:cstheme="majorHAnsi"/>
          <w:sz w:val="16"/>
          <w:szCs w:val="16"/>
        </w:rPr>
        <w:t xml:space="preserve">. </w:t>
      </w:r>
      <w:r w:rsidR="00DC6FA6" w:rsidRPr="00B81399">
        <w:rPr>
          <w:rFonts w:asciiTheme="majorHAnsi" w:hAnsiTheme="majorHAnsi" w:cstheme="majorHAnsi"/>
          <w:sz w:val="16"/>
          <w:szCs w:val="16"/>
        </w:rPr>
        <w:t xml:space="preserve">It provides the following information: </w:t>
      </w:r>
      <w:r w:rsidR="00F44CCB" w:rsidRPr="00B81399">
        <w:rPr>
          <w:rFonts w:asciiTheme="majorHAnsi" w:hAnsiTheme="majorHAnsi" w:cstheme="majorHAnsi"/>
          <w:sz w:val="16"/>
          <w:szCs w:val="16"/>
        </w:rPr>
        <w:t>Provision 54 of the Act came into force on 29 October 2015. It requires commercial organisations in any sector with a global annual turnover3</w:t>
      </w:r>
      <w:r w:rsidR="00F5277B" w:rsidRPr="00B81399">
        <w:rPr>
          <w:rFonts w:asciiTheme="majorHAnsi" w:hAnsiTheme="majorHAnsi" w:cstheme="majorHAnsi"/>
          <w:sz w:val="16"/>
          <w:szCs w:val="16"/>
        </w:rPr>
        <w:t xml:space="preserve"> [?]</w:t>
      </w:r>
      <w:r w:rsidR="00F44CCB" w:rsidRPr="00B81399">
        <w:rPr>
          <w:rFonts w:asciiTheme="majorHAnsi" w:hAnsiTheme="majorHAnsi" w:cstheme="majorHAnsi"/>
          <w:sz w:val="16"/>
          <w:szCs w:val="16"/>
        </w:rPr>
        <w:t xml:space="preserve"> of £36m or more who do business in the UK to disclose (in an annual Slavery and Human Trafficking Statement), the steps they are taking to address modern slavery in their business and supply chain4</w:t>
      </w:r>
      <w:r w:rsidR="00F5277B" w:rsidRPr="00B81399">
        <w:rPr>
          <w:rFonts w:asciiTheme="majorHAnsi" w:hAnsiTheme="majorHAnsi" w:cstheme="majorHAnsi"/>
          <w:sz w:val="16"/>
          <w:szCs w:val="16"/>
        </w:rPr>
        <w:t>[?]</w:t>
      </w:r>
      <w:r w:rsidR="00F44CCB" w:rsidRPr="00B81399">
        <w:rPr>
          <w:rFonts w:asciiTheme="majorHAnsi" w:hAnsiTheme="majorHAnsi" w:cstheme="majorHAnsi"/>
          <w:sz w:val="16"/>
          <w:szCs w:val="16"/>
        </w:rPr>
        <w:t xml:space="preserve">. If an organisation has taken no such measures, this must be disclosed. The Act is estimated to apply to over 12,000 businesses, however, there is currently no mechanism to check which companies are required to report. The transparency requirement applies to any incorporated company or partnership, including limited liability partnerships, that carries on its business, or part of its business, in the UK. The requirement is applicable regardless of the company’s geographic </w:t>
      </w:r>
      <w:proofErr w:type="gramStart"/>
      <w:r w:rsidR="00F44CCB" w:rsidRPr="00B81399">
        <w:rPr>
          <w:rFonts w:asciiTheme="majorHAnsi" w:hAnsiTheme="majorHAnsi" w:cstheme="majorHAnsi"/>
          <w:sz w:val="16"/>
          <w:szCs w:val="16"/>
        </w:rPr>
        <w:t>location,</w:t>
      </w:r>
      <w:proofErr w:type="gramEnd"/>
      <w:r w:rsidR="00F44CCB" w:rsidRPr="00B81399">
        <w:rPr>
          <w:rFonts w:asciiTheme="majorHAnsi" w:hAnsiTheme="majorHAnsi" w:cstheme="majorHAnsi"/>
          <w:sz w:val="16"/>
          <w:szCs w:val="16"/>
        </w:rPr>
        <w:t xml:space="preserve"> thus the obligations also apply to overseas businesses providing goods or services within the UK. Furthermore, organisations that pursue primarily charitable or educational aims or purely public functions are also applicable under the MSA.</w:t>
      </w:r>
    </w:p>
  </w:footnote>
  <w:footnote w:id="12">
    <w:p w:rsidR="0041573E" w:rsidRPr="00B81399" w:rsidRDefault="00F44CCB" w:rsidP="00DC6FA6">
      <w:pPr>
        <w:pStyle w:val="FootnoteText"/>
        <w:jc w:val="both"/>
        <w:rPr>
          <w:rFonts w:asciiTheme="majorHAnsi" w:hAnsiTheme="majorHAnsi" w:cstheme="majorHAnsi"/>
          <w:sz w:val="16"/>
          <w:szCs w:val="16"/>
          <w:shd w:val="clear" w:color="auto" w:fill="FFFFFF"/>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w:t>
      </w:r>
      <w:r w:rsidR="0041573E" w:rsidRPr="00B81399">
        <w:rPr>
          <w:rFonts w:asciiTheme="majorHAnsi" w:hAnsiTheme="majorHAnsi" w:cstheme="majorHAnsi"/>
          <w:sz w:val="16"/>
          <w:szCs w:val="16"/>
          <w:shd w:val="clear" w:color="auto" w:fill="FFFFFF"/>
        </w:rPr>
        <w:t>L</w:t>
      </w:r>
      <w:r w:rsidR="00775F33" w:rsidRPr="00B81399">
        <w:rPr>
          <w:rFonts w:asciiTheme="majorHAnsi" w:hAnsiTheme="majorHAnsi" w:cstheme="majorHAnsi"/>
          <w:sz w:val="16"/>
          <w:szCs w:val="16"/>
          <w:shd w:val="clear" w:color="auto" w:fill="FFFFFF"/>
        </w:rPr>
        <w:t>aw n</w:t>
      </w:r>
      <w:r w:rsidRPr="00B81399">
        <w:rPr>
          <w:rFonts w:asciiTheme="majorHAnsi" w:hAnsiTheme="majorHAnsi" w:cstheme="majorHAnsi"/>
          <w:sz w:val="16"/>
          <w:szCs w:val="16"/>
          <w:shd w:val="clear" w:color="auto" w:fill="FFFFFF"/>
        </w:rPr>
        <w:t>o. 2017-399 of 27 March 2017 on the corporate duty of vigilance for parent and instructing companies requires all French companies that have more than 5,000 employees domestically or employ 10,000 employees or more worldwide to implement an effective vigilance plan to address environmental, health and safety and human rights both in their own operations and at their suppliers and sub-contractors. Affecting about 150-200 French corporates, it forces engagement with CSR risks throughout the supply chain, with firms expected to make public their plans and report back on their implementation. See further:</w:t>
      </w:r>
    </w:p>
    <w:p w:rsidR="00F44CCB" w:rsidRPr="00B81399" w:rsidRDefault="00775F33" w:rsidP="00DC6FA6">
      <w:pPr>
        <w:pStyle w:val="FootnoteText"/>
        <w:jc w:val="both"/>
        <w:rPr>
          <w:rFonts w:asciiTheme="majorHAnsi" w:hAnsiTheme="majorHAnsi" w:cstheme="majorHAnsi"/>
          <w:sz w:val="16"/>
          <w:szCs w:val="16"/>
        </w:rPr>
      </w:pPr>
      <w:r w:rsidRPr="00B81399">
        <w:rPr>
          <w:rFonts w:asciiTheme="majorHAnsi" w:hAnsiTheme="majorHAnsi" w:cstheme="majorHAnsi"/>
          <w:sz w:val="16"/>
          <w:szCs w:val="16"/>
          <w:shd w:val="clear" w:color="auto" w:fill="FFFFFF"/>
        </w:rPr>
        <w:t>&lt;</w:t>
      </w:r>
      <w:r w:rsidR="00F44CCB" w:rsidRPr="00B81399">
        <w:rPr>
          <w:rFonts w:asciiTheme="majorHAnsi" w:hAnsiTheme="majorHAnsi" w:cstheme="majorHAnsi"/>
          <w:sz w:val="16"/>
          <w:szCs w:val="16"/>
          <w:shd w:val="clear" w:color="auto" w:fill="FFFFFF"/>
        </w:rPr>
        <w:t>https://www.business-humanrights.org/en/frances-law-on-the-corporate-duty-of-vigilance-a-practical-and-multidimensional-analysis-in-english</w:t>
      </w:r>
      <w:r w:rsidRPr="00B81399">
        <w:rPr>
          <w:rFonts w:asciiTheme="majorHAnsi" w:hAnsiTheme="majorHAnsi" w:cstheme="majorHAnsi"/>
          <w:sz w:val="16"/>
          <w:szCs w:val="16"/>
          <w:shd w:val="clear" w:color="auto" w:fill="FFFFFF"/>
        </w:rPr>
        <w:t>&gt;</w:t>
      </w:r>
      <w:r w:rsidR="00F44CCB" w:rsidRPr="00B81399">
        <w:rPr>
          <w:rFonts w:asciiTheme="majorHAnsi" w:hAnsiTheme="majorHAnsi" w:cstheme="majorHAnsi"/>
          <w:sz w:val="16"/>
          <w:szCs w:val="16"/>
          <w:shd w:val="clear" w:color="auto" w:fill="FFFFFF"/>
        </w:rPr>
        <w:t>.</w:t>
      </w:r>
    </w:p>
  </w:footnote>
  <w:footnote w:id="13">
    <w:p w:rsidR="00076918" w:rsidRPr="00B81399" w:rsidRDefault="00F44CCB" w:rsidP="00DC6FA6">
      <w:pPr>
        <w:jc w:val="both"/>
        <w:rPr>
          <w:rFonts w:asciiTheme="majorHAnsi" w:eastAsiaTheme="minorHAnsi" w:hAnsiTheme="majorHAnsi" w:cstheme="majorHAnsi"/>
          <w:sz w:val="16"/>
          <w:szCs w:val="16"/>
          <w:lang w:val="en-US"/>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The bill </w:t>
      </w:r>
      <w:r w:rsidR="00076918" w:rsidRPr="00B81399">
        <w:rPr>
          <w:rFonts w:asciiTheme="majorHAnsi" w:hAnsiTheme="majorHAnsi" w:cstheme="majorHAnsi"/>
          <w:sz w:val="16"/>
          <w:szCs w:val="16"/>
        </w:rPr>
        <w:t xml:space="preserve">no. </w:t>
      </w:r>
      <w:r w:rsidR="00076918" w:rsidRPr="00B81399">
        <w:rPr>
          <w:rFonts w:asciiTheme="majorHAnsi" w:eastAsiaTheme="minorHAnsi" w:hAnsiTheme="majorHAnsi" w:cstheme="majorHAnsi"/>
          <w:sz w:val="16"/>
          <w:szCs w:val="16"/>
          <w:lang w:val="en-US"/>
        </w:rPr>
        <w:t>34.506,</w:t>
      </w:r>
      <w:r w:rsidR="00076918" w:rsidRPr="00B81399">
        <w:rPr>
          <w:rFonts w:asciiTheme="majorHAnsi" w:hAnsiTheme="majorHAnsi" w:cstheme="majorHAnsi"/>
          <w:sz w:val="16"/>
          <w:szCs w:val="16"/>
        </w:rPr>
        <w:t xml:space="preserve"> </w:t>
      </w:r>
      <w:r w:rsidR="00775F33" w:rsidRPr="00B81399">
        <w:rPr>
          <w:rFonts w:asciiTheme="majorHAnsi" w:hAnsiTheme="majorHAnsi" w:cstheme="majorHAnsi"/>
          <w:sz w:val="16"/>
          <w:szCs w:val="16"/>
        </w:rPr>
        <w:t>“</w:t>
      </w:r>
      <w:proofErr w:type="spellStart"/>
      <w:r w:rsidR="00775F33" w:rsidRPr="00B81399">
        <w:rPr>
          <w:rFonts w:asciiTheme="majorHAnsi" w:eastAsiaTheme="minorHAnsi" w:hAnsiTheme="majorHAnsi" w:cstheme="majorHAnsi"/>
          <w:sz w:val="16"/>
          <w:szCs w:val="16"/>
          <w:lang w:val="en-US"/>
        </w:rPr>
        <w:t>Initiatiefvoorstel-Kuiken</w:t>
      </w:r>
      <w:proofErr w:type="spellEnd"/>
      <w:r w:rsidR="00775F33" w:rsidRPr="00B81399">
        <w:rPr>
          <w:rFonts w:asciiTheme="majorHAnsi" w:eastAsiaTheme="minorHAnsi" w:hAnsiTheme="majorHAnsi" w:cstheme="majorHAnsi"/>
          <w:sz w:val="16"/>
          <w:szCs w:val="16"/>
          <w:lang w:val="en-US"/>
        </w:rPr>
        <w:t xml:space="preserve"> Wet </w:t>
      </w:r>
      <w:proofErr w:type="spellStart"/>
      <w:r w:rsidR="00775F33" w:rsidRPr="00B81399">
        <w:rPr>
          <w:rFonts w:asciiTheme="majorHAnsi" w:eastAsiaTheme="minorHAnsi" w:hAnsiTheme="majorHAnsi" w:cstheme="majorHAnsi"/>
          <w:sz w:val="16"/>
          <w:szCs w:val="16"/>
          <w:lang w:val="en-US"/>
        </w:rPr>
        <w:t>zorgplicht</w:t>
      </w:r>
      <w:proofErr w:type="spellEnd"/>
      <w:r w:rsidR="00775F33" w:rsidRPr="00B81399">
        <w:rPr>
          <w:rFonts w:asciiTheme="majorHAnsi" w:eastAsiaTheme="minorHAnsi" w:hAnsiTheme="majorHAnsi" w:cstheme="majorHAnsi"/>
          <w:sz w:val="16"/>
          <w:szCs w:val="16"/>
          <w:lang w:val="en-US"/>
        </w:rPr>
        <w:t xml:space="preserve"> </w:t>
      </w:r>
      <w:proofErr w:type="spellStart"/>
      <w:r w:rsidR="00775F33" w:rsidRPr="00B81399">
        <w:rPr>
          <w:rFonts w:asciiTheme="majorHAnsi" w:eastAsiaTheme="minorHAnsi" w:hAnsiTheme="majorHAnsi" w:cstheme="majorHAnsi"/>
          <w:sz w:val="16"/>
          <w:szCs w:val="16"/>
          <w:lang w:val="en-US"/>
        </w:rPr>
        <w:t>kinderarbeid</w:t>
      </w:r>
      <w:proofErr w:type="spellEnd"/>
      <w:r w:rsidR="00775F33" w:rsidRPr="00B81399">
        <w:rPr>
          <w:rFonts w:asciiTheme="majorHAnsi" w:eastAsiaTheme="minorHAnsi" w:hAnsiTheme="majorHAnsi" w:cstheme="majorHAnsi"/>
          <w:sz w:val="16"/>
          <w:szCs w:val="16"/>
          <w:lang w:val="en-US"/>
        </w:rPr>
        <w:t>”</w:t>
      </w:r>
      <w:r w:rsidR="00076918" w:rsidRPr="00B81399">
        <w:rPr>
          <w:rFonts w:asciiTheme="majorHAnsi" w:eastAsiaTheme="minorHAnsi" w:hAnsiTheme="majorHAnsi" w:cstheme="majorHAnsi"/>
          <w:sz w:val="16"/>
          <w:szCs w:val="16"/>
          <w:lang w:val="en-US"/>
        </w:rPr>
        <w:t>,</w:t>
      </w:r>
      <w:r w:rsidR="00775F33" w:rsidRPr="00B81399">
        <w:rPr>
          <w:rFonts w:asciiTheme="majorHAnsi" w:hAnsiTheme="majorHAnsi" w:cstheme="majorHAnsi"/>
          <w:sz w:val="16"/>
          <w:szCs w:val="16"/>
        </w:rPr>
        <w:t xml:space="preserve"> </w:t>
      </w:r>
      <w:r w:rsidRPr="00B81399">
        <w:rPr>
          <w:rFonts w:asciiTheme="majorHAnsi" w:hAnsiTheme="majorHAnsi" w:cstheme="majorHAnsi"/>
          <w:sz w:val="16"/>
          <w:szCs w:val="16"/>
        </w:rPr>
        <w:t xml:space="preserve">is adopted on 7 February 2017 by the Dutch Lower House and currently under evaluation in the Dutch Upper House. </w:t>
      </w:r>
      <w:r w:rsidR="00076918" w:rsidRPr="00B81399">
        <w:rPr>
          <w:rFonts w:asciiTheme="majorHAnsi" w:hAnsiTheme="majorHAnsi" w:cstheme="majorHAnsi"/>
          <w:sz w:val="16"/>
          <w:szCs w:val="16"/>
        </w:rPr>
        <w:t>The bill</w:t>
      </w:r>
      <w:r w:rsidRPr="00B81399">
        <w:rPr>
          <w:rFonts w:asciiTheme="majorHAnsi" w:eastAsiaTheme="minorHAnsi" w:hAnsiTheme="majorHAnsi" w:cstheme="majorHAnsi"/>
          <w:sz w:val="16"/>
          <w:szCs w:val="16"/>
          <w:lang w:val="en-US"/>
        </w:rPr>
        <w:t xml:space="preserve"> prescribes </w:t>
      </w:r>
      <w:r w:rsidR="00076918" w:rsidRPr="00B81399">
        <w:rPr>
          <w:rFonts w:asciiTheme="majorHAnsi" w:eastAsiaTheme="minorHAnsi" w:hAnsiTheme="majorHAnsi" w:cstheme="majorHAnsi"/>
          <w:sz w:val="16"/>
          <w:szCs w:val="16"/>
          <w:lang w:val="en-US"/>
        </w:rPr>
        <w:t xml:space="preserve">that companies adopt </w:t>
      </w:r>
      <w:r w:rsidRPr="00B81399">
        <w:rPr>
          <w:rFonts w:asciiTheme="majorHAnsi" w:eastAsiaTheme="minorHAnsi" w:hAnsiTheme="majorHAnsi" w:cstheme="majorHAnsi"/>
          <w:sz w:val="16"/>
          <w:szCs w:val="16"/>
          <w:lang w:val="en-US"/>
        </w:rPr>
        <w:t xml:space="preserve">a due diligence </w:t>
      </w:r>
      <w:r w:rsidR="00076918" w:rsidRPr="00B81399">
        <w:rPr>
          <w:rFonts w:asciiTheme="majorHAnsi" w:eastAsiaTheme="minorHAnsi" w:hAnsiTheme="majorHAnsi" w:cstheme="majorHAnsi"/>
          <w:sz w:val="16"/>
          <w:szCs w:val="16"/>
          <w:lang w:val="en-US"/>
        </w:rPr>
        <w:t>policy</w:t>
      </w:r>
      <w:r w:rsidRPr="00B81399">
        <w:rPr>
          <w:rFonts w:asciiTheme="majorHAnsi" w:eastAsiaTheme="minorHAnsi" w:hAnsiTheme="majorHAnsi" w:cstheme="majorHAnsi"/>
          <w:sz w:val="16"/>
          <w:szCs w:val="16"/>
          <w:lang w:val="en-US"/>
        </w:rPr>
        <w:t xml:space="preserve"> aimed at avoiding the delivery of goods and services produced by children</w:t>
      </w:r>
      <w:r w:rsidR="00076918" w:rsidRPr="00B81399">
        <w:rPr>
          <w:rFonts w:asciiTheme="majorHAnsi" w:eastAsiaTheme="minorHAnsi" w:hAnsiTheme="majorHAnsi" w:cstheme="majorHAnsi"/>
          <w:sz w:val="16"/>
          <w:szCs w:val="16"/>
          <w:lang w:val="en-US"/>
        </w:rPr>
        <w:t xml:space="preserve">. This obligation is </w:t>
      </w:r>
      <w:r w:rsidRPr="00B81399">
        <w:rPr>
          <w:rFonts w:asciiTheme="majorHAnsi" w:eastAsiaTheme="minorHAnsi" w:hAnsiTheme="majorHAnsi" w:cstheme="majorHAnsi"/>
          <w:sz w:val="16"/>
          <w:szCs w:val="16"/>
          <w:lang w:val="en-US"/>
        </w:rPr>
        <w:t xml:space="preserve">sanctioned by a penalty; </w:t>
      </w:r>
    </w:p>
    <w:p w:rsidR="00F44CCB" w:rsidRPr="00B81399" w:rsidRDefault="00F44CCB" w:rsidP="00DC6FA6">
      <w:pPr>
        <w:jc w:val="both"/>
        <w:rPr>
          <w:rFonts w:asciiTheme="majorHAnsi" w:hAnsiTheme="majorHAnsi" w:cstheme="majorHAnsi"/>
          <w:sz w:val="16"/>
          <w:szCs w:val="16"/>
          <w:lang w:val="en-US"/>
        </w:rPr>
      </w:pPr>
      <w:r w:rsidRPr="00B81399">
        <w:rPr>
          <w:rFonts w:asciiTheme="majorHAnsi" w:eastAsiaTheme="minorHAnsi" w:hAnsiTheme="majorHAnsi" w:cstheme="majorHAnsi"/>
          <w:sz w:val="16"/>
          <w:szCs w:val="16"/>
          <w:lang w:val="en-US"/>
        </w:rPr>
        <w:t>&lt;https://www.eerstekamer.nl/wetsvoorstel/34506_initiatiefvoorstel_kuiken&gt;.</w:t>
      </w:r>
    </w:p>
  </w:footnote>
  <w:footnote w:id="14">
    <w:p w:rsidR="00F44CCB" w:rsidRPr="00B81399" w:rsidRDefault="00F44CCB" w:rsidP="00DC6FA6">
      <w:pPr>
        <w:pStyle w:val="FootnoteText"/>
        <w:jc w:val="both"/>
        <w:rPr>
          <w:rFonts w:asciiTheme="majorHAnsi" w:hAnsiTheme="majorHAnsi" w:cstheme="majorHAnsi"/>
          <w:sz w:val="16"/>
          <w:szCs w:val="16"/>
          <w:lang w:val="en-US"/>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w:t>
      </w:r>
      <w:r w:rsidRPr="00B81399">
        <w:rPr>
          <w:rFonts w:asciiTheme="majorHAnsi" w:hAnsiTheme="majorHAnsi" w:cstheme="majorHAnsi"/>
          <w:sz w:val="16"/>
          <w:szCs w:val="16"/>
          <w:lang w:val="en-US"/>
        </w:rPr>
        <w:t xml:space="preserve">For the overview of relevant legislative initiatives on the duty of ‘due diligence,’ see: T. </w:t>
      </w:r>
      <w:proofErr w:type="spellStart"/>
      <w:r w:rsidRPr="00B81399">
        <w:rPr>
          <w:rFonts w:asciiTheme="majorHAnsi" w:hAnsiTheme="majorHAnsi" w:cstheme="majorHAnsi"/>
          <w:sz w:val="16"/>
          <w:szCs w:val="16"/>
          <w:lang w:val="en-US"/>
        </w:rPr>
        <w:t>Lambooy</w:t>
      </w:r>
      <w:proofErr w:type="spellEnd"/>
      <w:r w:rsidRPr="00B81399">
        <w:rPr>
          <w:rFonts w:asciiTheme="majorHAnsi" w:hAnsiTheme="majorHAnsi" w:cstheme="majorHAnsi"/>
          <w:sz w:val="16"/>
          <w:szCs w:val="16"/>
          <w:lang w:val="en-US"/>
        </w:rPr>
        <w:t xml:space="preserve">, R. </w:t>
      </w:r>
      <w:proofErr w:type="spellStart"/>
      <w:r w:rsidRPr="00B81399">
        <w:rPr>
          <w:rFonts w:asciiTheme="majorHAnsi" w:hAnsiTheme="majorHAnsi" w:cstheme="majorHAnsi"/>
          <w:sz w:val="16"/>
          <w:szCs w:val="16"/>
          <w:lang w:val="en-US"/>
        </w:rPr>
        <w:t>Diepeveen</w:t>
      </w:r>
      <w:proofErr w:type="spellEnd"/>
      <w:r w:rsidRPr="00B81399">
        <w:rPr>
          <w:rFonts w:asciiTheme="majorHAnsi" w:hAnsiTheme="majorHAnsi" w:cstheme="majorHAnsi"/>
          <w:sz w:val="16"/>
          <w:szCs w:val="16"/>
          <w:lang w:val="en-US"/>
        </w:rPr>
        <w:t xml:space="preserve">, </w:t>
      </w:r>
      <w:r w:rsidR="001853FC" w:rsidRPr="00B81399">
        <w:rPr>
          <w:rFonts w:asciiTheme="majorHAnsi" w:hAnsiTheme="majorHAnsi" w:cstheme="majorHAnsi"/>
          <w:sz w:val="16"/>
          <w:szCs w:val="16"/>
          <w:lang w:val="en-US"/>
        </w:rPr>
        <w:t>‘</w:t>
      </w:r>
      <w:proofErr w:type="spellStart"/>
      <w:r w:rsidRPr="00B81399">
        <w:rPr>
          <w:rFonts w:asciiTheme="majorHAnsi" w:hAnsiTheme="majorHAnsi" w:cstheme="majorHAnsi"/>
          <w:sz w:val="16"/>
          <w:szCs w:val="16"/>
          <w:lang w:val="en-US"/>
        </w:rPr>
        <w:t>Overzicht</w:t>
      </w:r>
      <w:proofErr w:type="spellEnd"/>
      <w:r w:rsidRPr="00B81399">
        <w:rPr>
          <w:rFonts w:asciiTheme="majorHAnsi" w:hAnsiTheme="majorHAnsi" w:cstheme="majorHAnsi"/>
          <w:sz w:val="16"/>
          <w:szCs w:val="16"/>
          <w:lang w:val="en-US"/>
        </w:rPr>
        <w:t xml:space="preserve"> </w:t>
      </w:r>
      <w:proofErr w:type="spellStart"/>
      <w:r w:rsidRPr="00B81399">
        <w:rPr>
          <w:rFonts w:asciiTheme="majorHAnsi" w:hAnsiTheme="majorHAnsi" w:cstheme="majorHAnsi"/>
          <w:sz w:val="16"/>
          <w:szCs w:val="16"/>
          <w:lang w:val="en-US"/>
        </w:rPr>
        <w:t>actuele</w:t>
      </w:r>
      <w:proofErr w:type="spellEnd"/>
      <w:r w:rsidRPr="00B81399">
        <w:rPr>
          <w:rFonts w:asciiTheme="majorHAnsi" w:hAnsiTheme="majorHAnsi" w:cstheme="majorHAnsi"/>
          <w:sz w:val="16"/>
          <w:szCs w:val="16"/>
          <w:lang w:val="en-US"/>
        </w:rPr>
        <w:t xml:space="preserve"> </w:t>
      </w:r>
      <w:proofErr w:type="spellStart"/>
      <w:r w:rsidRPr="00B81399">
        <w:rPr>
          <w:rFonts w:asciiTheme="majorHAnsi" w:hAnsiTheme="majorHAnsi" w:cstheme="majorHAnsi"/>
          <w:sz w:val="16"/>
          <w:szCs w:val="16"/>
          <w:lang w:val="en-US"/>
        </w:rPr>
        <w:t>ontwikkelingen</w:t>
      </w:r>
      <w:proofErr w:type="spellEnd"/>
      <w:r w:rsidRPr="00B81399">
        <w:rPr>
          <w:rFonts w:asciiTheme="majorHAnsi" w:hAnsiTheme="majorHAnsi" w:cstheme="majorHAnsi"/>
          <w:sz w:val="16"/>
          <w:szCs w:val="16"/>
          <w:lang w:val="en-US"/>
        </w:rPr>
        <w:t xml:space="preserve"> </w:t>
      </w:r>
      <w:proofErr w:type="spellStart"/>
      <w:r w:rsidRPr="00B81399">
        <w:rPr>
          <w:rFonts w:asciiTheme="majorHAnsi" w:hAnsiTheme="majorHAnsi" w:cstheme="majorHAnsi"/>
          <w:sz w:val="16"/>
          <w:szCs w:val="16"/>
          <w:lang w:val="en-US"/>
        </w:rPr>
        <w:t>betreffende</w:t>
      </w:r>
      <w:proofErr w:type="spellEnd"/>
      <w:r w:rsidRPr="00B81399">
        <w:rPr>
          <w:rFonts w:asciiTheme="majorHAnsi" w:hAnsiTheme="majorHAnsi" w:cstheme="majorHAnsi"/>
          <w:sz w:val="16"/>
          <w:szCs w:val="16"/>
          <w:lang w:val="en-US"/>
        </w:rPr>
        <w:t xml:space="preserve"> </w:t>
      </w:r>
      <w:proofErr w:type="spellStart"/>
      <w:r w:rsidRPr="00B81399">
        <w:rPr>
          <w:rFonts w:asciiTheme="majorHAnsi" w:hAnsiTheme="majorHAnsi" w:cstheme="majorHAnsi"/>
          <w:sz w:val="16"/>
          <w:szCs w:val="16"/>
          <w:lang w:val="en-US"/>
        </w:rPr>
        <w:t>niet-financiële</w:t>
      </w:r>
      <w:proofErr w:type="spellEnd"/>
      <w:r w:rsidRPr="00B81399">
        <w:rPr>
          <w:rFonts w:asciiTheme="majorHAnsi" w:hAnsiTheme="majorHAnsi" w:cstheme="majorHAnsi"/>
          <w:sz w:val="16"/>
          <w:szCs w:val="16"/>
          <w:lang w:val="en-US"/>
        </w:rPr>
        <w:t xml:space="preserve"> </w:t>
      </w:r>
      <w:proofErr w:type="spellStart"/>
      <w:r w:rsidRPr="00B81399">
        <w:rPr>
          <w:rFonts w:asciiTheme="majorHAnsi" w:hAnsiTheme="majorHAnsi" w:cstheme="majorHAnsi"/>
          <w:sz w:val="16"/>
          <w:szCs w:val="16"/>
          <w:lang w:val="en-US"/>
        </w:rPr>
        <w:t>informatie</w:t>
      </w:r>
      <w:proofErr w:type="spellEnd"/>
      <w:r w:rsidR="001853FC" w:rsidRPr="00B81399">
        <w:rPr>
          <w:rFonts w:asciiTheme="majorHAnsi" w:hAnsiTheme="majorHAnsi" w:cstheme="majorHAnsi"/>
          <w:sz w:val="16"/>
          <w:szCs w:val="16"/>
          <w:lang w:val="en-US"/>
        </w:rPr>
        <w:t>’</w:t>
      </w:r>
      <w:r w:rsidRPr="00B81399">
        <w:rPr>
          <w:rFonts w:asciiTheme="majorHAnsi" w:hAnsiTheme="majorHAnsi" w:cstheme="majorHAnsi"/>
          <w:sz w:val="16"/>
          <w:szCs w:val="16"/>
          <w:lang w:val="en-US"/>
        </w:rPr>
        <w:t xml:space="preserve"> (Overview of the recent developments concerning non-financial information),</w:t>
      </w:r>
      <w:r w:rsidR="001853FC" w:rsidRPr="00B81399">
        <w:rPr>
          <w:rFonts w:asciiTheme="majorHAnsi" w:hAnsiTheme="majorHAnsi" w:cstheme="majorHAnsi"/>
          <w:sz w:val="16"/>
          <w:szCs w:val="16"/>
          <w:lang w:val="en-US"/>
        </w:rPr>
        <w:t xml:space="preserve"> </w:t>
      </w:r>
      <w:proofErr w:type="spellStart"/>
      <w:r w:rsidR="001853FC" w:rsidRPr="00B81399">
        <w:rPr>
          <w:rFonts w:asciiTheme="majorHAnsi" w:hAnsiTheme="majorHAnsi" w:cstheme="majorHAnsi"/>
          <w:sz w:val="16"/>
          <w:szCs w:val="16"/>
          <w:lang w:val="en-US"/>
        </w:rPr>
        <w:t>Juridisch</w:t>
      </w:r>
      <w:proofErr w:type="spellEnd"/>
      <w:r w:rsidR="001853FC" w:rsidRPr="00B81399">
        <w:rPr>
          <w:rFonts w:asciiTheme="majorHAnsi" w:hAnsiTheme="majorHAnsi" w:cstheme="majorHAnsi"/>
          <w:sz w:val="16"/>
          <w:szCs w:val="16"/>
          <w:lang w:val="en-US"/>
        </w:rPr>
        <w:t xml:space="preserve"> Up to Date</w:t>
      </w:r>
      <w:r w:rsidRPr="00B81399">
        <w:rPr>
          <w:rFonts w:asciiTheme="majorHAnsi" w:hAnsiTheme="majorHAnsi" w:cstheme="majorHAnsi"/>
          <w:sz w:val="16"/>
          <w:szCs w:val="16"/>
          <w:lang w:val="en-US"/>
        </w:rPr>
        <w:t xml:space="preserve"> (professional journal f</w:t>
      </w:r>
      <w:r w:rsidR="001853FC" w:rsidRPr="00B81399">
        <w:rPr>
          <w:rFonts w:asciiTheme="majorHAnsi" w:hAnsiTheme="majorHAnsi" w:cstheme="majorHAnsi"/>
          <w:sz w:val="16"/>
          <w:szCs w:val="16"/>
          <w:lang w:val="en-US"/>
        </w:rPr>
        <w:t xml:space="preserve">or legal practice), 2017-0078, </w:t>
      </w:r>
      <w:r w:rsidRPr="00B81399">
        <w:rPr>
          <w:rFonts w:asciiTheme="majorHAnsi" w:hAnsiTheme="majorHAnsi" w:cstheme="majorHAnsi"/>
          <w:sz w:val="16"/>
          <w:szCs w:val="16"/>
          <w:lang w:val="en-US"/>
        </w:rPr>
        <w:t>6</w:t>
      </w:r>
      <w:r w:rsidR="001853FC" w:rsidRPr="00B81399">
        <w:rPr>
          <w:rFonts w:asciiTheme="majorHAnsi" w:hAnsiTheme="majorHAnsi" w:cstheme="majorHAnsi"/>
          <w:sz w:val="16"/>
          <w:szCs w:val="16"/>
          <w:lang w:val="en-US"/>
        </w:rPr>
        <w:t xml:space="preserve"> September 2017</w:t>
      </w:r>
      <w:r w:rsidRPr="00B81399">
        <w:rPr>
          <w:rFonts w:asciiTheme="majorHAnsi" w:hAnsiTheme="majorHAnsi" w:cstheme="majorHAnsi"/>
          <w:sz w:val="16"/>
          <w:szCs w:val="16"/>
          <w:lang w:val="en-US"/>
        </w:rPr>
        <w:t>.</w:t>
      </w:r>
      <w:r w:rsidR="001853FC" w:rsidRPr="00B81399">
        <w:rPr>
          <w:rFonts w:asciiTheme="majorHAnsi" w:hAnsiTheme="majorHAnsi" w:cstheme="majorHAnsi"/>
          <w:sz w:val="16"/>
          <w:szCs w:val="16"/>
          <w:lang w:val="en-US"/>
        </w:rPr>
        <w:t xml:space="preserve"> We further refer to the</w:t>
      </w:r>
      <w:r w:rsidRPr="00B81399">
        <w:rPr>
          <w:rFonts w:asciiTheme="majorHAnsi" w:hAnsiTheme="majorHAnsi" w:cstheme="majorHAnsi"/>
          <w:sz w:val="16"/>
          <w:szCs w:val="16"/>
          <w:lang w:val="en-US"/>
        </w:rPr>
        <w:t xml:space="preserve"> EU Timber Regulation; EU Conflict Minerals Regulation; EU REACH; </w:t>
      </w:r>
      <w:r w:rsidR="00FA4ACA" w:rsidRPr="00B81399">
        <w:rPr>
          <w:rFonts w:asciiTheme="majorHAnsi" w:hAnsiTheme="majorHAnsi" w:cstheme="majorHAnsi"/>
          <w:sz w:val="16"/>
          <w:szCs w:val="16"/>
          <w:lang w:val="en-US"/>
        </w:rPr>
        <w:t xml:space="preserve">the </w:t>
      </w:r>
      <w:r w:rsidRPr="00B81399">
        <w:rPr>
          <w:rFonts w:asciiTheme="majorHAnsi" w:hAnsiTheme="majorHAnsi" w:cstheme="majorHAnsi"/>
          <w:sz w:val="16"/>
          <w:szCs w:val="16"/>
          <w:lang w:val="en-US"/>
        </w:rPr>
        <w:t>OECD due diligence guidelines for operating in fragile states</w:t>
      </w:r>
      <w:r w:rsidR="00FA4ACA" w:rsidRPr="00B81399">
        <w:rPr>
          <w:rFonts w:asciiTheme="majorHAnsi" w:hAnsiTheme="majorHAnsi" w:cstheme="majorHAnsi"/>
          <w:sz w:val="16"/>
          <w:szCs w:val="16"/>
          <w:lang w:val="en-US"/>
        </w:rPr>
        <w:t>;</w:t>
      </w:r>
      <w:r w:rsidRPr="00B81399">
        <w:rPr>
          <w:rFonts w:asciiTheme="majorHAnsi" w:hAnsiTheme="majorHAnsi" w:cstheme="majorHAnsi"/>
          <w:sz w:val="16"/>
          <w:szCs w:val="16"/>
          <w:lang w:val="en-US"/>
        </w:rPr>
        <w:t xml:space="preserve"> and </w:t>
      </w:r>
      <w:r w:rsidR="00FA4ACA" w:rsidRPr="00B81399">
        <w:rPr>
          <w:rFonts w:asciiTheme="majorHAnsi" w:hAnsiTheme="majorHAnsi" w:cstheme="majorHAnsi"/>
          <w:sz w:val="16"/>
          <w:szCs w:val="16"/>
          <w:lang w:val="en-US"/>
        </w:rPr>
        <w:t>the OECD G</w:t>
      </w:r>
      <w:r w:rsidRPr="00B81399">
        <w:rPr>
          <w:rFonts w:asciiTheme="majorHAnsi" w:hAnsiTheme="majorHAnsi" w:cstheme="majorHAnsi"/>
          <w:sz w:val="16"/>
          <w:szCs w:val="16"/>
          <w:lang w:val="en-US"/>
        </w:rPr>
        <w:t>uidelines applicable for the textile and footwear industry.</w:t>
      </w:r>
      <w:r w:rsidRPr="00B81399">
        <w:rPr>
          <w:rFonts w:asciiTheme="majorHAnsi" w:hAnsiTheme="majorHAnsi" w:cstheme="majorHAnsi"/>
          <w:sz w:val="16"/>
          <w:szCs w:val="16"/>
        </w:rPr>
        <w:t xml:space="preserve"> See further: </w:t>
      </w:r>
      <w:r w:rsidRPr="00B81399">
        <w:rPr>
          <w:rFonts w:asciiTheme="majorHAnsi" w:hAnsiTheme="majorHAnsi" w:cstheme="majorHAnsi"/>
          <w:sz w:val="16"/>
          <w:szCs w:val="16"/>
          <w:lang w:val="en-US"/>
        </w:rPr>
        <w:t>http://trade.ec.europa.eu/doclib/docs/2017/march/tradoc_155423.pdf.</w:t>
      </w:r>
    </w:p>
  </w:footnote>
  <w:footnote w:id="15">
    <w:p w:rsidR="00FA4ACA" w:rsidRPr="00B81399" w:rsidRDefault="00F44CCB" w:rsidP="00DC6FA6">
      <w:pPr>
        <w:pStyle w:val="FootnoteText"/>
        <w:jc w:val="both"/>
        <w:rPr>
          <w:rFonts w:asciiTheme="majorHAnsi" w:hAnsiTheme="majorHAnsi" w:cstheme="majorHAnsi"/>
          <w:sz w:val="16"/>
          <w:szCs w:val="16"/>
          <w:lang w:val="en-US"/>
        </w:rPr>
      </w:pPr>
      <w:bookmarkStart w:id="1" w:name="_GoBack"/>
      <w:bookmarkEnd w:id="1"/>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w:t>
      </w:r>
      <w:r w:rsidRPr="00B81399">
        <w:rPr>
          <w:rFonts w:asciiTheme="majorHAnsi" w:hAnsiTheme="majorHAnsi" w:cstheme="majorHAnsi"/>
          <w:sz w:val="16"/>
          <w:szCs w:val="16"/>
          <w:lang w:val="en-US"/>
        </w:rPr>
        <w:t xml:space="preserve">For more information on the CSR and investment law, see: Y. Levashova, The Accountability and Corporate Social Responsibility of Multinational Corporations for Transgressions in Host States through International Investment Law, </w:t>
      </w:r>
      <w:r w:rsidRPr="00B81399">
        <w:rPr>
          <w:rFonts w:asciiTheme="majorHAnsi" w:hAnsiTheme="majorHAnsi" w:cstheme="majorHAnsi"/>
          <w:i/>
          <w:sz w:val="16"/>
          <w:szCs w:val="16"/>
          <w:lang w:val="en-US"/>
        </w:rPr>
        <w:t>Utrecht Law Review</w:t>
      </w:r>
      <w:r w:rsidRPr="00B81399">
        <w:rPr>
          <w:rFonts w:asciiTheme="majorHAnsi" w:hAnsiTheme="majorHAnsi" w:cstheme="majorHAnsi"/>
          <w:sz w:val="16"/>
          <w:szCs w:val="16"/>
          <w:lang w:val="en-US"/>
        </w:rPr>
        <w:t>, Volume 14, Issue 2, 2018;</w:t>
      </w:r>
    </w:p>
    <w:p w:rsidR="00F44CCB" w:rsidRPr="00B81399" w:rsidRDefault="00F44CCB" w:rsidP="00DC6FA6">
      <w:pPr>
        <w:pStyle w:val="FootnoteText"/>
        <w:jc w:val="both"/>
        <w:rPr>
          <w:rFonts w:asciiTheme="majorHAnsi" w:hAnsiTheme="majorHAnsi" w:cstheme="majorHAnsi"/>
          <w:sz w:val="16"/>
          <w:szCs w:val="16"/>
          <w:lang w:val="en-US"/>
        </w:rPr>
      </w:pPr>
      <w:r w:rsidRPr="00B81399">
        <w:rPr>
          <w:rFonts w:asciiTheme="majorHAnsi" w:hAnsiTheme="majorHAnsi" w:cstheme="majorHAnsi"/>
          <w:sz w:val="16"/>
          <w:szCs w:val="16"/>
          <w:lang w:val="en-US"/>
        </w:rPr>
        <w:t xml:space="preserve"> &lt;https://papers.ssrn.com/sol3/papers.cfm?abstract_id=3204456&gt;.</w:t>
      </w:r>
    </w:p>
  </w:footnote>
  <w:footnote w:id="16">
    <w:p w:rsidR="00FA4ACA" w:rsidRPr="00B81399" w:rsidRDefault="00F44CCB" w:rsidP="00DC6FA6">
      <w:pPr>
        <w:pStyle w:val="FootnoteText"/>
        <w:jc w:val="both"/>
        <w:rPr>
          <w:rFonts w:asciiTheme="majorHAnsi" w:hAnsiTheme="majorHAnsi" w:cstheme="majorHAnsi"/>
          <w:sz w:val="16"/>
          <w:szCs w:val="16"/>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Morocco-Nigeria BIT (signed 3 December 2016), Article 24;</w:t>
      </w:r>
    </w:p>
    <w:p w:rsidR="00F44CCB" w:rsidRPr="00B81399" w:rsidRDefault="00F44CCB" w:rsidP="00DC6FA6">
      <w:pPr>
        <w:pStyle w:val="FootnoteText"/>
        <w:jc w:val="both"/>
        <w:rPr>
          <w:rFonts w:asciiTheme="majorHAnsi" w:hAnsiTheme="majorHAnsi" w:cstheme="majorHAnsi"/>
          <w:sz w:val="16"/>
          <w:szCs w:val="16"/>
        </w:rPr>
      </w:pPr>
      <w:r w:rsidRPr="00B81399">
        <w:rPr>
          <w:rFonts w:asciiTheme="majorHAnsi" w:hAnsiTheme="majorHAnsi" w:cstheme="majorHAnsi"/>
          <w:sz w:val="16"/>
          <w:szCs w:val="16"/>
        </w:rPr>
        <w:t xml:space="preserve"> &lt;</w:t>
      </w:r>
      <w:hyperlink r:id="rId7" w:history="1">
        <w:r w:rsidRPr="00B81399">
          <w:rPr>
            <w:rFonts w:asciiTheme="majorHAnsi" w:hAnsiTheme="majorHAnsi" w:cstheme="majorHAnsi"/>
            <w:sz w:val="16"/>
            <w:szCs w:val="16"/>
          </w:rPr>
          <w:t>http://investmentpolicyhub.unctad.org/IIA/treaty/3711</w:t>
        </w:r>
      </w:hyperlink>
      <w:r w:rsidRPr="00B81399">
        <w:rPr>
          <w:rFonts w:asciiTheme="majorHAnsi" w:hAnsiTheme="majorHAnsi" w:cstheme="majorHAnsi"/>
          <w:sz w:val="16"/>
          <w:szCs w:val="16"/>
        </w:rPr>
        <w:t>&gt;.</w:t>
      </w:r>
    </w:p>
  </w:footnote>
  <w:footnote w:id="17">
    <w:p w:rsidR="000B3732" w:rsidRPr="00B81399" w:rsidRDefault="00F44CCB" w:rsidP="00DC6FA6">
      <w:pPr>
        <w:pStyle w:val="FootnoteText"/>
        <w:jc w:val="both"/>
        <w:rPr>
          <w:rFonts w:asciiTheme="majorHAnsi" w:hAnsiTheme="majorHAnsi" w:cstheme="majorHAnsi"/>
          <w:sz w:val="16"/>
          <w:szCs w:val="16"/>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United Nations Economic Commission for Africa, ‘Conference of African Ministers of Finance, Planning and Economic Development’, UN Doc. E/ECA/CM/50/1 AU/STC/FMEPI/MIN/1(III) (2017), Articles 19-24;</w:t>
      </w:r>
    </w:p>
    <w:p w:rsidR="00F44CCB" w:rsidRPr="00B81399" w:rsidRDefault="00F44CCB" w:rsidP="00DC6FA6">
      <w:pPr>
        <w:pStyle w:val="FootnoteText"/>
        <w:jc w:val="both"/>
        <w:rPr>
          <w:rFonts w:asciiTheme="majorHAnsi" w:hAnsiTheme="majorHAnsi" w:cstheme="majorHAnsi"/>
          <w:sz w:val="16"/>
          <w:szCs w:val="16"/>
        </w:rPr>
      </w:pPr>
      <w:r w:rsidRPr="00B81399">
        <w:rPr>
          <w:rFonts w:asciiTheme="majorHAnsi" w:hAnsiTheme="majorHAnsi" w:cstheme="majorHAnsi"/>
          <w:sz w:val="16"/>
          <w:szCs w:val="16"/>
        </w:rPr>
        <w:t xml:space="preserve"> &lt;</w:t>
      </w:r>
      <w:r w:rsidR="00FA4ACA" w:rsidRPr="00B81399">
        <w:rPr>
          <w:rFonts w:asciiTheme="majorHAnsi" w:hAnsiTheme="majorHAnsi" w:cstheme="majorHAnsi"/>
          <w:sz w:val="16"/>
          <w:szCs w:val="16"/>
        </w:rPr>
        <w:t>https://au.int/sites/default/files/documents/32844-doc-draft_pan-african_investment_code_december_2016_en.pdf</w:t>
      </w:r>
      <w:r w:rsidRPr="00B81399">
        <w:rPr>
          <w:rFonts w:asciiTheme="majorHAnsi" w:hAnsiTheme="majorHAnsi" w:cstheme="majorHAnsi"/>
          <w:sz w:val="16"/>
          <w:szCs w:val="16"/>
        </w:rPr>
        <w:t>&gt;</w:t>
      </w:r>
    </w:p>
  </w:footnote>
  <w:footnote w:id="18">
    <w:p w:rsidR="000B3732" w:rsidRPr="00B81399" w:rsidRDefault="00F44CCB" w:rsidP="00DC6FA6">
      <w:pPr>
        <w:pStyle w:val="FootnoteText"/>
        <w:jc w:val="both"/>
        <w:rPr>
          <w:rFonts w:asciiTheme="majorHAnsi" w:hAnsiTheme="majorHAnsi" w:cstheme="majorHAnsi"/>
          <w:sz w:val="16"/>
          <w:szCs w:val="16"/>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South African Development Community (SADC) Model BIT Template of 2012 with Commentaries, Articles 13-15;</w:t>
      </w:r>
    </w:p>
    <w:p w:rsidR="00F44CCB" w:rsidRPr="00B81399" w:rsidRDefault="00F44CCB" w:rsidP="00DC6FA6">
      <w:pPr>
        <w:pStyle w:val="FootnoteText"/>
        <w:jc w:val="both"/>
        <w:rPr>
          <w:rFonts w:asciiTheme="majorHAnsi" w:hAnsiTheme="majorHAnsi" w:cstheme="majorHAnsi"/>
          <w:sz w:val="16"/>
          <w:szCs w:val="16"/>
        </w:rPr>
      </w:pPr>
      <w:r w:rsidRPr="00B81399">
        <w:rPr>
          <w:rFonts w:asciiTheme="majorHAnsi" w:hAnsiTheme="majorHAnsi" w:cstheme="majorHAnsi"/>
          <w:sz w:val="16"/>
          <w:szCs w:val="16"/>
        </w:rPr>
        <w:t xml:space="preserve"> &lt;</w:t>
      </w:r>
      <w:hyperlink r:id="rId8" w:history="1">
        <w:r w:rsidRPr="00B81399">
          <w:rPr>
            <w:rFonts w:asciiTheme="majorHAnsi" w:hAnsiTheme="majorHAnsi" w:cstheme="majorHAnsi"/>
            <w:sz w:val="16"/>
            <w:szCs w:val="16"/>
          </w:rPr>
          <w:t>http://investmentpolicyhub.unctad.org/Download/TreatyFile/2875</w:t>
        </w:r>
      </w:hyperlink>
      <w:r w:rsidRPr="00B81399">
        <w:rPr>
          <w:rFonts w:asciiTheme="majorHAnsi" w:hAnsiTheme="majorHAnsi" w:cstheme="majorHAnsi"/>
          <w:sz w:val="16"/>
          <w:szCs w:val="16"/>
        </w:rPr>
        <w:t xml:space="preserve">&gt;. </w:t>
      </w:r>
    </w:p>
  </w:footnote>
  <w:footnote w:id="19">
    <w:p w:rsidR="00F44CCB" w:rsidRPr="00B81399" w:rsidRDefault="00F44CCB" w:rsidP="00DC6FA6">
      <w:pPr>
        <w:pStyle w:val="FootnoteText"/>
        <w:jc w:val="both"/>
        <w:rPr>
          <w:rFonts w:asciiTheme="majorHAnsi" w:hAnsiTheme="majorHAnsi" w:cstheme="majorHAnsi"/>
          <w:sz w:val="16"/>
          <w:szCs w:val="16"/>
          <w:lang w:val="en-US"/>
        </w:rPr>
      </w:pPr>
      <w:r w:rsidRPr="00B81399">
        <w:rPr>
          <w:rStyle w:val="FootnoteReference"/>
          <w:rFonts w:asciiTheme="majorHAnsi" w:hAnsiTheme="majorHAnsi" w:cstheme="majorHAnsi"/>
          <w:szCs w:val="16"/>
        </w:rPr>
        <w:footnoteRef/>
      </w:r>
      <w:r w:rsidRPr="00B81399">
        <w:rPr>
          <w:rFonts w:asciiTheme="majorHAnsi" w:hAnsiTheme="majorHAnsi" w:cstheme="majorHAnsi"/>
          <w:sz w:val="16"/>
          <w:szCs w:val="16"/>
        </w:rPr>
        <w:t xml:space="preserve"> </w:t>
      </w:r>
      <w:proofErr w:type="spellStart"/>
      <w:r w:rsidRPr="00B81399">
        <w:rPr>
          <w:rFonts w:asciiTheme="majorHAnsi" w:hAnsiTheme="majorHAnsi" w:cstheme="majorHAnsi"/>
          <w:i/>
          <w:sz w:val="16"/>
          <w:szCs w:val="16"/>
        </w:rPr>
        <w:t>Urbaser</w:t>
      </w:r>
      <w:proofErr w:type="spellEnd"/>
      <w:r w:rsidRPr="00B81399">
        <w:rPr>
          <w:rFonts w:asciiTheme="majorHAnsi" w:hAnsiTheme="majorHAnsi" w:cstheme="majorHAnsi"/>
          <w:i/>
          <w:sz w:val="16"/>
          <w:szCs w:val="16"/>
        </w:rPr>
        <w:t xml:space="preserve"> v. Argentina</w:t>
      </w:r>
      <w:r w:rsidRPr="00B81399">
        <w:rPr>
          <w:rFonts w:asciiTheme="majorHAnsi" w:hAnsiTheme="majorHAnsi" w:cstheme="majorHAnsi"/>
          <w:sz w:val="16"/>
          <w:szCs w:val="16"/>
        </w:rPr>
        <w:t xml:space="preserve">, ICSID Case No. ARB/07/26 Award (8 December 2016); </w:t>
      </w:r>
      <w:r w:rsidRPr="00B81399">
        <w:rPr>
          <w:rFonts w:asciiTheme="majorHAnsi" w:hAnsiTheme="majorHAnsi" w:cstheme="majorHAnsi"/>
          <w:i/>
          <w:iCs/>
          <w:sz w:val="16"/>
          <w:szCs w:val="16"/>
          <w:lang w:val="en-US"/>
        </w:rPr>
        <w:t>Burlington Resources Inc. v. Republic of Ecuador</w:t>
      </w:r>
      <w:r w:rsidRPr="00B81399">
        <w:rPr>
          <w:rFonts w:asciiTheme="majorHAnsi" w:hAnsiTheme="majorHAnsi" w:cstheme="majorHAnsi"/>
          <w:sz w:val="16"/>
          <w:szCs w:val="16"/>
          <w:lang w:val="en-US"/>
        </w:rPr>
        <w:t>, ICSID Case No. ARB/08/5 (7 February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8A"/>
    <w:rsid w:val="00013F53"/>
    <w:rsid w:val="00023100"/>
    <w:rsid w:val="00023105"/>
    <w:rsid w:val="000336FA"/>
    <w:rsid w:val="00076918"/>
    <w:rsid w:val="000A6046"/>
    <w:rsid w:val="000B3732"/>
    <w:rsid w:val="000D1E52"/>
    <w:rsid w:val="000D5520"/>
    <w:rsid w:val="000E3B63"/>
    <w:rsid w:val="000F20F1"/>
    <w:rsid w:val="000F462A"/>
    <w:rsid w:val="0010238A"/>
    <w:rsid w:val="00157746"/>
    <w:rsid w:val="001721DA"/>
    <w:rsid w:val="00180D63"/>
    <w:rsid w:val="001853FC"/>
    <w:rsid w:val="001863BF"/>
    <w:rsid w:val="00190FD9"/>
    <w:rsid w:val="001D4A0A"/>
    <w:rsid w:val="001E1872"/>
    <w:rsid w:val="001F1596"/>
    <w:rsid w:val="002013B1"/>
    <w:rsid w:val="00225F11"/>
    <w:rsid w:val="002302D0"/>
    <w:rsid w:val="00232E97"/>
    <w:rsid w:val="00240AFA"/>
    <w:rsid w:val="002429D4"/>
    <w:rsid w:val="00253914"/>
    <w:rsid w:val="002550D7"/>
    <w:rsid w:val="00273476"/>
    <w:rsid w:val="002A270D"/>
    <w:rsid w:val="002B110F"/>
    <w:rsid w:val="002D3D67"/>
    <w:rsid w:val="002D5346"/>
    <w:rsid w:val="002F1713"/>
    <w:rsid w:val="00334C55"/>
    <w:rsid w:val="0034637B"/>
    <w:rsid w:val="003740FA"/>
    <w:rsid w:val="00375492"/>
    <w:rsid w:val="00385E8B"/>
    <w:rsid w:val="003B0E60"/>
    <w:rsid w:val="003B45E3"/>
    <w:rsid w:val="003D0FEC"/>
    <w:rsid w:val="003D4AAF"/>
    <w:rsid w:val="003F193F"/>
    <w:rsid w:val="003F21EF"/>
    <w:rsid w:val="003F59FE"/>
    <w:rsid w:val="003F69F1"/>
    <w:rsid w:val="0041573E"/>
    <w:rsid w:val="0041617F"/>
    <w:rsid w:val="00440CA9"/>
    <w:rsid w:val="00453412"/>
    <w:rsid w:val="0047084E"/>
    <w:rsid w:val="00473F87"/>
    <w:rsid w:val="004A7B11"/>
    <w:rsid w:val="004D1B72"/>
    <w:rsid w:val="004D244A"/>
    <w:rsid w:val="004E2744"/>
    <w:rsid w:val="004E4A5F"/>
    <w:rsid w:val="004F4154"/>
    <w:rsid w:val="004F6A9D"/>
    <w:rsid w:val="00537D72"/>
    <w:rsid w:val="00563E95"/>
    <w:rsid w:val="00570CB7"/>
    <w:rsid w:val="005808D7"/>
    <w:rsid w:val="0058232F"/>
    <w:rsid w:val="00586BFE"/>
    <w:rsid w:val="00586D54"/>
    <w:rsid w:val="00587751"/>
    <w:rsid w:val="005C2E89"/>
    <w:rsid w:val="005E3ABB"/>
    <w:rsid w:val="005F45FC"/>
    <w:rsid w:val="006051BC"/>
    <w:rsid w:val="0061309B"/>
    <w:rsid w:val="006214C7"/>
    <w:rsid w:val="00622567"/>
    <w:rsid w:val="00623EC2"/>
    <w:rsid w:val="00630161"/>
    <w:rsid w:val="00646B2F"/>
    <w:rsid w:val="0064716E"/>
    <w:rsid w:val="00673896"/>
    <w:rsid w:val="006746E2"/>
    <w:rsid w:val="006A0B0B"/>
    <w:rsid w:val="006A4EFF"/>
    <w:rsid w:val="006D05F2"/>
    <w:rsid w:val="006D3E59"/>
    <w:rsid w:val="00706013"/>
    <w:rsid w:val="00722F2F"/>
    <w:rsid w:val="00734A34"/>
    <w:rsid w:val="00743A68"/>
    <w:rsid w:val="00744E51"/>
    <w:rsid w:val="00753CC7"/>
    <w:rsid w:val="00760308"/>
    <w:rsid w:val="007639F7"/>
    <w:rsid w:val="007750CC"/>
    <w:rsid w:val="00775634"/>
    <w:rsid w:val="00775F33"/>
    <w:rsid w:val="00785BBE"/>
    <w:rsid w:val="007978E7"/>
    <w:rsid w:val="007A4731"/>
    <w:rsid w:val="007B4EAB"/>
    <w:rsid w:val="007E78FD"/>
    <w:rsid w:val="007F1884"/>
    <w:rsid w:val="008015FC"/>
    <w:rsid w:val="00804247"/>
    <w:rsid w:val="00810200"/>
    <w:rsid w:val="00812A0B"/>
    <w:rsid w:val="0081456C"/>
    <w:rsid w:val="008148DF"/>
    <w:rsid w:val="00815135"/>
    <w:rsid w:val="008174C8"/>
    <w:rsid w:val="00825E3A"/>
    <w:rsid w:val="00835A24"/>
    <w:rsid w:val="0084497D"/>
    <w:rsid w:val="008516DB"/>
    <w:rsid w:val="00854ACE"/>
    <w:rsid w:val="00866F5A"/>
    <w:rsid w:val="008706F7"/>
    <w:rsid w:val="008710A5"/>
    <w:rsid w:val="008B3BC7"/>
    <w:rsid w:val="008C05F8"/>
    <w:rsid w:val="008F17B4"/>
    <w:rsid w:val="008F6433"/>
    <w:rsid w:val="0090757C"/>
    <w:rsid w:val="009105EB"/>
    <w:rsid w:val="0091348E"/>
    <w:rsid w:val="00914D65"/>
    <w:rsid w:val="00941DC8"/>
    <w:rsid w:val="00942D09"/>
    <w:rsid w:val="00982345"/>
    <w:rsid w:val="00991F60"/>
    <w:rsid w:val="00996388"/>
    <w:rsid w:val="00997A05"/>
    <w:rsid w:val="009A5478"/>
    <w:rsid w:val="009A5783"/>
    <w:rsid w:val="009A7080"/>
    <w:rsid w:val="009C6EB6"/>
    <w:rsid w:val="009D3AD1"/>
    <w:rsid w:val="009F19B3"/>
    <w:rsid w:val="00A05F94"/>
    <w:rsid w:val="00A07379"/>
    <w:rsid w:val="00A07EC0"/>
    <w:rsid w:val="00A12507"/>
    <w:rsid w:val="00A44BF7"/>
    <w:rsid w:val="00A47BA6"/>
    <w:rsid w:val="00A5282E"/>
    <w:rsid w:val="00A5385C"/>
    <w:rsid w:val="00A55E96"/>
    <w:rsid w:val="00A63428"/>
    <w:rsid w:val="00A84F48"/>
    <w:rsid w:val="00A92EF2"/>
    <w:rsid w:val="00AB5777"/>
    <w:rsid w:val="00AC3849"/>
    <w:rsid w:val="00AD2792"/>
    <w:rsid w:val="00AD48F8"/>
    <w:rsid w:val="00AE6050"/>
    <w:rsid w:val="00AF0508"/>
    <w:rsid w:val="00B01921"/>
    <w:rsid w:val="00B026A7"/>
    <w:rsid w:val="00B034CE"/>
    <w:rsid w:val="00B147E0"/>
    <w:rsid w:val="00B230D5"/>
    <w:rsid w:val="00B2712D"/>
    <w:rsid w:val="00B30F68"/>
    <w:rsid w:val="00B32775"/>
    <w:rsid w:val="00B32AD0"/>
    <w:rsid w:val="00B47209"/>
    <w:rsid w:val="00B602EF"/>
    <w:rsid w:val="00B63849"/>
    <w:rsid w:val="00B667F3"/>
    <w:rsid w:val="00B72670"/>
    <w:rsid w:val="00B75F71"/>
    <w:rsid w:val="00B81399"/>
    <w:rsid w:val="00B835D6"/>
    <w:rsid w:val="00B8476E"/>
    <w:rsid w:val="00B86341"/>
    <w:rsid w:val="00B91C25"/>
    <w:rsid w:val="00BA33F7"/>
    <w:rsid w:val="00BC6418"/>
    <w:rsid w:val="00BF5112"/>
    <w:rsid w:val="00C04579"/>
    <w:rsid w:val="00C1700C"/>
    <w:rsid w:val="00C25790"/>
    <w:rsid w:val="00C677FB"/>
    <w:rsid w:val="00C77E73"/>
    <w:rsid w:val="00CB7FC4"/>
    <w:rsid w:val="00CC6701"/>
    <w:rsid w:val="00CE6394"/>
    <w:rsid w:val="00CF293B"/>
    <w:rsid w:val="00CF2F9D"/>
    <w:rsid w:val="00CF7651"/>
    <w:rsid w:val="00D04C28"/>
    <w:rsid w:val="00D13240"/>
    <w:rsid w:val="00D175FA"/>
    <w:rsid w:val="00D241A6"/>
    <w:rsid w:val="00D615AC"/>
    <w:rsid w:val="00DB5BF3"/>
    <w:rsid w:val="00DC15FB"/>
    <w:rsid w:val="00DC1F2D"/>
    <w:rsid w:val="00DC6FA6"/>
    <w:rsid w:val="00DD0B49"/>
    <w:rsid w:val="00DD1F91"/>
    <w:rsid w:val="00DF435A"/>
    <w:rsid w:val="00E03E5D"/>
    <w:rsid w:val="00E202BF"/>
    <w:rsid w:val="00E25B94"/>
    <w:rsid w:val="00E33273"/>
    <w:rsid w:val="00E37997"/>
    <w:rsid w:val="00E505F6"/>
    <w:rsid w:val="00E82DDE"/>
    <w:rsid w:val="00EA2934"/>
    <w:rsid w:val="00EC6C34"/>
    <w:rsid w:val="00EE733F"/>
    <w:rsid w:val="00F12180"/>
    <w:rsid w:val="00F150CC"/>
    <w:rsid w:val="00F36BCE"/>
    <w:rsid w:val="00F40BB8"/>
    <w:rsid w:val="00F44CCB"/>
    <w:rsid w:val="00F5277B"/>
    <w:rsid w:val="00F73181"/>
    <w:rsid w:val="00F83F15"/>
    <w:rsid w:val="00F86FB5"/>
    <w:rsid w:val="00FA0B73"/>
    <w:rsid w:val="00FA4ACA"/>
    <w:rsid w:val="00FB5716"/>
    <w:rsid w:val="00FC7B25"/>
    <w:rsid w:val="00FE2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1F15CC"/>
  <w14:defaultImageDpi w14:val="300"/>
  <w15:docId w15:val="{58D0185F-59B5-4F0F-B69B-838FBEC6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4E27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F21E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 Char,Char Char Char Char Char Char Char,Char Char Char Char Char Char,Char Char Char Char Char Char Char Char Char Char,Char Char Char Char Char Char Char Char Char Char  Char,Char Char Char,fn,Footnote Text Char Char"/>
    <w:basedOn w:val="Normal"/>
    <w:link w:val="FootnoteTextChar"/>
    <w:uiPriority w:val="99"/>
    <w:unhideWhenUsed/>
    <w:rsid w:val="003D0FEC"/>
    <w:rPr>
      <w:rFonts w:eastAsiaTheme="minorHAnsi"/>
      <w:sz w:val="20"/>
      <w:szCs w:val="20"/>
    </w:rPr>
  </w:style>
  <w:style w:type="character" w:customStyle="1" w:styleId="FootnoteTextChar">
    <w:name w:val="Footnote Text Char"/>
    <w:aliases w:val="Char Char Char Char Char,Char Char Char Char Char Char Char Char,Char Char Char Char Char Char Char1,Char Char Char Char Char Char Char Char Char Char Char,Char Char Char Char Char Char Char Char Char Char  Char Char,fn Char"/>
    <w:basedOn w:val="DefaultParagraphFont"/>
    <w:link w:val="FootnoteText"/>
    <w:uiPriority w:val="99"/>
    <w:rsid w:val="003D0FEC"/>
    <w:rPr>
      <w:rFonts w:eastAsiaTheme="minorHAnsi"/>
      <w:sz w:val="20"/>
      <w:szCs w:val="20"/>
      <w:lang w:val="en-GB"/>
    </w:rPr>
  </w:style>
  <w:style w:type="character" w:styleId="FootnoteReference">
    <w:name w:val="footnote reference"/>
    <w:aliases w:val="Ref,de nota al pie,Footnotes refss,註腳內容,de nota al pie + (Asian) MS Mincho,11 pt,Referencia nota al pie,Fago Fußnotenzeichen,Footnote Ref,16 Point,Superscript 6 Point,fr, BVI fnr,BVI fnr"/>
    <w:basedOn w:val="DefaultParagraphFont"/>
    <w:uiPriority w:val="99"/>
    <w:rsid w:val="003D0FEC"/>
    <w:rPr>
      <w:rFonts w:ascii="Palatino Linotype" w:eastAsia="SimSun" w:hAnsi="Palatino Linotype" w:cs="Times New Roman"/>
      <w:sz w:val="16"/>
      <w:szCs w:val="20"/>
      <w:vertAlign w:val="superscript"/>
      <w:lang w:val="en-GB"/>
    </w:rPr>
  </w:style>
  <w:style w:type="character" w:styleId="Hyperlink">
    <w:name w:val="Hyperlink"/>
    <w:uiPriority w:val="99"/>
    <w:rsid w:val="003D0FEC"/>
    <w:rPr>
      <w:color w:val="0000FF"/>
      <w:u w:val="single"/>
    </w:rPr>
  </w:style>
  <w:style w:type="character" w:styleId="Emphasis">
    <w:name w:val="Emphasis"/>
    <w:basedOn w:val="DefaultParagraphFont"/>
    <w:uiPriority w:val="20"/>
    <w:qFormat/>
    <w:rsid w:val="00570CB7"/>
    <w:rPr>
      <w:i/>
      <w:iCs/>
    </w:rPr>
  </w:style>
  <w:style w:type="paragraph" w:styleId="Header">
    <w:name w:val="header"/>
    <w:basedOn w:val="Normal"/>
    <w:link w:val="HeaderChar"/>
    <w:uiPriority w:val="99"/>
    <w:unhideWhenUsed/>
    <w:rsid w:val="008706F7"/>
    <w:pPr>
      <w:tabs>
        <w:tab w:val="center" w:pos="4680"/>
        <w:tab w:val="right" w:pos="9360"/>
      </w:tabs>
    </w:pPr>
  </w:style>
  <w:style w:type="character" w:customStyle="1" w:styleId="HeaderChar">
    <w:name w:val="Header Char"/>
    <w:basedOn w:val="DefaultParagraphFont"/>
    <w:link w:val="Header"/>
    <w:uiPriority w:val="99"/>
    <w:rsid w:val="008706F7"/>
    <w:rPr>
      <w:lang w:val="en-GB"/>
    </w:rPr>
  </w:style>
  <w:style w:type="paragraph" w:styleId="Footer">
    <w:name w:val="footer"/>
    <w:basedOn w:val="Normal"/>
    <w:link w:val="FooterChar"/>
    <w:uiPriority w:val="99"/>
    <w:unhideWhenUsed/>
    <w:rsid w:val="008706F7"/>
    <w:pPr>
      <w:tabs>
        <w:tab w:val="center" w:pos="4680"/>
        <w:tab w:val="right" w:pos="9360"/>
      </w:tabs>
    </w:pPr>
  </w:style>
  <w:style w:type="character" w:customStyle="1" w:styleId="FooterChar">
    <w:name w:val="Footer Char"/>
    <w:basedOn w:val="DefaultParagraphFont"/>
    <w:link w:val="Footer"/>
    <w:uiPriority w:val="99"/>
    <w:rsid w:val="008706F7"/>
    <w:rPr>
      <w:lang w:val="en-GB"/>
    </w:rPr>
  </w:style>
  <w:style w:type="character" w:customStyle="1" w:styleId="Heading3Char">
    <w:name w:val="Heading 3 Char"/>
    <w:basedOn w:val="DefaultParagraphFont"/>
    <w:link w:val="Heading3"/>
    <w:uiPriority w:val="9"/>
    <w:rsid w:val="003F21EF"/>
    <w:rPr>
      <w:rFonts w:asciiTheme="majorHAnsi" w:eastAsiaTheme="majorEastAsia" w:hAnsiTheme="majorHAnsi" w:cstheme="majorBidi"/>
      <w:color w:val="243F60" w:themeColor="accent1" w:themeShade="7F"/>
      <w:lang w:val="en-GB"/>
    </w:rPr>
  </w:style>
  <w:style w:type="paragraph" w:styleId="NormalWeb">
    <w:name w:val="Normal (Web)"/>
    <w:basedOn w:val="Normal"/>
    <w:uiPriority w:val="99"/>
    <w:unhideWhenUsed/>
    <w:rsid w:val="00DF435A"/>
    <w:pPr>
      <w:spacing w:before="100" w:beforeAutospacing="1" w:after="100" w:afterAutospacing="1"/>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4E2744"/>
    <w:rPr>
      <w:rFonts w:asciiTheme="majorHAnsi" w:eastAsiaTheme="majorEastAsia" w:hAnsiTheme="majorHAnsi" w:cstheme="majorBidi"/>
      <w:color w:val="365F91" w:themeColor="accent1" w:themeShade="BF"/>
      <w:sz w:val="32"/>
      <w:szCs w:val="32"/>
      <w:lang w:val="en-GB"/>
    </w:rPr>
  </w:style>
  <w:style w:type="paragraph" w:styleId="BalloonText">
    <w:name w:val="Balloon Text"/>
    <w:basedOn w:val="Normal"/>
    <w:link w:val="BalloonTextChar"/>
    <w:uiPriority w:val="99"/>
    <w:semiHidden/>
    <w:unhideWhenUsed/>
    <w:rsid w:val="00F527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277B"/>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246">
      <w:bodyDiv w:val="1"/>
      <w:marLeft w:val="0"/>
      <w:marRight w:val="0"/>
      <w:marTop w:val="0"/>
      <w:marBottom w:val="0"/>
      <w:divBdr>
        <w:top w:val="none" w:sz="0" w:space="0" w:color="auto"/>
        <w:left w:val="none" w:sz="0" w:space="0" w:color="auto"/>
        <w:bottom w:val="none" w:sz="0" w:space="0" w:color="auto"/>
        <w:right w:val="none" w:sz="0" w:space="0" w:color="auto"/>
      </w:divBdr>
      <w:divsChild>
        <w:div w:id="1089733532">
          <w:marLeft w:val="1425"/>
          <w:marRight w:val="0"/>
          <w:marTop w:val="0"/>
          <w:marBottom w:val="75"/>
          <w:divBdr>
            <w:top w:val="none" w:sz="0" w:space="0" w:color="auto"/>
            <w:left w:val="none" w:sz="0" w:space="0" w:color="auto"/>
            <w:bottom w:val="none" w:sz="0" w:space="0" w:color="auto"/>
            <w:right w:val="none" w:sz="0" w:space="0" w:color="auto"/>
          </w:divBdr>
          <w:divsChild>
            <w:div w:id="856306626">
              <w:marLeft w:val="0"/>
              <w:marRight w:val="0"/>
              <w:marTop w:val="0"/>
              <w:marBottom w:val="0"/>
              <w:divBdr>
                <w:top w:val="none" w:sz="0" w:space="0" w:color="auto"/>
                <w:left w:val="none" w:sz="0" w:space="0" w:color="auto"/>
                <w:bottom w:val="none" w:sz="0" w:space="0" w:color="auto"/>
                <w:right w:val="none" w:sz="0" w:space="0" w:color="auto"/>
              </w:divBdr>
            </w:div>
          </w:divsChild>
        </w:div>
        <w:div w:id="1739864473">
          <w:marLeft w:val="0"/>
          <w:marRight w:val="0"/>
          <w:marTop w:val="0"/>
          <w:marBottom w:val="0"/>
          <w:divBdr>
            <w:top w:val="none" w:sz="0" w:space="0" w:color="auto"/>
            <w:left w:val="none" w:sz="0" w:space="0" w:color="auto"/>
            <w:bottom w:val="none" w:sz="0" w:space="0" w:color="auto"/>
            <w:right w:val="none" w:sz="0" w:space="0" w:color="auto"/>
          </w:divBdr>
        </w:div>
      </w:divsChild>
    </w:div>
    <w:div w:id="98962302">
      <w:bodyDiv w:val="1"/>
      <w:marLeft w:val="0"/>
      <w:marRight w:val="0"/>
      <w:marTop w:val="0"/>
      <w:marBottom w:val="0"/>
      <w:divBdr>
        <w:top w:val="none" w:sz="0" w:space="0" w:color="auto"/>
        <w:left w:val="none" w:sz="0" w:space="0" w:color="auto"/>
        <w:bottom w:val="none" w:sz="0" w:space="0" w:color="auto"/>
        <w:right w:val="none" w:sz="0" w:space="0" w:color="auto"/>
      </w:divBdr>
    </w:div>
    <w:div w:id="139739169">
      <w:bodyDiv w:val="1"/>
      <w:marLeft w:val="0"/>
      <w:marRight w:val="0"/>
      <w:marTop w:val="0"/>
      <w:marBottom w:val="0"/>
      <w:divBdr>
        <w:top w:val="none" w:sz="0" w:space="0" w:color="auto"/>
        <w:left w:val="none" w:sz="0" w:space="0" w:color="auto"/>
        <w:bottom w:val="none" w:sz="0" w:space="0" w:color="auto"/>
        <w:right w:val="none" w:sz="0" w:space="0" w:color="auto"/>
      </w:divBdr>
    </w:div>
    <w:div w:id="892691070">
      <w:bodyDiv w:val="1"/>
      <w:marLeft w:val="0"/>
      <w:marRight w:val="0"/>
      <w:marTop w:val="0"/>
      <w:marBottom w:val="0"/>
      <w:divBdr>
        <w:top w:val="none" w:sz="0" w:space="0" w:color="auto"/>
        <w:left w:val="none" w:sz="0" w:space="0" w:color="auto"/>
        <w:bottom w:val="none" w:sz="0" w:space="0" w:color="auto"/>
        <w:right w:val="none" w:sz="0" w:space="0" w:color="auto"/>
      </w:divBdr>
    </w:div>
    <w:div w:id="1295604368">
      <w:bodyDiv w:val="1"/>
      <w:marLeft w:val="0"/>
      <w:marRight w:val="0"/>
      <w:marTop w:val="0"/>
      <w:marBottom w:val="0"/>
      <w:divBdr>
        <w:top w:val="none" w:sz="0" w:space="0" w:color="auto"/>
        <w:left w:val="none" w:sz="0" w:space="0" w:color="auto"/>
        <w:bottom w:val="none" w:sz="0" w:space="0" w:color="auto"/>
        <w:right w:val="none" w:sz="0" w:space="0" w:color="auto"/>
      </w:divBdr>
    </w:div>
    <w:div w:id="1311443915">
      <w:bodyDiv w:val="1"/>
      <w:marLeft w:val="0"/>
      <w:marRight w:val="0"/>
      <w:marTop w:val="0"/>
      <w:marBottom w:val="0"/>
      <w:divBdr>
        <w:top w:val="none" w:sz="0" w:space="0" w:color="auto"/>
        <w:left w:val="none" w:sz="0" w:space="0" w:color="auto"/>
        <w:bottom w:val="none" w:sz="0" w:space="0" w:color="auto"/>
        <w:right w:val="none" w:sz="0" w:space="0" w:color="auto"/>
      </w:divBdr>
      <w:divsChild>
        <w:div w:id="376853001">
          <w:marLeft w:val="1425"/>
          <w:marRight w:val="0"/>
          <w:marTop w:val="0"/>
          <w:marBottom w:val="75"/>
          <w:divBdr>
            <w:top w:val="none" w:sz="0" w:space="0" w:color="auto"/>
            <w:left w:val="none" w:sz="0" w:space="0" w:color="auto"/>
            <w:bottom w:val="none" w:sz="0" w:space="0" w:color="auto"/>
            <w:right w:val="none" w:sz="0" w:space="0" w:color="auto"/>
          </w:divBdr>
          <w:divsChild>
            <w:div w:id="405418004">
              <w:marLeft w:val="0"/>
              <w:marRight w:val="0"/>
              <w:marTop w:val="0"/>
              <w:marBottom w:val="0"/>
              <w:divBdr>
                <w:top w:val="none" w:sz="0" w:space="0" w:color="auto"/>
                <w:left w:val="none" w:sz="0" w:space="0" w:color="auto"/>
                <w:bottom w:val="none" w:sz="0" w:space="0" w:color="auto"/>
                <w:right w:val="none" w:sz="0" w:space="0" w:color="auto"/>
              </w:divBdr>
            </w:div>
          </w:divsChild>
        </w:div>
        <w:div w:id="406997134">
          <w:marLeft w:val="0"/>
          <w:marRight w:val="0"/>
          <w:marTop w:val="0"/>
          <w:marBottom w:val="0"/>
          <w:divBdr>
            <w:top w:val="none" w:sz="0" w:space="0" w:color="auto"/>
            <w:left w:val="none" w:sz="0" w:space="0" w:color="auto"/>
            <w:bottom w:val="none" w:sz="0" w:space="0" w:color="auto"/>
            <w:right w:val="none" w:sz="0" w:space="0" w:color="auto"/>
          </w:divBdr>
        </w:div>
      </w:divsChild>
    </w:div>
    <w:div w:id="1573660556">
      <w:bodyDiv w:val="1"/>
      <w:marLeft w:val="0"/>
      <w:marRight w:val="0"/>
      <w:marTop w:val="0"/>
      <w:marBottom w:val="0"/>
      <w:divBdr>
        <w:top w:val="none" w:sz="0" w:space="0" w:color="auto"/>
        <w:left w:val="none" w:sz="0" w:space="0" w:color="auto"/>
        <w:bottom w:val="none" w:sz="0" w:space="0" w:color="auto"/>
        <w:right w:val="none" w:sz="0" w:space="0" w:color="auto"/>
      </w:divBdr>
    </w:div>
    <w:div w:id="1678118755">
      <w:bodyDiv w:val="1"/>
      <w:marLeft w:val="0"/>
      <w:marRight w:val="0"/>
      <w:marTop w:val="0"/>
      <w:marBottom w:val="0"/>
      <w:divBdr>
        <w:top w:val="none" w:sz="0" w:space="0" w:color="auto"/>
        <w:left w:val="none" w:sz="0" w:space="0" w:color="auto"/>
        <w:bottom w:val="none" w:sz="0" w:space="0" w:color="auto"/>
        <w:right w:val="none" w:sz="0" w:space="0" w:color="auto"/>
      </w:divBdr>
      <w:divsChild>
        <w:div w:id="278995739">
          <w:marLeft w:val="0"/>
          <w:marRight w:val="0"/>
          <w:marTop w:val="0"/>
          <w:marBottom w:val="240"/>
          <w:divBdr>
            <w:top w:val="none" w:sz="0" w:space="0" w:color="auto"/>
            <w:left w:val="none" w:sz="0" w:space="0" w:color="auto"/>
            <w:bottom w:val="none" w:sz="0" w:space="0" w:color="auto"/>
            <w:right w:val="none" w:sz="0" w:space="0" w:color="auto"/>
          </w:divBdr>
        </w:div>
        <w:div w:id="799307310">
          <w:marLeft w:val="0"/>
          <w:marRight w:val="0"/>
          <w:marTop w:val="0"/>
          <w:marBottom w:val="0"/>
          <w:divBdr>
            <w:top w:val="none" w:sz="0" w:space="0" w:color="auto"/>
            <w:left w:val="none" w:sz="0" w:space="0" w:color="auto"/>
            <w:bottom w:val="none" w:sz="0" w:space="0" w:color="auto"/>
            <w:right w:val="none" w:sz="0" w:space="0" w:color="auto"/>
          </w:divBdr>
          <w:divsChild>
            <w:div w:id="136605211">
              <w:marLeft w:val="0"/>
              <w:marRight w:val="0"/>
              <w:marTop w:val="0"/>
              <w:marBottom w:val="0"/>
              <w:divBdr>
                <w:top w:val="none" w:sz="0" w:space="0" w:color="auto"/>
                <w:left w:val="none" w:sz="0" w:space="0" w:color="auto"/>
                <w:bottom w:val="none" w:sz="0" w:space="0" w:color="auto"/>
                <w:right w:val="none" w:sz="0" w:space="0" w:color="auto"/>
              </w:divBdr>
              <w:divsChild>
                <w:div w:id="1901019100">
                  <w:marLeft w:val="0"/>
                  <w:marRight w:val="0"/>
                  <w:marTop w:val="0"/>
                  <w:marBottom w:val="0"/>
                  <w:divBdr>
                    <w:top w:val="none" w:sz="0" w:space="0" w:color="auto"/>
                    <w:left w:val="none" w:sz="0" w:space="0" w:color="auto"/>
                    <w:bottom w:val="none" w:sz="0" w:space="0" w:color="auto"/>
                    <w:right w:val="none" w:sz="0" w:space="0" w:color="auto"/>
                  </w:divBdr>
                  <w:divsChild>
                    <w:div w:id="1318069894">
                      <w:marLeft w:val="0"/>
                      <w:marRight w:val="0"/>
                      <w:marTop w:val="0"/>
                      <w:marBottom w:val="0"/>
                      <w:divBdr>
                        <w:top w:val="none" w:sz="0" w:space="0" w:color="auto"/>
                        <w:left w:val="none" w:sz="0" w:space="0" w:color="auto"/>
                        <w:bottom w:val="none" w:sz="0" w:space="0" w:color="auto"/>
                        <w:right w:val="none" w:sz="0" w:space="0" w:color="auto"/>
                      </w:divBdr>
                      <w:divsChild>
                        <w:div w:id="11852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065809">
      <w:bodyDiv w:val="1"/>
      <w:marLeft w:val="0"/>
      <w:marRight w:val="0"/>
      <w:marTop w:val="0"/>
      <w:marBottom w:val="0"/>
      <w:divBdr>
        <w:top w:val="none" w:sz="0" w:space="0" w:color="auto"/>
        <w:left w:val="none" w:sz="0" w:space="0" w:color="auto"/>
        <w:bottom w:val="none" w:sz="0" w:space="0" w:color="auto"/>
        <w:right w:val="none" w:sz="0" w:space="0" w:color="auto"/>
      </w:divBdr>
    </w:div>
    <w:div w:id="1980115028">
      <w:bodyDiv w:val="1"/>
      <w:marLeft w:val="0"/>
      <w:marRight w:val="0"/>
      <w:marTop w:val="0"/>
      <w:marBottom w:val="0"/>
      <w:divBdr>
        <w:top w:val="none" w:sz="0" w:space="0" w:color="auto"/>
        <w:left w:val="none" w:sz="0" w:space="0" w:color="auto"/>
        <w:bottom w:val="none" w:sz="0" w:space="0" w:color="auto"/>
        <w:right w:val="none" w:sz="0" w:space="0" w:color="auto"/>
      </w:divBdr>
      <w:divsChild>
        <w:div w:id="202333378">
          <w:marLeft w:val="0"/>
          <w:marRight w:val="0"/>
          <w:marTop w:val="0"/>
          <w:marBottom w:val="0"/>
          <w:divBdr>
            <w:top w:val="none" w:sz="0" w:space="0" w:color="auto"/>
            <w:left w:val="none" w:sz="0" w:space="0" w:color="auto"/>
            <w:bottom w:val="none" w:sz="0" w:space="0" w:color="auto"/>
            <w:right w:val="none" w:sz="0" w:space="0" w:color="auto"/>
          </w:divBdr>
        </w:div>
        <w:div w:id="352338563">
          <w:marLeft w:val="0"/>
          <w:marRight w:val="0"/>
          <w:marTop w:val="0"/>
          <w:marBottom w:val="0"/>
          <w:divBdr>
            <w:top w:val="none" w:sz="0" w:space="0" w:color="auto"/>
            <w:left w:val="none" w:sz="0" w:space="0" w:color="auto"/>
            <w:bottom w:val="none" w:sz="0" w:space="0" w:color="auto"/>
            <w:right w:val="none" w:sz="0" w:space="0" w:color="auto"/>
          </w:divBdr>
        </w:div>
        <w:div w:id="99761436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investmentpolicyhub.unctad.org/Download/TreatyFile/2875" TargetMode="External"/><Relationship Id="rId3" Type="http://schemas.openxmlformats.org/officeDocument/2006/relationships/hyperlink" Target="http://www.allenovery.com/publications/en-gb/Pages/Trends-in-investment-treaty-arbitration-a-perspective-on-Brazil.aspx" TargetMode="External"/><Relationship Id="rId7" Type="http://schemas.openxmlformats.org/officeDocument/2006/relationships/hyperlink" Target="http://investmentpolicyhub.unctad.org/IIA/treaty/3711" TargetMode="External"/><Relationship Id="rId2" Type="http://schemas.openxmlformats.org/officeDocument/2006/relationships/hyperlink" Target="https://hsfnotes.com/arbitration/2017/03/16/mixed-messages-to-investors-as-india-quietly-terminates-bilateral-investment-treaties-with-58-countries/" TargetMode="External"/><Relationship Id="rId1" Type="http://schemas.openxmlformats.org/officeDocument/2006/relationships/hyperlink" Target="https://www.citizen.org/sites/default/files/pcgtw_fdi-inflows-from-bit-termination_0.pdf" TargetMode="External"/><Relationship Id="rId6" Type="http://schemas.openxmlformats.org/officeDocument/2006/relationships/hyperlink" Target="https://www.ey.com/Publication/vwLUAssets/ey-the-uk-modern-slavery-act-2015/$FILE/ey-the-uk-modern-slavery-act-2015.pdf" TargetMode="External"/><Relationship Id="rId5" Type="http://schemas.openxmlformats.org/officeDocument/2006/relationships/hyperlink" Target="http://ec.europa.eu/trade/policy/in-focus/ceta/" TargetMode="External"/><Relationship Id="rId4" Type="http://schemas.openxmlformats.org/officeDocument/2006/relationships/hyperlink" Target="https://mail.nyenrode.nl/owa/redir.aspx?C=eQooWurdUI37SkGIocdlMD8828dcKv1qthaddm4IxYu9xkgoh4TWCA..&amp;URL=https%3a%2f%2fopenaccess.leidenuniv.nl%2fhandle%2f1887%2f16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1472</ap:Words>
  <ap:Characters>8397</ap:Characters>
  <ap:DocSecurity>0</ap:DocSecurity>
  <ap:Lines>69</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2019-01-27T22:20:00.0000000Z</dcterms:created>
  <dcterms:modified xsi:type="dcterms:W3CDTF">2019-01-27T22:20:00.0000000Z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0x0101002E976AA55D9FB1459289DA98110CD921</vt:lpwstr>
  </property>
</Properties>
</file>